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639DDE6">
      <w:pPr>
        <w:spacing w:after="100" w:line="300" w:lineRule="exact"/>
        <w:jc w:val="center"/>
        <w:rPr>
          <w:rFonts w:hint="eastAsia" w:ascii="黑体" w:hAnsi="黑体" w:eastAsia="黑体" w:cs="宋体"/>
          <w:sz w:val="18"/>
          <w:szCs w:val="18"/>
          <w:lang w:val="en-US" w:eastAsia="zh-CN"/>
        </w:rPr>
      </w:pPr>
      <w:r>
        <w:rPr>
          <w:rFonts w:ascii="黑体" w:hAnsi="黑体" w:eastAsia="黑体" w:cs="宋体"/>
          <w:sz w:val="18"/>
          <w:szCs w:val="18"/>
        </w:rPr>
        <w:t>证券代码：002042                  证券简称：华孚时尚                    公告编号：2026-3</w:t>
      </w:r>
      <w:r>
        <w:rPr>
          <w:rFonts w:hint="eastAsia" w:ascii="黑体" w:hAnsi="黑体" w:eastAsia="黑体" w:cs="宋体"/>
          <w:sz w:val="18"/>
          <w:szCs w:val="18"/>
          <w:lang w:val="en-US" w:eastAsia="zh-CN"/>
        </w:rPr>
        <w:t>9</w:t>
      </w:r>
    </w:p>
    <w:p w14:paraId="3E262449">
      <w:pPr>
        <w:spacing w:before="468" w:beforeLines="150" w:after="156" w:afterLines="50" w:line="360" w:lineRule="auto"/>
        <w:jc w:val="center"/>
        <w:rPr>
          <w:rFonts w:ascii="宋体" w:hAnsi="宋体" w:cs="宋体"/>
          <w:b/>
          <w:bCs/>
          <w:sz w:val="30"/>
          <w:szCs w:val="30"/>
        </w:rPr>
      </w:pPr>
      <w:r>
        <w:rPr>
          <w:rFonts w:ascii="宋体" w:hAnsi="宋体" w:cs="宋体"/>
          <w:b/>
          <w:bCs/>
          <w:sz w:val="30"/>
          <w:szCs w:val="30"/>
        </w:rPr>
        <w:t>华孚时尚股份有限公司</w:t>
      </w:r>
    </w:p>
    <w:p w14:paraId="7D9E37C1">
      <w:pPr>
        <w:spacing w:before="156" w:beforeLines="50" w:after="312" w:afterLines="100" w:line="360" w:lineRule="auto"/>
        <w:jc w:val="center"/>
        <w:rPr>
          <w:rFonts w:ascii="宋体" w:hAnsi="宋体" w:cs="宋体"/>
          <w:b/>
          <w:bCs/>
          <w:sz w:val="30"/>
          <w:szCs w:val="30"/>
        </w:rPr>
      </w:pPr>
      <w:r>
        <w:rPr>
          <w:rFonts w:ascii="宋体" w:hAnsi="宋体" w:cs="宋体"/>
          <w:b/>
          <w:bCs/>
          <w:sz w:val="30"/>
          <w:szCs w:val="30"/>
        </w:rPr>
        <w:t>关于出售</w:t>
      </w:r>
      <w:r>
        <w:rPr>
          <w:rFonts w:hint="eastAsia" w:ascii="宋体" w:hAnsi="宋体" w:cs="宋体"/>
          <w:b/>
          <w:bCs/>
          <w:sz w:val="30"/>
          <w:szCs w:val="30"/>
        </w:rPr>
        <w:t>2024年期</w:t>
      </w:r>
      <w:r>
        <w:rPr>
          <w:rFonts w:ascii="宋体" w:hAnsi="宋体" w:cs="宋体"/>
          <w:b/>
          <w:bCs/>
          <w:sz w:val="30"/>
          <w:szCs w:val="30"/>
        </w:rPr>
        <w:t>已回购股份的</w:t>
      </w:r>
      <w:r>
        <w:rPr>
          <w:rFonts w:hint="eastAsia" w:ascii="宋体" w:hAnsi="宋体" w:cs="宋体"/>
          <w:b/>
          <w:bCs/>
          <w:sz w:val="30"/>
          <w:szCs w:val="30"/>
          <w:lang w:val="en-US" w:eastAsia="zh-CN"/>
        </w:rPr>
        <w:t>进展</w:t>
      </w:r>
      <w:r>
        <w:rPr>
          <w:rFonts w:ascii="宋体" w:hAnsi="宋体" w:cs="宋体"/>
          <w:b/>
          <w:bCs/>
          <w:sz w:val="30"/>
          <w:szCs w:val="30"/>
        </w:rPr>
        <w:t>公告</w:t>
      </w:r>
    </w:p>
    <w:p w14:paraId="0234E3D9">
      <w:pPr>
        <w:autoSpaceDE w:val="0"/>
        <w:autoSpaceDN w:val="0"/>
        <w:adjustRightInd w:val="0"/>
        <w:spacing w:after="312" w:afterLines="100"/>
        <w:ind w:firstLine="480" w:firstLineChars="200"/>
        <w:rPr>
          <w:rFonts w:eastAsia="楷体_GB2312"/>
          <w:sz w:val="24"/>
          <w:szCs w:val="24"/>
        </w:rPr>
      </w:pPr>
      <w:bookmarkStart w:id="0" w:name="_Toc988889"/>
      <w:r>
        <w:rPr>
          <w:rFonts w:eastAsia="楷体_GB2312"/>
          <w:sz w:val="24"/>
          <w:szCs w:val="24"/>
        </w:rPr>
        <w:t>本公司及</w:t>
      </w:r>
      <w:r>
        <w:rPr>
          <w:rFonts w:hint="eastAsia" w:eastAsia="楷体_GB2312"/>
          <w:sz w:val="24"/>
          <w:szCs w:val="24"/>
        </w:rPr>
        <w:t>董</w:t>
      </w:r>
      <w:r>
        <w:rPr>
          <w:rFonts w:eastAsia="楷体_GB2312"/>
          <w:sz w:val="24"/>
          <w:szCs w:val="24"/>
        </w:rPr>
        <w:t>事会全体成员保证信息披露的内容真实、准确、完整，没有虚假记载、误导性陈述或重大遗漏。</w:t>
      </w:r>
    </w:p>
    <w:bookmarkEnd w:id="0"/>
    <w:p w14:paraId="7A45D768"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snapToGrid/>
        <w:spacing w:line="360" w:lineRule="auto"/>
        <w:ind w:firstLine="480" w:firstLineChars="200"/>
        <w:jc w:val="both"/>
        <w:textAlignment w:val="auto"/>
        <w:rPr>
          <w:rFonts w:hint="eastAsia" w:cs="宋体" w:asciiTheme="minorEastAsia" w:hAnsiTheme="minorEastAsia" w:eastAsiaTheme="minorEastAsia"/>
          <w:sz w:val="24"/>
          <w:szCs w:val="24"/>
          <w:lang w:val="en-US" w:eastAsia="zh-CN"/>
        </w:rPr>
      </w:pPr>
      <w:bookmarkStart w:id="1" w:name="_Toc988896"/>
      <w:bookmarkEnd w:id="1"/>
      <w:r>
        <w:rPr>
          <w:rFonts w:hint="eastAsia" w:cs="宋体" w:asciiTheme="minorEastAsia" w:hAnsiTheme="minorEastAsia" w:eastAsiaTheme="minorEastAsia"/>
          <w:sz w:val="24"/>
          <w:szCs w:val="24"/>
          <w:lang w:val="en-US" w:eastAsia="zh-CN"/>
        </w:rPr>
        <w:t>华孚时尚股份有限公司（以下简称“公司”）于2026年8月27日召开了第九届董事会2026年第二次临时会议，审议通过了《关于以集中竞价交易方式出售2024年期已回购股份计划的议案》，同意公司</w:t>
      </w:r>
      <w:r>
        <w:rPr>
          <w:rFonts w:cs="宋体" w:asciiTheme="minorEastAsia" w:hAnsiTheme="minorEastAsia" w:eastAsiaTheme="minorEastAsia"/>
          <w:sz w:val="24"/>
          <w:szCs w:val="24"/>
        </w:rPr>
        <w:t>自</w:t>
      </w:r>
      <w:r>
        <w:rPr>
          <w:rFonts w:hint="eastAsia" w:cs="宋体" w:asciiTheme="minorEastAsia" w:hAnsiTheme="minorEastAsia" w:eastAsiaTheme="minorEastAsia"/>
          <w:sz w:val="24"/>
          <w:szCs w:val="24"/>
        </w:rPr>
        <w:t>出售</w:t>
      </w:r>
      <w:r>
        <w:rPr>
          <w:rFonts w:cs="宋体" w:asciiTheme="minorEastAsia" w:hAnsiTheme="minorEastAsia" w:eastAsiaTheme="minorEastAsia"/>
          <w:sz w:val="24"/>
          <w:szCs w:val="24"/>
        </w:rPr>
        <w:t>计划发布之日起15个交易日后的6个月内（即2026年09月21日至2027年0</w:t>
      </w:r>
      <w:r>
        <w:rPr>
          <w:rFonts w:hint="eastAsia" w:cs="宋体" w:asciiTheme="minorEastAsia" w:hAnsiTheme="minorEastAsia" w:eastAsiaTheme="minorEastAsia"/>
          <w:sz w:val="24"/>
          <w:szCs w:val="24"/>
        </w:rPr>
        <w:t>3</w:t>
      </w:r>
      <w:r>
        <w:rPr>
          <w:rFonts w:cs="宋体" w:asciiTheme="minorEastAsia" w:hAnsiTheme="minorEastAsia" w:eastAsiaTheme="minorEastAsia"/>
          <w:sz w:val="24"/>
          <w:szCs w:val="24"/>
        </w:rPr>
        <w:t>月20日）</w:t>
      </w:r>
      <w:r>
        <w:rPr>
          <w:rFonts w:hint="eastAsia" w:cs="宋体" w:asciiTheme="minorEastAsia" w:hAnsiTheme="minorEastAsia" w:eastAsiaTheme="minorEastAsia"/>
          <w:sz w:val="24"/>
          <w:szCs w:val="24"/>
          <w:lang w:val="en-US" w:eastAsia="zh-CN"/>
        </w:rPr>
        <w:t>以集中竞价交易</w:t>
      </w:r>
      <w:bookmarkStart w:id="2" w:name="_GoBack"/>
      <w:bookmarkEnd w:id="2"/>
      <w:r>
        <w:rPr>
          <w:rFonts w:hint="eastAsia" w:cs="宋体" w:asciiTheme="minorEastAsia" w:hAnsiTheme="minorEastAsia" w:eastAsiaTheme="minorEastAsia"/>
          <w:sz w:val="24"/>
          <w:szCs w:val="24"/>
          <w:lang w:val="en-US" w:eastAsia="zh-CN"/>
        </w:rPr>
        <w:t>方式出售2024年期已回购股份，</w:t>
      </w:r>
      <w:r>
        <w:rPr>
          <w:rFonts w:cs="宋体" w:asciiTheme="minorEastAsia" w:hAnsiTheme="minorEastAsia" w:eastAsiaTheme="minorEastAsia"/>
          <w:sz w:val="24"/>
          <w:szCs w:val="24"/>
        </w:rPr>
        <w:t>拟出售回购股份不超过34,000,000股，占公司总股本的2%</w:t>
      </w:r>
      <w:r>
        <w:rPr>
          <w:rFonts w:hint="eastAsia" w:cs="宋体" w:asciiTheme="minorEastAsia" w:hAnsiTheme="minorEastAsia" w:eastAsiaTheme="minorEastAsia"/>
          <w:sz w:val="24"/>
          <w:szCs w:val="24"/>
          <w:lang w:eastAsia="zh-CN"/>
        </w:rPr>
        <w:t>，</w:t>
      </w:r>
      <w:r>
        <w:rPr>
          <w:rFonts w:asciiTheme="minorEastAsia" w:hAnsiTheme="minorEastAsia" w:eastAsiaTheme="minorEastAsia"/>
          <w:kern w:val="0"/>
          <w:sz w:val="24"/>
          <w:szCs w:val="24"/>
        </w:rPr>
        <w:t>出售价格根据二级市场价格确定。</w:t>
      </w:r>
      <w:r>
        <w:rPr>
          <w:rFonts w:hint="eastAsia" w:asciiTheme="minorEastAsia" w:hAnsiTheme="minorEastAsia" w:eastAsiaTheme="minorEastAsia"/>
          <w:kern w:val="0"/>
          <w:sz w:val="24"/>
          <w:szCs w:val="24"/>
          <w:lang w:val="en-US" w:eastAsia="zh-CN"/>
        </w:rPr>
        <w:t>详见公司于2026年8月28日于</w:t>
      </w:r>
      <w:r>
        <w:rPr>
          <w:rFonts w:asciiTheme="minorEastAsia" w:hAnsiTheme="minorEastAsia" w:eastAsiaTheme="minorEastAsia"/>
          <w:kern w:val="0"/>
          <w:sz w:val="24"/>
          <w:szCs w:val="24"/>
        </w:rPr>
        <w:t>《中国证券报》、《证券时报》及巨潮资讯网（www.cninfo.com.cn）</w:t>
      </w:r>
      <w:r>
        <w:rPr>
          <w:rFonts w:hint="eastAsia" w:asciiTheme="minorEastAsia" w:hAnsiTheme="minorEastAsia" w:eastAsiaTheme="minorEastAsia"/>
          <w:kern w:val="0"/>
          <w:sz w:val="24"/>
          <w:szCs w:val="24"/>
        </w:rPr>
        <w:t>披露的</w:t>
      </w:r>
      <w:r>
        <w:rPr>
          <w:rFonts w:hint="eastAsia" w:cs="宋体" w:asciiTheme="minorEastAsia" w:hAnsiTheme="minorEastAsia" w:eastAsiaTheme="minorEastAsia"/>
          <w:sz w:val="24"/>
          <w:szCs w:val="24"/>
          <w:lang w:val="en-US" w:eastAsia="zh-CN"/>
        </w:rPr>
        <w:t>《关于以集中竞价方式出售2024年期已回购股份的预披露公告》（2026-38）。</w:t>
      </w:r>
    </w:p>
    <w:p w14:paraId="7A3FC4CA">
      <w:pPr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360" w:lineRule="auto"/>
        <w:ind w:firstLine="480" w:firstLineChars="200"/>
        <w:jc w:val="both"/>
        <w:textAlignment w:val="auto"/>
        <w:rPr>
          <w:rFonts w:asciiTheme="minorEastAsia" w:hAnsiTheme="minorEastAsia" w:eastAsiaTheme="minorEastAsia"/>
          <w:kern w:val="0"/>
          <w:sz w:val="24"/>
          <w:szCs w:val="24"/>
        </w:rPr>
      </w:pPr>
      <w:r>
        <w:rPr>
          <w:rFonts w:hint="eastAsia" w:asciiTheme="minorEastAsia" w:hAnsiTheme="minorEastAsia" w:eastAsiaTheme="minorEastAsia"/>
          <w:kern w:val="0"/>
          <w:sz w:val="24"/>
          <w:szCs w:val="24"/>
        </w:rPr>
        <w:t>根据</w:t>
      </w:r>
      <w:r>
        <w:rPr>
          <w:rFonts w:asciiTheme="minorEastAsia" w:hAnsiTheme="minorEastAsia" w:eastAsiaTheme="minorEastAsia"/>
          <w:kern w:val="0"/>
          <w:sz w:val="24"/>
          <w:szCs w:val="24"/>
        </w:rPr>
        <w:t>《深圳证券交易所上市公司自律监管指引第9号——回购股份》等相关规定</w:t>
      </w:r>
      <w:r>
        <w:rPr>
          <w:rFonts w:hint="eastAsia" w:asciiTheme="minorEastAsia" w:hAnsiTheme="minorEastAsia" w:eastAsiaTheme="minorEastAsia"/>
          <w:kern w:val="0"/>
          <w:sz w:val="24"/>
          <w:szCs w:val="24"/>
        </w:rPr>
        <w:t>，公司应当在</w:t>
      </w:r>
      <w:r>
        <w:rPr>
          <w:rFonts w:asciiTheme="minorEastAsia" w:hAnsiTheme="minorEastAsia" w:eastAsiaTheme="minorEastAsia"/>
          <w:kern w:val="0"/>
          <w:sz w:val="24"/>
          <w:szCs w:val="24"/>
        </w:rPr>
        <w:t>每个月的前三个交易日内披露截至上月末的出售进展情况</w:t>
      </w:r>
      <w:r>
        <w:rPr>
          <w:rFonts w:hint="eastAsia" w:asciiTheme="minorEastAsia" w:hAnsiTheme="minorEastAsia" w:eastAsiaTheme="minorEastAsia"/>
          <w:kern w:val="0"/>
          <w:sz w:val="24"/>
          <w:szCs w:val="24"/>
        </w:rPr>
        <w:t>。现将有关情况公告如下。</w:t>
      </w:r>
    </w:p>
    <w:p w14:paraId="0CC2199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360" w:lineRule="auto"/>
        <w:ind w:firstLine="480" w:firstLineChars="200"/>
        <w:jc w:val="both"/>
        <w:textAlignment w:val="auto"/>
        <w:rPr>
          <w:rFonts w:asciiTheme="minorEastAsia" w:hAnsiTheme="minorEastAsia" w:eastAsiaTheme="minorEastAsia"/>
          <w:b/>
          <w:bCs/>
          <w:kern w:val="0"/>
          <w:sz w:val="24"/>
          <w:szCs w:val="24"/>
        </w:rPr>
      </w:pPr>
      <w:r>
        <w:rPr>
          <w:rFonts w:hint="eastAsia" w:asciiTheme="minorEastAsia" w:hAnsiTheme="minorEastAsia" w:eastAsiaTheme="minorEastAsia"/>
          <w:kern w:val="0"/>
          <w:sz w:val="24"/>
          <w:szCs w:val="24"/>
        </w:rPr>
        <w:t>一、</w:t>
      </w:r>
      <w:r>
        <w:rPr>
          <w:rFonts w:hint="eastAsia" w:asciiTheme="minorEastAsia" w:hAnsiTheme="minorEastAsia" w:eastAsiaTheme="minorEastAsia"/>
          <w:b/>
          <w:bCs/>
          <w:kern w:val="0"/>
          <w:sz w:val="24"/>
          <w:szCs w:val="24"/>
        </w:rPr>
        <w:t>本次集中竞价出售202</w:t>
      </w:r>
      <w:r>
        <w:rPr>
          <w:rFonts w:hint="eastAsia" w:asciiTheme="minorEastAsia" w:hAnsiTheme="minorEastAsia" w:eastAsiaTheme="minorEastAsia"/>
          <w:b/>
          <w:bCs/>
          <w:kern w:val="0"/>
          <w:sz w:val="24"/>
          <w:szCs w:val="24"/>
          <w:lang w:val="en-US" w:eastAsia="zh-CN"/>
        </w:rPr>
        <w:t>4</w:t>
      </w:r>
      <w:r>
        <w:rPr>
          <w:rFonts w:hint="eastAsia" w:asciiTheme="minorEastAsia" w:hAnsiTheme="minorEastAsia" w:eastAsiaTheme="minorEastAsia"/>
          <w:b/>
          <w:bCs/>
          <w:kern w:val="0"/>
          <w:sz w:val="24"/>
          <w:szCs w:val="24"/>
        </w:rPr>
        <w:t>年期已回购股份计划的进展情况</w:t>
      </w:r>
    </w:p>
    <w:p w14:paraId="5648A7F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360" w:lineRule="auto"/>
        <w:ind w:firstLine="480" w:firstLineChars="200"/>
        <w:jc w:val="both"/>
        <w:textAlignment w:val="auto"/>
        <w:rPr>
          <w:rFonts w:asciiTheme="minorEastAsia" w:hAnsiTheme="minorEastAsia" w:eastAsiaTheme="minorEastAsia"/>
          <w:kern w:val="0"/>
          <w:sz w:val="24"/>
          <w:szCs w:val="24"/>
        </w:rPr>
      </w:pPr>
      <w:r>
        <w:rPr>
          <w:rFonts w:hint="eastAsia" w:asciiTheme="minorEastAsia" w:hAnsiTheme="minorEastAsia" w:eastAsiaTheme="minorEastAsia"/>
          <w:kern w:val="0"/>
          <w:sz w:val="24"/>
          <w:szCs w:val="24"/>
        </w:rPr>
        <w:t>截至2026年</w:t>
      </w:r>
      <w:r>
        <w:rPr>
          <w:rFonts w:hint="eastAsia" w:asciiTheme="minorEastAsia" w:hAnsiTheme="minorEastAsia" w:eastAsiaTheme="minorEastAsia"/>
          <w:kern w:val="0"/>
          <w:sz w:val="24"/>
          <w:szCs w:val="24"/>
          <w:lang w:val="en-US" w:eastAsia="zh-CN"/>
        </w:rPr>
        <w:t>8</w:t>
      </w:r>
      <w:r>
        <w:rPr>
          <w:rFonts w:hint="eastAsia" w:asciiTheme="minorEastAsia" w:hAnsiTheme="minorEastAsia" w:eastAsiaTheme="minorEastAsia"/>
          <w:kern w:val="0"/>
          <w:sz w:val="24"/>
          <w:szCs w:val="24"/>
        </w:rPr>
        <w:t>月</w:t>
      </w:r>
      <w:r>
        <w:rPr>
          <w:rFonts w:hint="eastAsia" w:asciiTheme="minorEastAsia" w:hAnsiTheme="minorEastAsia" w:eastAsiaTheme="minorEastAsia"/>
          <w:kern w:val="0"/>
          <w:sz w:val="24"/>
          <w:szCs w:val="24"/>
          <w:lang w:val="en-US" w:eastAsia="zh-CN"/>
        </w:rPr>
        <w:t>31</w:t>
      </w:r>
      <w:r>
        <w:rPr>
          <w:rFonts w:hint="eastAsia" w:asciiTheme="minorEastAsia" w:hAnsiTheme="minorEastAsia" w:eastAsiaTheme="minorEastAsia"/>
          <w:kern w:val="0"/>
          <w:sz w:val="24"/>
          <w:szCs w:val="24"/>
        </w:rPr>
        <w:t>日，公司未出售回购股份。</w:t>
      </w:r>
    </w:p>
    <w:p w14:paraId="7971899D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360" w:lineRule="auto"/>
        <w:ind w:firstLine="480" w:firstLineChars="200"/>
        <w:jc w:val="both"/>
        <w:textAlignment w:val="auto"/>
        <w:rPr>
          <w:rFonts w:asciiTheme="minorEastAsia" w:hAnsiTheme="minorEastAsia" w:eastAsiaTheme="minorEastAsia"/>
          <w:b/>
          <w:bCs/>
          <w:kern w:val="0"/>
          <w:sz w:val="24"/>
          <w:szCs w:val="24"/>
        </w:rPr>
      </w:pPr>
      <w:r>
        <w:rPr>
          <w:rFonts w:hint="eastAsia" w:asciiTheme="minorEastAsia" w:hAnsiTheme="minorEastAsia" w:eastAsiaTheme="minorEastAsia"/>
          <w:b/>
          <w:bCs/>
          <w:kern w:val="0"/>
          <w:sz w:val="24"/>
          <w:szCs w:val="24"/>
        </w:rPr>
        <w:t>相关风险提示</w:t>
      </w:r>
    </w:p>
    <w:p w14:paraId="0C735F03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360" w:lineRule="auto"/>
        <w:ind w:firstLine="480" w:firstLineChars="200"/>
        <w:jc w:val="both"/>
        <w:textAlignment w:val="auto"/>
        <w:rPr>
          <w:rFonts w:asciiTheme="minorEastAsia" w:hAnsiTheme="minorEastAsia" w:eastAsiaTheme="minorEastAsia"/>
          <w:kern w:val="0"/>
          <w:sz w:val="24"/>
          <w:szCs w:val="24"/>
        </w:rPr>
      </w:pPr>
      <w:r>
        <w:rPr>
          <w:rFonts w:asciiTheme="minorEastAsia" w:hAnsiTheme="minorEastAsia" w:eastAsiaTheme="minorEastAsia"/>
          <w:kern w:val="0"/>
          <w:sz w:val="24"/>
          <w:szCs w:val="24"/>
        </w:rPr>
        <w:t>本次出售公司已回购股份计划实施存在不确定风险，公司将根据市场情况、公司股价</w:t>
      </w:r>
      <w:r>
        <w:rPr>
          <w:rFonts w:hint="eastAsia" w:asciiTheme="minorEastAsia" w:hAnsiTheme="minorEastAsia" w:eastAsiaTheme="minorEastAsia"/>
          <w:kern w:val="0"/>
          <w:sz w:val="24"/>
          <w:szCs w:val="24"/>
        </w:rPr>
        <w:t>波动</w:t>
      </w:r>
      <w:r>
        <w:rPr>
          <w:rFonts w:asciiTheme="minorEastAsia" w:hAnsiTheme="minorEastAsia" w:eastAsiaTheme="minorEastAsia"/>
          <w:kern w:val="0"/>
          <w:sz w:val="24"/>
          <w:szCs w:val="24"/>
        </w:rPr>
        <w:t>等情形决定实施对应股份出售计划，</w:t>
      </w:r>
      <w:r>
        <w:rPr>
          <w:rFonts w:hint="eastAsia" w:asciiTheme="minorEastAsia" w:hAnsiTheme="minorEastAsia" w:eastAsiaTheme="minorEastAsia"/>
          <w:kern w:val="0"/>
          <w:sz w:val="24"/>
          <w:szCs w:val="24"/>
        </w:rPr>
        <w:t>本次回购出售计划</w:t>
      </w:r>
      <w:r>
        <w:rPr>
          <w:rFonts w:asciiTheme="minorEastAsia" w:hAnsiTheme="minorEastAsia" w:eastAsiaTheme="minorEastAsia"/>
          <w:kern w:val="0"/>
          <w:sz w:val="24"/>
          <w:szCs w:val="24"/>
        </w:rPr>
        <w:t>存在出售时间、数量、价格的不确定性</w:t>
      </w:r>
      <w:r>
        <w:rPr>
          <w:rFonts w:hint="eastAsia" w:asciiTheme="minorEastAsia" w:hAnsiTheme="minorEastAsia" w:eastAsiaTheme="minorEastAsia"/>
          <w:kern w:val="0"/>
          <w:sz w:val="24"/>
          <w:szCs w:val="24"/>
        </w:rPr>
        <w:t>，可能存在无法按计划完成出售的情形</w:t>
      </w:r>
      <w:r>
        <w:rPr>
          <w:rFonts w:asciiTheme="minorEastAsia" w:hAnsiTheme="minorEastAsia" w:eastAsiaTheme="minorEastAsia"/>
          <w:kern w:val="0"/>
          <w:sz w:val="24"/>
          <w:szCs w:val="24"/>
        </w:rPr>
        <w:t>。</w:t>
      </w:r>
    </w:p>
    <w:p w14:paraId="2D14E16B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360" w:lineRule="auto"/>
        <w:ind w:firstLine="480" w:firstLineChars="200"/>
        <w:jc w:val="both"/>
        <w:textAlignment w:val="auto"/>
        <w:rPr>
          <w:rFonts w:asciiTheme="minorEastAsia" w:hAnsiTheme="minorEastAsia" w:eastAsiaTheme="minorEastAsia"/>
          <w:kern w:val="0"/>
          <w:sz w:val="24"/>
          <w:szCs w:val="24"/>
        </w:rPr>
      </w:pPr>
      <w:r>
        <w:rPr>
          <w:rFonts w:asciiTheme="minorEastAsia" w:hAnsiTheme="minorEastAsia" w:eastAsiaTheme="minorEastAsia"/>
          <w:kern w:val="0"/>
          <w:sz w:val="24"/>
          <w:szCs w:val="24"/>
        </w:rPr>
        <w:t>本次拟出售部分已回购股份事项符合《深圳证券交易所上市公司自律监管指引第9号——回购股份》等相关规定。在上述出售期间内，公司将严格按照有关法律、行政法规、部门规章及规范性文件等相关规定，及时履行信息披露义务。敬请广大投资者谨慎投资，注意投资风险</w:t>
      </w:r>
      <w:r>
        <w:rPr>
          <w:rFonts w:hint="eastAsia" w:asciiTheme="minorEastAsia" w:hAnsiTheme="minorEastAsia" w:eastAsiaTheme="minorEastAsia"/>
          <w:kern w:val="0"/>
          <w:sz w:val="24"/>
          <w:szCs w:val="24"/>
        </w:rPr>
        <w:t>。</w:t>
      </w:r>
    </w:p>
    <w:p w14:paraId="27A786E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360" w:lineRule="auto"/>
        <w:ind w:firstLine="480" w:firstLineChars="200"/>
        <w:jc w:val="both"/>
        <w:textAlignment w:val="auto"/>
        <w:rPr>
          <w:rFonts w:asciiTheme="minorEastAsia" w:hAnsiTheme="minorEastAsia" w:eastAsiaTheme="minorEastAsia"/>
          <w:kern w:val="0"/>
          <w:sz w:val="24"/>
          <w:szCs w:val="24"/>
        </w:rPr>
      </w:pPr>
      <w:r>
        <w:rPr>
          <w:rFonts w:asciiTheme="minorEastAsia" w:hAnsiTheme="minorEastAsia" w:eastAsiaTheme="minorEastAsia"/>
          <w:kern w:val="0"/>
          <w:sz w:val="24"/>
          <w:szCs w:val="24"/>
        </w:rPr>
        <w:t>特此</w:t>
      </w:r>
      <w:r>
        <w:rPr>
          <w:rFonts w:hint="eastAsia" w:asciiTheme="minorEastAsia" w:hAnsiTheme="minorEastAsia" w:eastAsiaTheme="minorEastAsia"/>
          <w:kern w:val="0"/>
          <w:sz w:val="24"/>
          <w:szCs w:val="24"/>
        </w:rPr>
        <w:t>公告</w:t>
      </w:r>
      <w:r>
        <w:rPr>
          <w:rFonts w:asciiTheme="minorEastAsia" w:hAnsiTheme="minorEastAsia" w:eastAsiaTheme="minorEastAsia"/>
          <w:kern w:val="0"/>
          <w:sz w:val="24"/>
          <w:szCs w:val="24"/>
        </w:rPr>
        <w:t>。</w:t>
      </w:r>
    </w:p>
    <w:p w14:paraId="68C3E8A1">
      <w:pPr>
        <w:spacing w:line="360" w:lineRule="auto"/>
        <w:ind w:firstLine="480" w:firstLineChars="200"/>
        <w:jc w:val="right"/>
        <w:rPr>
          <w:rFonts w:cs="宋体" w:asciiTheme="minorEastAsia" w:hAnsiTheme="minorEastAsia" w:eastAsiaTheme="minorEastAsia"/>
          <w:sz w:val="24"/>
          <w:szCs w:val="24"/>
        </w:rPr>
      </w:pPr>
      <w:r>
        <w:rPr>
          <w:rFonts w:cs="宋体" w:asciiTheme="minorEastAsia" w:hAnsiTheme="minorEastAsia" w:eastAsiaTheme="minorEastAsia"/>
          <w:sz w:val="24"/>
          <w:szCs w:val="24"/>
        </w:rPr>
        <w:t>华孚时尚股份有限公司</w:t>
      </w:r>
    </w:p>
    <w:p w14:paraId="7C29C4CF">
      <w:pPr>
        <w:spacing w:line="360" w:lineRule="auto"/>
        <w:ind w:firstLine="480" w:firstLineChars="200"/>
        <w:jc w:val="right"/>
        <w:rPr>
          <w:rFonts w:cs="宋体" w:asciiTheme="minorEastAsia" w:hAnsiTheme="minorEastAsia" w:eastAsiaTheme="minorEastAsia"/>
          <w:sz w:val="24"/>
          <w:szCs w:val="24"/>
        </w:rPr>
      </w:pPr>
      <w:r>
        <w:rPr>
          <w:rFonts w:cs="宋体" w:asciiTheme="minorEastAsia" w:hAnsiTheme="minorEastAsia" w:eastAsiaTheme="minorEastAsia"/>
          <w:sz w:val="24"/>
          <w:szCs w:val="24"/>
        </w:rPr>
        <w:t>董事会</w:t>
      </w:r>
    </w:p>
    <w:p w14:paraId="7FE88626">
      <w:pPr>
        <w:spacing w:line="360" w:lineRule="auto"/>
        <w:ind w:firstLine="480" w:firstLineChars="200"/>
        <w:jc w:val="right"/>
        <w:rPr>
          <w:rFonts w:cs="宋体" w:asciiTheme="minorEastAsia" w:hAnsiTheme="minorEastAsia" w:eastAsiaTheme="minorEastAsia"/>
          <w:sz w:val="24"/>
          <w:szCs w:val="24"/>
        </w:rPr>
      </w:pPr>
      <w:r>
        <w:rPr>
          <w:rFonts w:hint="eastAsia" w:cs="宋体" w:asciiTheme="minorEastAsia" w:hAnsiTheme="minorEastAsia" w:eastAsiaTheme="minorEastAsia"/>
          <w:sz w:val="24"/>
          <w:szCs w:val="24"/>
        </w:rPr>
        <w:t>二零二六</w:t>
      </w:r>
      <w:r>
        <w:rPr>
          <w:rFonts w:cs="宋体" w:asciiTheme="minorEastAsia" w:hAnsiTheme="minorEastAsia" w:eastAsiaTheme="minorEastAsia"/>
          <w:sz w:val="24"/>
          <w:szCs w:val="24"/>
        </w:rPr>
        <w:t>年</w:t>
      </w:r>
      <w:r>
        <w:rPr>
          <w:rFonts w:hint="eastAsia" w:cs="宋体" w:asciiTheme="minorEastAsia" w:hAnsiTheme="minorEastAsia" w:eastAsiaTheme="minorEastAsia"/>
          <w:sz w:val="24"/>
          <w:szCs w:val="24"/>
          <w:lang w:val="en-US" w:eastAsia="zh-CN"/>
        </w:rPr>
        <w:t>九月二</w:t>
      </w:r>
      <w:r>
        <w:rPr>
          <w:rFonts w:cs="宋体" w:asciiTheme="minorEastAsia" w:hAnsiTheme="minorEastAsia" w:eastAsiaTheme="minorEastAsia"/>
          <w:sz w:val="24"/>
          <w:szCs w:val="24"/>
        </w:rPr>
        <w:t>日</w:t>
      </w:r>
    </w:p>
    <w:sectPr>
      <w:headerReference r:id="rId3" w:type="default"/>
      <w:footerReference r:id="rId4" w:type="default"/>
      <w:pgSz w:w="11905" w:h="16840"/>
      <w:pgMar w:top="1440" w:right="1800" w:bottom="1440" w:left="1800" w:header="850" w:footer="992" w:gutter="0"/>
      <w:cols w:space="720" w:num="1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4CFE36A">
    <w:pPr>
      <w:pStyle w:val="12"/>
    </w:pPr>
    <w:r>
      <w:fldChar w:fldCharType="begin"/>
    </w:r>
    <w:r>
      <w:instrText xml:space="preserve">PAGE   \* MERGEFORMAT</w:instrText>
    </w:r>
    <w:r>
      <w:fldChar w:fldCharType="separate"/>
    </w:r>
    <w:r>
      <w:t>1</w:t>
    </w:r>
    <w:r>
      <w:fldChar w:fldCharType="end"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11D4995">
    <w:pPr>
      <w:pStyle w:val="10"/>
      <w:pBdr>
        <w:bottom w:val="none" w:color="auto" w:sz="0" w:space="1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2A506C3"/>
    <w:multiLevelType w:val="singleLevel"/>
    <w:tmpl w:val="C2A506C3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4AB22C9D"/>
    <w:multiLevelType w:val="singleLevel"/>
    <w:tmpl w:val="4AB22C9D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2"/>
  <w:displayVerticalDrawingGridEvery w:val="2"/>
  <w:characterSpacingControl w:val="doNotCompress"/>
  <w:compat>
    <w:doNotExpandShiftReturn/>
    <w:useFELayout/>
    <w:compatSetting w:name="compatibilityMode" w:uri="http://schemas.microsoft.com/office/word" w:val="14"/>
  </w:compat>
  <w:rsids>
    <w:rsidRoot w:val="00CD7291"/>
    <w:rsid w:val="000D5514"/>
    <w:rsid w:val="003D6C14"/>
    <w:rsid w:val="006D5A13"/>
    <w:rsid w:val="009C15A8"/>
    <w:rsid w:val="00C52998"/>
    <w:rsid w:val="00CD7291"/>
    <w:rsid w:val="04450781"/>
    <w:rsid w:val="1B1A7C0B"/>
    <w:rsid w:val="1B4C5C4C"/>
    <w:rsid w:val="1D74336F"/>
    <w:rsid w:val="1E5871E1"/>
    <w:rsid w:val="3FCF0FE3"/>
    <w:rsid w:val="72F812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semiHidden="0" w:name="heading 2"/>
    <w:lsdException w:qFormat="1" w:unhideWhenUsed="0" w:uiPriority="99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qFormat="1" w:uiPriority="39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</w:pPr>
    <w:rPr>
      <w:rFonts w:ascii="Times New Roman" w:hAnsi="Times New Roman" w:eastAsia="宋体" w:cs="Times New Roman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9"/>
    <w:pPr>
      <w:keepNext/>
      <w:keepLines/>
      <w:spacing w:before="156" w:after="156"/>
      <w:outlineLvl w:val="1"/>
    </w:pPr>
    <w:rPr>
      <w:szCs w:val="21"/>
    </w:rPr>
  </w:style>
  <w:style w:type="paragraph" w:styleId="3">
    <w:name w:val="heading 3"/>
    <w:basedOn w:val="1"/>
    <w:next w:val="1"/>
    <w:qFormat/>
    <w:uiPriority w:val="99"/>
    <w:pPr>
      <w:keepNext/>
      <w:keepLines/>
      <w:spacing w:before="300" w:after="300" w:line="241" w:lineRule="auto"/>
      <w:jc w:val="both"/>
      <w:outlineLvl w:val="2"/>
    </w:pPr>
    <w:rPr>
      <w:szCs w:val="21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toc 1"/>
    <w:basedOn w:val="1"/>
    <w:next w:val="1"/>
    <w:autoRedefine/>
    <w:qFormat/>
    <w:uiPriority w:val="39"/>
  </w:style>
  <w:style w:type="paragraph" w:styleId="5">
    <w:name w:val="toc 2"/>
    <w:basedOn w:val="1"/>
    <w:next w:val="1"/>
    <w:autoRedefine/>
    <w:unhideWhenUsed/>
    <w:qFormat/>
    <w:uiPriority w:val="39"/>
    <w:pPr>
      <w:ind w:left="420" w:leftChars="200"/>
    </w:pPr>
  </w:style>
  <w:style w:type="paragraph" w:styleId="6">
    <w:name w:val="Normal (Web)"/>
    <w:basedOn w:val="1"/>
    <w:qFormat/>
    <w:uiPriority w:val="0"/>
    <w:pPr>
      <w:spacing w:beforeAutospacing="1" w:afterAutospacing="1"/>
    </w:pPr>
    <w:rPr>
      <w:sz w:val="24"/>
    </w:rPr>
  </w:style>
  <w:style w:type="character" w:styleId="9">
    <w:name w:val="Hyperlink"/>
    <w:basedOn w:val="8"/>
    <w:qFormat/>
    <w:uiPriority w:val="0"/>
    <w:rPr>
      <w:color w:val="0000FF"/>
      <w:u w:val="single"/>
    </w:rPr>
  </w:style>
  <w:style w:type="paragraph" w:customStyle="1" w:styleId="10">
    <w:name w:val="Header 1"/>
    <w:qFormat/>
    <w:uiPriority w:val="0"/>
    <w:pPr>
      <w:jc w:val="right"/>
    </w:pPr>
    <w:rPr>
      <w:rFonts w:ascii="宋体" w:hAnsi="Times New Roman" w:eastAsia="宋体" w:cs="Times New Roman"/>
      <w:sz w:val="18"/>
      <w:szCs w:val="18"/>
      <w:lang w:val="en-US" w:eastAsia="zh-CN" w:bidi="ar-SA"/>
    </w:rPr>
  </w:style>
  <w:style w:type="paragraph" w:customStyle="1" w:styleId="11">
    <w:name w:val="heading h1"/>
    <w:basedOn w:val="1"/>
    <w:next w:val="1"/>
    <w:qFormat/>
    <w:uiPriority w:val="9"/>
    <w:pPr>
      <w:keepNext/>
      <w:keepLines/>
      <w:spacing w:before="240" w:after="240" w:line="578" w:lineRule="auto"/>
      <w:outlineLvl w:val="0"/>
    </w:pPr>
    <w:rPr>
      <w:kern w:val="44"/>
      <w:sz w:val="44"/>
      <w:szCs w:val="44"/>
    </w:rPr>
  </w:style>
  <w:style w:type="paragraph" w:customStyle="1" w:styleId="12">
    <w:name w:val="fotter 1"/>
    <w:qFormat/>
    <w:uiPriority w:val="0"/>
    <w:pPr>
      <w:jc w:val="right"/>
    </w:pPr>
    <w:rPr>
      <w:rFonts w:ascii="宋体" w:hAnsi="Times New Roman" w:eastAsia="宋体" w:cs="Times New Roman"/>
      <w:sz w:val="18"/>
      <w:szCs w:val="18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D2DA8E-2F93-44BD-AF91-8D048686C68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715</Words>
  <Characters>799</Characters>
  <Lines>14</Lines>
  <Paragraphs>4</Paragraphs>
  <TotalTime>0</TotalTime>
  <ScaleCrop>false</ScaleCrop>
  <LinksUpToDate>false</LinksUpToDate>
  <CharactersWithSpaces>837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2026-08-27T02:24:00Z</dcterms:created>
  <dc:creator>wangshuying</dc:creator>
  <cp:lastModifiedBy>WSY</cp:lastModifiedBy>
  <dcterms:modified xsi:type="dcterms:W3CDTF">2026-09-01T06:26:39Z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eyJoZGlkIjoiYzAzYzc4OWY4MzI0OGU5NmNmYjc1OGMxNDQ2Zjg0YzciLCJ1c2VySWQiOiIyNjU0NTI1NDMifQ==</vt:lpwstr>
  </property>
  <property fmtid="{D5CDD505-2E9C-101B-9397-08002B2CF9AE}" pid="3" name="KSOProductBuildVer">
    <vt:lpwstr>2052-12.1.0.28043</vt:lpwstr>
  </property>
  <property fmtid="{D5CDD505-2E9C-101B-9397-08002B2CF9AE}" pid="4" name="ICV">
    <vt:lpwstr>206E80D776AF4889B78566D79ED52FBE_12</vt:lpwstr>
  </property>
</Properties>
</file>