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39DDE6">
      <w:pPr>
        <w:spacing w:after="100" w:line="300" w:lineRule="exact"/>
        <w:jc w:val="center"/>
        <w:rPr>
          <w:rFonts w:ascii="黑体" w:hAnsi="黑体" w:eastAsia="黑体" w:cs="宋体"/>
          <w:sz w:val="18"/>
          <w:szCs w:val="18"/>
        </w:rPr>
      </w:pPr>
      <w:r>
        <w:rPr>
          <w:rFonts w:ascii="黑体" w:hAnsi="黑体" w:eastAsia="黑体" w:cs="宋体"/>
          <w:sz w:val="18"/>
          <w:szCs w:val="18"/>
        </w:rPr>
        <w:t>证券代码：002042                  证券简称：华孚时尚                    公告编号：2026-38</w:t>
      </w:r>
    </w:p>
    <w:p w14:paraId="3E262449">
      <w:pPr>
        <w:spacing w:before="468" w:beforeLines="150" w:after="156" w:afterLines="50" w:line="360" w:lineRule="auto"/>
        <w:jc w:val="center"/>
        <w:rPr>
          <w:rFonts w:ascii="宋体" w:hAnsi="宋体" w:cs="宋体"/>
          <w:b/>
          <w:bCs/>
          <w:sz w:val="30"/>
          <w:szCs w:val="30"/>
        </w:rPr>
      </w:pPr>
      <w:r>
        <w:rPr>
          <w:rFonts w:ascii="宋体" w:hAnsi="宋体" w:cs="宋体"/>
          <w:b/>
          <w:bCs/>
          <w:sz w:val="30"/>
          <w:szCs w:val="30"/>
        </w:rPr>
        <w:t>华孚时尚股份有限公司</w:t>
      </w:r>
    </w:p>
    <w:p w14:paraId="7D9E37C1">
      <w:pPr>
        <w:spacing w:before="156" w:beforeLines="50" w:after="312" w:afterLines="100" w:line="360" w:lineRule="auto"/>
        <w:jc w:val="center"/>
        <w:rPr>
          <w:rFonts w:ascii="宋体" w:hAnsi="宋体" w:cs="宋体"/>
          <w:b/>
          <w:bCs/>
          <w:sz w:val="30"/>
          <w:szCs w:val="30"/>
        </w:rPr>
      </w:pPr>
      <w:r>
        <w:rPr>
          <w:rFonts w:ascii="宋体" w:hAnsi="宋体" w:cs="宋体"/>
          <w:b/>
          <w:bCs/>
          <w:sz w:val="30"/>
          <w:szCs w:val="30"/>
        </w:rPr>
        <w:t>关于以集中竞价方式出售</w:t>
      </w:r>
      <w:r>
        <w:rPr>
          <w:rFonts w:hint="eastAsia" w:ascii="宋体" w:hAnsi="宋体" w:cs="宋体"/>
          <w:b/>
          <w:bCs/>
          <w:sz w:val="30"/>
          <w:szCs w:val="30"/>
        </w:rPr>
        <w:t>2024年期</w:t>
      </w:r>
      <w:r>
        <w:rPr>
          <w:rFonts w:ascii="宋体" w:hAnsi="宋体" w:cs="宋体"/>
          <w:b/>
          <w:bCs/>
          <w:sz w:val="30"/>
          <w:szCs w:val="30"/>
        </w:rPr>
        <w:t>已回购股份的预披露公告</w:t>
      </w:r>
    </w:p>
    <w:p w14:paraId="0234E3D9">
      <w:pPr>
        <w:autoSpaceDE w:val="0"/>
        <w:autoSpaceDN w:val="0"/>
        <w:adjustRightInd w:val="0"/>
        <w:spacing w:after="312" w:afterLines="100"/>
        <w:ind w:firstLine="480" w:firstLineChars="200"/>
        <w:rPr>
          <w:rFonts w:eastAsia="楷体_GB2312"/>
          <w:sz w:val="24"/>
          <w:szCs w:val="24"/>
        </w:rPr>
      </w:pPr>
      <w:bookmarkStart w:id="0" w:name="_Toc988889"/>
      <w:r>
        <w:rPr>
          <w:rFonts w:eastAsia="楷体_GB2312"/>
          <w:sz w:val="24"/>
          <w:szCs w:val="24"/>
        </w:rPr>
        <w:t>本公司及</w:t>
      </w:r>
      <w:r>
        <w:rPr>
          <w:rFonts w:hint="eastAsia" w:eastAsia="楷体_GB2312"/>
          <w:sz w:val="24"/>
          <w:szCs w:val="24"/>
        </w:rPr>
        <w:t>董</w:t>
      </w:r>
      <w:r>
        <w:rPr>
          <w:rFonts w:eastAsia="楷体_GB2312"/>
          <w:sz w:val="24"/>
          <w:szCs w:val="24"/>
        </w:rPr>
        <w:t>事会全体成员保证信息披露的内容真实、准确、完整，没有虚假记载、误导性陈述或重大遗漏。</w:t>
      </w:r>
    </w:p>
    <w:p w14:paraId="3ECEE68B">
      <w:pPr>
        <w:autoSpaceDE w:val="0"/>
        <w:autoSpaceDN w:val="0"/>
        <w:adjustRightInd w:val="0"/>
        <w:spacing w:line="360" w:lineRule="auto"/>
        <w:ind w:firstLine="480" w:firstLineChars="200"/>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一、公司已回购股份的基本情况</w:t>
      </w:r>
      <w:bookmarkEnd w:id="0"/>
    </w:p>
    <w:p w14:paraId="3D0DFE28">
      <w:pPr>
        <w:pStyle w:val="6"/>
        <w:widowControl/>
        <w:spacing w:beforeAutospacing="0" w:afterAutospacing="0" w:line="360" w:lineRule="auto"/>
        <w:ind w:firstLine="480" w:firstLineChars="200"/>
        <w:jc w:val="both"/>
        <w:rPr>
          <w:rFonts w:asciiTheme="minorEastAsia" w:hAnsiTheme="minorEastAsia" w:eastAsiaTheme="minorEastAsia"/>
          <w:szCs w:val="24"/>
        </w:rPr>
      </w:pPr>
      <w:r>
        <w:rPr>
          <w:rFonts w:hint="eastAsia" w:cs="宋体" w:asciiTheme="minorEastAsia" w:hAnsiTheme="minorEastAsia" w:eastAsiaTheme="minorEastAsia"/>
          <w:szCs w:val="24"/>
        </w:rPr>
        <w:t>华孚时尚股份有限公司（以下简称“公司”）于2024年1月31日召开第八届董事会2024年第二次临时会议，审议通过了《关于2024年回购公司股份方案的议案》，公司拟使用自有资金以集中竞价交易方式回购已发行的人民币普通股（A股）股份，回购股份用于维护公司价值及股东权益，后续将按相关规定予以出售。回购总金额为不低于人民币10,000万元,不超过人民币20,000万元，回购价格不超过5.5元/股，回购股份的实施期限为自董事会审议通过本次回购股份方案之日起不超过三个月。详见公司于2024年2月1日刊登在《中国证券报》、《证券时报》及巨潮资讯网（www.cninfo.com.cn）上的《关于2024年回购公司股份方案的公告》（2024-09）。</w:t>
      </w:r>
    </w:p>
    <w:p w14:paraId="0BE1ED46">
      <w:pPr>
        <w:pStyle w:val="6"/>
        <w:widowControl/>
        <w:spacing w:beforeAutospacing="0" w:afterAutospacing="0" w:line="360" w:lineRule="auto"/>
        <w:ind w:firstLine="480" w:firstLineChars="200"/>
        <w:jc w:val="both"/>
        <w:rPr>
          <w:rFonts w:cs="宋体" w:asciiTheme="minorEastAsia" w:hAnsiTheme="minorEastAsia" w:eastAsiaTheme="minorEastAsia"/>
          <w:szCs w:val="24"/>
        </w:rPr>
      </w:pPr>
      <w:r>
        <w:rPr>
          <w:rFonts w:hint="eastAsia" w:cs="宋体" w:asciiTheme="minorEastAsia" w:hAnsiTheme="minorEastAsia" w:eastAsiaTheme="minorEastAsia"/>
          <w:szCs w:val="24"/>
        </w:rPr>
        <w:t>截至2024年4月30日，公司本次股份回购已完成。在回购期间，公司通过股份回购专用证券账户以集中竞价交易方式累计回购公司股票34,403,171股，占公司总股本的2.02%（以公司截止2024年4月30日总股本1,700,681,355股为基准），实际回购期间为2024年2月1日至2024年4月8日，其中最高成交价为4.57元/股，最低成交价为2.51元/股，成交总金额为人民</w:t>
      </w:r>
      <w:r>
        <w:rPr>
          <w:rFonts w:hint="eastAsia" w:cs="宋体" w:asciiTheme="minorEastAsia" w:hAnsiTheme="minorEastAsia" w:eastAsiaTheme="minorEastAsia"/>
          <w:szCs w:val="24"/>
          <w:lang w:val="en-US" w:eastAsia="zh-CN"/>
        </w:rPr>
        <w:t>币</w:t>
      </w:r>
      <w:bookmarkStart w:id="8" w:name="_GoBack"/>
      <w:bookmarkEnd w:id="8"/>
      <w:r>
        <w:rPr>
          <w:rFonts w:hint="eastAsia" w:cs="宋体" w:asciiTheme="minorEastAsia" w:hAnsiTheme="minorEastAsia" w:eastAsiaTheme="minorEastAsia"/>
          <w:szCs w:val="24"/>
        </w:rPr>
        <w:t>100,020,993.86元（不含交易费用）。详见公司于2024年5月7日刊登在《中国证券报》、《证券时报》及巨潮资讯网（www.cninfo.com.cn）上的《关于2024年回购公司股份方案实施完毕暨股份变动的公告》（2024-35）。</w:t>
      </w:r>
      <w:bookmarkStart w:id="1" w:name="_Toc988890"/>
    </w:p>
    <w:p w14:paraId="15654DEF">
      <w:pPr>
        <w:pStyle w:val="6"/>
        <w:widowControl/>
        <w:spacing w:beforeAutospacing="0" w:afterAutospacing="0" w:line="360" w:lineRule="auto"/>
        <w:ind w:firstLine="480" w:firstLineChars="200"/>
        <w:jc w:val="both"/>
        <w:rPr>
          <w:rFonts w:cs="宋体" w:asciiTheme="minorEastAsia" w:hAnsiTheme="minorEastAsia" w:eastAsiaTheme="minorEastAsia"/>
          <w:b/>
          <w:bCs/>
          <w:szCs w:val="24"/>
        </w:rPr>
      </w:pPr>
      <w:r>
        <w:rPr>
          <w:rFonts w:cs="宋体" w:asciiTheme="minorEastAsia" w:hAnsiTheme="minorEastAsia" w:eastAsiaTheme="minorEastAsia"/>
          <w:b/>
          <w:bCs/>
          <w:szCs w:val="24"/>
        </w:rPr>
        <w:t>二、本次回购股份集中竞价</w:t>
      </w:r>
      <w:r>
        <w:rPr>
          <w:rFonts w:hint="eastAsia" w:cs="宋体" w:asciiTheme="minorEastAsia" w:hAnsiTheme="minorEastAsia" w:eastAsiaTheme="minorEastAsia"/>
          <w:b/>
          <w:bCs/>
          <w:szCs w:val="24"/>
        </w:rPr>
        <w:t>出售</w:t>
      </w:r>
      <w:r>
        <w:rPr>
          <w:rFonts w:cs="宋体" w:asciiTheme="minorEastAsia" w:hAnsiTheme="minorEastAsia" w:eastAsiaTheme="minorEastAsia"/>
          <w:b/>
          <w:bCs/>
          <w:szCs w:val="24"/>
        </w:rPr>
        <w:t>计划的具体情况</w:t>
      </w:r>
      <w:bookmarkEnd w:id="1"/>
    </w:p>
    <w:p w14:paraId="4868A6BF">
      <w:pPr>
        <w:spacing w:line="360" w:lineRule="auto"/>
        <w:ind w:firstLine="480" w:firstLineChars="200"/>
        <w:jc w:val="both"/>
        <w:rPr>
          <w:rFonts w:cs="宋体" w:asciiTheme="minorEastAsia" w:hAnsiTheme="minorEastAsia" w:eastAsiaTheme="minorEastAsia"/>
          <w:sz w:val="24"/>
          <w:szCs w:val="24"/>
        </w:rPr>
      </w:pPr>
      <w:r>
        <w:rPr>
          <w:rFonts w:cs="宋体" w:asciiTheme="minorEastAsia" w:hAnsiTheme="minorEastAsia" w:eastAsiaTheme="minorEastAsia"/>
          <w:sz w:val="24"/>
          <w:szCs w:val="24"/>
        </w:rPr>
        <w:t>1、</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原因及目的：根据《2024年回购公司股份方案之回购报告书》之用途约定，完成回购股份的后续处置</w:t>
      </w:r>
      <w:r>
        <w:rPr>
          <w:rFonts w:hint="eastAsia" w:cs="宋体" w:asciiTheme="minorEastAsia" w:hAnsiTheme="minorEastAsia" w:eastAsiaTheme="minorEastAsia"/>
          <w:sz w:val="24"/>
          <w:szCs w:val="24"/>
        </w:rPr>
        <w:t>。</w:t>
      </w:r>
    </w:p>
    <w:p w14:paraId="331ADCCC">
      <w:pPr>
        <w:spacing w:line="360" w:lineRule="auto"/>
        <w:ind w:firstLine="480" w:firstLineChars="200"/>
        <w:jc w:val="both"/>
        <w:rPr>
          <w:rFonts w:cs="宋体" w:asciiTheme="minorEastAsia" w:hAnsiTheme="minorEastAsia" w:eastAsiaTheme="minorEastAsia"/>
          <w:sz w:val="24"/>
          <w:szCs w:val="24"/>
        </w:rPr>
      </w:pPr>
      <w:r>
        <w:rPr>
          <w:rFonts w:cs="宋体" w:asciiTheme="minorEastAsia" w:hAnsiTheme="minorEastAsia" w:eastAsiaTheme="minorEastAsia"/>
          <w:sz w:val="24"/>
          <w:szCs w:val="24"/>
        </w:rPr>
        <w:t>2、</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股份数量及比例：拟出售回购股份不超过34,000,000股，占公司总股本的2%（以公司截</w:t>
      </w:r>
      <w:r>
        <w:rPr>
          <w:rFonts w:hint="eastAsia" w:cs="宋体" w:asciiTheme="minorEastAsia" w:hAnsiTheme="minorEastAsia" w:eastAsiaTheme="minorEastAsia"/>
          <w:sz w:val="24"/>
          <w:szCs w:val="24"/>
        </w:rPr>
        <w:t>至</w:t>
      </w:r>
      <w:r>
        <w:rPr>
          <w:rFonts w:cs="宋体" w:asciiTheme="minorEastAsia" w:hAnsiTheme="minorEastAsia" w:eastAsiaTheme="minorEastAsia"/>
          <w:sz w:val="24"/>
          <w:szCs w:val="24"/>
        </w:rPr>
        <w:t>2026年8月</w:t>
      </w:r>
      <w:r>
        <w:rPr>
          <w:rFonts w:hint="eastAsia" w:cs="宋体" w:asciiTheme="minorEastAsia" w:hAnsiTheme="minorEastAsia" w:eastAsiaTheme="minorEastAsia"/>
          <w:sz w:val="24"/>
          <w:szCs w:val="24"/>
        </w:rPr>
        <w:t>27</w:t>
      </w:r>
      <w:r>
        <w:rPr>
          <w:rFonts w:cs="宋体" w:asciiTheme="minorEastAsia" w:hAnsiTheme="minorEastAsia" w:eastAsiaTheme="minorEastAsia"/>
          <w:sz w:val="24"/>
          <w:szCs w:val="24"/>
        </w:rPr>
        <w:t>日总股本1,700,681,355股为基准）</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在任意连续90个自然日内，出售股份的总数不超过公司股份总数的1%</w:t>
      </w:r>
      <w:r>
        <w:rPr>
          <w:rFonts w:hint="eastAsia" w:cs="宋体" w:asciiTheme="minorEastAsia" w:hAnsiTheme="minorEastAsia" w:eastAsiaTheme="minorEastAsia"/>
          <w:sz w:val="24"/>
          <w:szCs w:val="24"/>
        </w:rPr>
        <w:t>。</w:t>
      </w:r>
    </w:p>
    <w:p w14:paraId="66CAB5D9">
      <w:pPr>
        <w:spacing w:line="360" w:lineRule="auto"/>
        <w:ind w:firstLine="480" w:firstLineChars="200"/>
        <w:jc w:val="both"/>
        <w:rPr>
          <w:rFonts w:cs="宋体" w:asciiTheme="minorEastAsia" w:hAnsiTheme="minorEastAsia" w:eastAsiaTheme="minorEastAsia"/>
          <w:sz w:val="24"/>
          <w:szCs w:val="24"/>
        </w:rPr>
      </w:pP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股份方式：集中竞价交易。</w:t>
      </w:r>
    </w:p>
    <w:p w14:paraId="143AC94B">
      <w:pPr>
        <w:spacing w:line="360" w:lineRule="auto"/>
        <w:ind w:firstLine="480" w:firstLineChars="200"/>
        <w:jc w:val="both"/>
        <w:rPr>
          <w:rFonts w:cs="宋体" w:asciiTheme="minorEastAsia" w:hAnsiTheme="minorEastAsia" w:eastAsiaTheme="minorEastAsia"/>
          <w:sz w:val="24"/>
          <w:szCs w:val="24"/>
        </w:rPr>
      </w:pPr>
      <w:r>
        <w:rPr>
          <w:rFonts w:cs="宋体" w:asciiTheme="minorEastAsia" w:hAnsiTheme="minorEastAsia" w:eastAsiaTheme="minorEastAsia"/>
          <w:sz w:val="24"/>
          <w:szCs w:val="24"/>
        </w:rPr>
        <w:t>4、</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实施期限：自</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计划发布之日起15个交易日后的6个月内（即2026年09月21日至2027年0</w:t>
      </w:r>
      <w:r>
        <w:rPr>
          <w:rFonts w:hint="eastAsia" w:cs="宋体" w:asciiTheme="minorEastAsia" w:hAnsiTheme="minorEastAsia" w:eastAsiaTheme="minorEastAsia"/>
          <w:sz w:val="24"/>
          <w:szCs w:val="24"/>
        </w:rPr>
        <w:t>3</w:t>
      </w:r>
      <w:r>
        <w:rPr>
          <w:rFonts w:cs="宋体" w:asciiTheme="minorEastAsia" w:hAnsiTheme="minorEastAsia" w:eastAsiaTheme="minorEastAsia"/>
          <w:sz w:val="24"/>
          <w:szCs w:val="24"/>
        </w:rPr>
        <w:t>月20日）。在此期间如遇法律法规规定的禁止</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窗口期，则不</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w:t>
      </w:r>
    </w:p>
    <w:p w14:paraId="74FAFDAF">
      <w:pPr>
        <w:spacing w:line="360" w:lineRule="auto"/>
        <w:ind w:firstLine="480" w:firstLineChars="200"/>
        <w:jc w:val="both"/>
        <w:rPr>
          <w:rFonts w:cs="宋体" w:asciiTheme="minorEastAsia" w:hAnsiTheme="minorEastAsia" w:eastAsiaTheme="minorEastAsia"/>
          <w:sz w:val="24"/>
          <w:szCs w:val="24"/>
        </w:rPr>
      </w:pPr>
      <w:r>
        <w:rPr>
          <w:rFonts w:cs="宋体" w:asciiTheme="minorEastAsia" w:hAnsiTheme="minorEastAsia" w:eastAsiaTheme="minorEastAsia"/>
          <w:sz w:val="24"/>
          <w:szCs w:val="24"/>
        </w:rPr>
        <w:t>5、</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价格区间：根据出售时的二级市场价格确定，委托价格不得为公司股票当日交易跌幅限制的价格。</w:t>
      </w:r>
    </w:p>
    <w:p w14:paraId="769BE70F">
      <w:pPr>
        <w:spacing w:line="360" w:lineRule="auto"/>
        <w:ind w:firstLine="480" w:firstLineChars="200"/>
        <w:jc w:val="both"/>
        <w:rPr>
          <w:rFonts w:cs="宋体" w:asciiTheme="minorEastAsia" w:hAnsiTheme="minorEastAsia" w:eastAsiaTheme="minorEastAsia"/>
          <w:sz w:val="24"/>
          <w:szCs w:val="24"/>
        </w:rPr>
      </w:pPr>
      <w:r>
        <w:rPr>
          <w:rFonts w:cs="宋体" w:asciiTheme="minorEastAsia" w:hAnsiTheme="minorEastAsia" w:eastAsiaTheme="minorEastAsia"/>
          <w:sz w:val="24"/>
          <w:szCs w:val="24"/>
        </w:rPr>
        <w:t>6、</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所得资金的用途及使用安排：用于补充公司流动资金。</w:t>
      </w:r>
      <w:bookmarkStart w:id="2" w:name="_Toc988891"/>
    </w:p>
    <w:p w14:paraId="620E4AF2">
      <w:pPr>
        <w:spacing w:line="360" w:lineRule="auto"/>
        <w:ind w:firstLine="480" w:firstLineChars="200"/>
        <w:jc w:val="both"/>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三、预计</w:t>
      </w:r>
      <w:r>
        <w:rPr>
          <w:rFonts w:hint="eastAsia" w:cs="宋体" w:asciiTheme="minorEastAsia" w:hAnsiTheme="minorEastAsia" w:eastAsiaTheme="minorEastAsia"/>
          <w:b/>
          <w:bCs/>
          <w:sz w:val="24"/>
          <w:szCs w:val="24"/>
        </w:rPr>
        <w:t>出售</w:t>
      </w:r>
      <w:r>
        <w:rPr>
          <w:rFonts w:cs="宋体" w:asciiTheme="minorEastAsia" w:hAnsiTheme="minorEastAsia" w:eastAsiaTheme="minorEastAsia"/>
          <w:b/>
          <w:bCs/>
          <w:sz w:val="24"/>
          <w:szCs w:val="24"/>
        </w:rPr>
        <w:t>完成后公司股本结构变动情况</w:t>
      </w:r>
      <w:bookmarkEnd w:id="2"/>
    </w:p>
    <w:p w14:paraId="7A4A1B34">
      <w:pPr>
        <w:spacing w:line="360" w:lineRule="auto"/>
        <w:ind w:firstLine="480" w:firstLineChars="200"/>
        <w:jc w:val="both"/>
        <w:rPr>
          <w:rFonts w:asciiTheme="minorEastAsia" w:hAnsiTheme="minorEastAsia" w:eastAsiaTheme="minorEastAsia"/>
          <w:sz w:val="24"/>
          <w:szCs w:val="24"/>
        </w:rPr>
      </w:pPr>
      <w:r>
        <w:rPr>
          <w:rFonts w:cs="宋体" w:asciiTheme="minorEastAsia" w:hAnsiTheme="minorEastAsia" w:eastAsiaTheme="minorEastAsia"/>
          <w:sz w:val="24"/>
          <w:szCs w:val="24"/>
        </w:rPr>
        <w:t>本次</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计划的实施不会导致公司控制权发生变化，不会导致公司总股本发生变化。预计公司</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回购股份前后的股本结构变动情况如下：</w:t>
      </w:r>
    </w:p>
    <w:tbl>
      <w:tblPr>
        <w:tblStyle w:val="7"/>
        <w:tblW w:w="913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403"/>
        <w:gridCol w:w="1984"/>
        <w:gridCol w:w="851"/>
        <w:gridCol w:w="1984"/>
        <w:gridCol w:w="913"/>
      </w:tblGrid>
      <w:tr w14:paraId="318B1B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0" w:hRule="atLeast"/>
          <w:jc w:val="center"/>
        </w:trPr>
        <w:tc>
          <w:tcPr>
            <w:tcW w:w="3403" w:type="dxa"/>
            <w:vMerge w:val="restart"/>
            <w:tcBorders>
              <w:top w:val="single" w:color="auto" w:sz="2" w:space="0"/>
              <w:left w:val="single" w:color="auto" w:sz="2" w:space="0"/>
              <w:bottom w:val="single" w:color="auto" w:sz="2" w:space="0"/>
              <w:right w:val="single" w:color="auto" w:sz="2" w:space="0"/>
            </w:tcBorders>
            <w:shd w:val="clear" w:color="auto" w:fill="D3D3D3"/>
            <w:vAlign w:val="center"/>
          </w:tcPr>
          <w:p w14:paraId="3827F319">
            <w:pPr>
              <w:spacing w:before="40" w:after="40" w:line="400" w:lineRule="exac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股份性质</w:t>
            </w:r>
          </w:p>
        </w:tc>
        <w:tc>
          <w:tcPr>
            <w:tcW w:w="2835" w:type="dxa"/>
            <w:gridSpan w:val="2"/>
            <w:tcBorders>
              <w:top w:val="single" w:color="auto" w:sz="2" w:space="0"/>
              <w:left w:val="single" w:color="auto" w:sz="2" w:space="0"/>
              <w:bottom w:val="single" w:color="auto" w:sz="2" w:space="0"/>
              <w:right w:val="single" w:color="auto" w:sz="2" w:space="0"/>
            </w:tcBorders>
            <w:shd w:val="clear" w:color="auto" w:fill="D3D3D3"/>
            <w:vAlign w:val="center"/>
          </w:tcPr>
          <w:p w14:paraId="341E9ED0">
            <w:pPr>
              <w:spacing w:before="40" w:after="40" w:line="400" w:lineRule="exac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本次</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前</w:t>
            </w:r>
          </w:p>
        </w:tc>
        <w:tc>
          <w:tcPr>
            <w:tcW w:w="2897" w:type="dxa"/>
            <w:gridSpan w:val="2"/>
            <w:tcBorders>
              <w:top w:val="single" w:color="auto" w:sz="2" w:space="0"/>
              <w:left w:val="single" w:color="auto" w:sz="2" w:space="0"/>
              <w:bottom w:val="single" w:color="auto" w:sz="2" w:space="0"/>
              <w:right w:val="single" w:color="auto" w:sz="2" w:space="0"/>
            </w:tcBorders>
            <w:shd w:val="clear" w:color="auto" w:fill="D3D3D3"/>
            <w:vAlign w:val="center"/>
          </w:tcPr>
          <w:p w14:paraId="142C5222">
            <w:pPr>
              <w:spacing w:before="40" w:after="40" w:line="400" w:lineRule="exac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本次</w:t>
            </w:r>
            <w:r>
              <w:rPr>
                <w:rFonts w:hint="eastAsia" w:cs="宋体" w:asciiTheme="minorEastAsia" w:hAnsiTheme="minorEastAsia" w:eastAsiaTheme="minorEastAsia"/>
                <w:sz w:val="24"/>
                <w:szCs w:val="24"/>
              </w:rPr>
              <w:t>出售</w:t>
            </w:r>
            <w:r>
              <w:rPr>
                <w:rFonts w:cs="宋体" w:asciiTheme="minorEastAsia" w:hAnsiTheme="minorEastAsia" w:eastAsiaTheme="minorEastAsia"/>
                <w:sz w:val="24"/>
                <w:szCs w:val="24"/>
              </w:rPr>
              <w:t>后</w:t>
            </w:r>
          </w:p>
        </w:tc>
      </w:tr>
      <w:tr w14:paraId="00E816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0" w:hRule="atLeast"/>
          <w:jc w:val="center"/>
        </w:trPr>
        <w:tc>
          <w:tcPr>
            <w:tcW w:w="3403" w:type="dxa"/>
            <w:vMerge w:val="continue"/>
            <w:tcBorders>
              <w:top w:val="single" w:color="auto" w:sz="2" w:space="0"/>
              <w:left w:val="single" w:color="auto" w:sz="2" w:space="0"/>
              <w:bottom w:val="single" w:color="auto" w:sz="2" w:space="0"/>
              <w:right w:val="single" w:color="auto" w:sz="2" w:space="0"/>
            </w:tcBorders>
            <w:shd w:val="clear" w:color="auto" w:fill="D3D3D3"/>
            <w:vAlign w:val="center"/>
          </w:tcPr>
          <w:p w14:paraId="693366EF">
            <w:pPr>
              <w:rPr>
                <w:rFonts w:asciiTheme="minorEastAsia" w:hAnsiTheme="minorEastAsia" w:eastAsiaTheme="minorEastAsia"/>
                <w:sz w:val="24"/>
                <w:szCs w:val="24"/>
              </w:rPr>
            </w:pPr>
          </w:p>
        </w:tc>
        <w:tc>
          <w:tcPr>
            <w:tcW w:w="1984" w:type="dxa"/>
            <w:tcBorders>
              <w:top w:val="single" w:color="auto" w:sz="2" w:space="0"/>
              <w:left w:val="single" w:color="auto" w:sz="2" w:space="0"/>
              <w:bottom w:val="single" w:color="auto" w:sz="2" w:space="0"/>
              <w:right w:val="single" w:color="auto" w:sz="2" w:space="0"/>
            </w:tcBorders>
            <w:shd w:val="clear" w:color="auto" w:fill="D3D3D3"/>
            <w:vAlign w:val="center"/>
          </w:tcPr>
          <w:p w14:paraId="04C719BA">
            <w:pPr>
              <w:spacing w:before="40" w:after="40" w:line="400" w:lineRule="exac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股份数量（股）</w:t>
            </w:r>
          </w:p>
        </w:tc>
        <w:tc>
          <w:tcPr>
            <w:tcW w:w="851" w:type="dxa"/>
            <w:tcBorders>
              <w:top w:val="single" w:color="auto" w:sz="2" w:space="0"/>
              <w:left w:val="single" w:color="auto" w:sz="2" w:space="0"/>
              <w:bottom w:val="single" w:color="auto" w:sz="2" w:space="0"/>
              <w:right w:val="single" w:color="auto" w:sz="2" w:space="0"/>
            </w:tcBorders>
            <w:shd w:val="clear" w:color="auto" w:fill="D3D3D3"/>
            <w:vAlign w:val="center"/>
          </w:tcPr>
          <w:p w14:paraId="6F27AF6D">
            <w:pPr>
              <w:spacing w:before="40" w:after="40" w:line="400" w:lineRule="exac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比例</w:t>
            </w:r>
          </w:p>
        </w:tc>
        <w:tc>
          <w:tcPr>
            <w:tcW w:w="1984" w:type="dxa"/>
            <w:tcBorders>
              <w:top w:val="single" w:color="auto" w:sz="2" w:space="0"/>
              <w:left w:val="single" w:color="auto" w:sz="2" w:space="0"/>
              <w:bottom w:val="single" w:color="auto" w:sz="2" w:space="0"/>
              <w:right w:val="single" w:color="auto" w:sz="2" w:space="0"/>
            </w:tcBorders>
            <w:shd w:val="clear" w:color="auto" w:fill="D3D3D3"/>
            <w:vAlign w:val="center"/>
          </w:tcPr>
          <w:p w14:paraId="6FE62914">
            <w:pPr>
              <w:spacing w:before="40" w:after="40" w:line="400" w:lineRule="exac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股份数量（股）</w:t>
            </w:r>
          </w:p>
        </w:tc>
        <w:tc>
          <w:tcPr>
            <w:tcW w:w="913" w:type="dxa"/>
            <w:tcBorders>
              <w:top w:val="single" w:color="auto" w:sz="2" w:space="0"/>
              <w:left w:val="single" w:color="auto" w:sz="2" w:space="0"/>
              <w:bottom w:val="single" w:color="auto" w:sz="2" w:space="0"/>
              <w:right w:val="single" w:color="auto" w:sz="2" w:space="0"/>
            </w:tcBorders>
            <w:shd w:val="clear" w:color="auto" w:fill="D3D3D3"/>
            <w:vAlign w:val="center"/>
          </w:tcPr>
          <w:p w14:paraId="33744DA7">
            <w:pPr>
              <w:spacing w:before="40" w:after="40" w:line="400" w:lineRule="exac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比例</w:t>
            </w:r>
          </w:p>
        </w:tc>
      </w:tr>
      <w:tr w14:paraId="6D09F8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0" w:hRule="atLeast"/>
          <w:jc w:val="center"/>
        </w:trPr>
        <w:tc>
          <w:tcPr>
            <w:tcW w:w="3403" w:type="dxa"/>
            <w:tcBorders>
              <w:top w:val="single" w:color="auto" w:sz="2" w:space="0"/>
              <w:left w:val="single" w:color="auto" w:sz="2" w:space="0"/>
              <w:bottom w:val="single" w:color="auto" w:sz="2" w:space="0"/>
              <w:right w:val="single" w:color="auto" w:sz="2" w:space="0"/>
            </w:tcBorders>
            <w:vAlign w:val="center"/>
          </w:tcPr>
          <w:p w14:paraId="270728B3">
            <w:pPr>
              <w:spacing w:before="40" w:after="40"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一、有限售条件流通股</w:t>
            </w:r>
          </w:p>
        </w:tc>
        <w:tc>
          <w:tcPr>
            <w:tcW w:w="1984" w:type="dxa"/>
            <w:tcBorders>
              <w:top w:val="single" w:color="auto" w:sz="2" w:space="0"/>
              <w:left w:val="single" w:color="auto" w:sz="2" w:space="0"/>
              <w:bottom w:val="single" w:color="auto" w:sz="2" w:space="0"/>
              <w:right w:val="single" w:color="auto" w:sz="2" w:space="0"/>
            </w:tcBorders>
            <w:vAlign w:val="center"/>
          </w:tcPr>
          <w:p w14:paraId="05A268E3">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0</w:t>
            </w:r>
          </w:p>
        </w:tc>
        <w:tc>
          <w:tcPr>
            <w:tcW w:w="851" w:type="dxa"/>
            <w:tcBorders>
              <w:top w:val="single" w:color="auto" w:sz="2" w:space="0"/>
              <w:left w:val="single" w:color="auto" w:sz="2" w:space="0"/>
              <w:bottom w:val="single" w:color="auto" w:sz="2" w:space="0"/>
              <w:right w:val="single" w:color="auto" w:sz="2" w:space="0"/>
            </w:tcBorders>
            <w:vAlign w:val="center"/>
          </w:tcPr>
          <w:p w14:paraId="5ACA6DE9">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0%</w:t>
            </w:r>
          </w:p>
        </w:tc>
        <w:tc>
          <w:tcPr>
            <w:tcW w:w="1984" w:type="dxa"/>
            <w:tcBorders>
              <w:top w:val="single" w:color="auto" w:sz="2" w:space="0"/>
              <w:left w:val="single" w:color="auto" w:sz="2" w:space="0"/>
              <w:bottom w:val="single" w:color="auto" w:sz="2" w:space="0"/>
              <w:right w:val="single" w:color="auto" w:sz="2" w:space="0"/>
            </w:tcBorders>
            <w:vAlign w:val="center"/>
          </w:tcPr>
          <w:p w14:paraId="3580DF49">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0</w:t>
            </w:r>
          </w:p>
        </w:tc>
        <w:tc>
          <w:tcPr>
            <w:tcW w:w="913" w:type="dxa"/>
            <w:tcBorders>
              <w:top w:val="single" w:color="auto" w:sz="2" w:space="0"/>
              <w:left w:val="single" w:color="auto" w:sz="2" w:space="0"/>
              <w:bottom w:val="single" w:color="auto" w:sz="2" w:space="0"/>
              <w:right w:val="single" w:color="auto" w:sz="2" w:space="0"/>
            </w:tcBorders>
            <w:vAlign w:val="center"/>
          </w:tcPr>
          <w:p w14:paraId="3011F6EC">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0%</w:t>
            </w:r>
          </w:p>
        </w:tc>
      </w:tr>
      <w:tr w14:paraId="67B845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0" w:hRule="atLeast"/>
          <w:jc w:val="center"/>
        </w:trPr>
        <w:tc>
          <w:tcPr>
            <w:tcW w:w="3403" w:type="dxa"/>
            <w:tcBorders>
              <w:top w:val="single" w:color="auto" w:sz="2" w:space="0"/>
              <w:left w:val="single" w:color="auto" w:sz="2" w:space="0"/>
              <w:bottom w:val="single" w:color="auto" w:sz="2" w:space="0"/>
              <w:right w:val="single" w:color="auto" w:sz="2" w:space="0"/>
            </w:tcBorders>
            <w:vAlign w:val="center"/>
          </w:tcPr>
          <w:p w14:paraId="058F1BBD">
            <w:pPr>
              <w:spacing w:before="40" w:after="40"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二、无限售条件流通股</w:t>
            </w:r>
          </w:p>
        </w:tc>
        <w:tc>
          <w:tcPr>
            <w:tcW w:w="1984" w:type="dxa"/>
            <w:tcBorders>
              <w:top w:val="single" w:color="auto" w:sz="2" w:space="0"/>
              <w:left w:val="single" w:color="auto" w:sz="2" w:space="0"/>
              <w:bottom w:val="single" w:color="auto" w:sz="2" w:space="0"/>
              <w:right w:val="single" w:color="auto" w:sz="2" w:space="0"/>
            </w:tcBorders>
            <w:vAlign w:val="center"/>
          </w:tcPr>
          <w:p w14:paraId="4724BD7B">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1,700,681,355</w:t>
            </w:r>
          </w:p>
        </w:tc>
        <w:tc>
          <w:tcPr>
            <w:tcW w:w="851" w:type="dxa"/>
            <w:tcBorders>
              <w:top w:val="single" w:color="auto" w:sz="2" w:space="0"/>
              <w:left w:val="single" w:color="auto" w:sz="2" w:space="0"/>
              <w:bottom w:val="single" w:color="auto" w:sz="2" w:space="0"/>
              <w:right w:val="single" w:color="auto" w:sz="2" w:space="0"/>
            </w:tcBorders>
            <w:vAlign w:val="center"/>
          </w:tcPr>
          <w:p w14:paraId="641A1A04">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100%</w:t>
            </w:r>
          </w:p>
        </w:tc>
        <w:tc>
          <w:tcPr>
            <w:tcW w:w="1984" w:type="dxa"/>
            <w:tcBorders>
              <w:top w:val="single" w:color="auto" w:sz="2" w:space="0"/>
              <w:left w:val="single" w:color="auto" w:sz="2" w:space="0"/>
              <w:bottom w:val="single" w:color="auto" w:sz="2" w:space="0"/>
              <w:right w:val="single" w:color="auto" w:sz="2" w:space="0"/>
            </w:tcBorders>
            <w:vAlign w:val="center"/>
          </w:tcPr>
          <w:p w14:paraId="3B23B460">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1,700,681,355</w:t>
            </w:r>
          </w:p>
        </w:tc>
        <w:tc>
          <w:tcPr>
            <w:tcW w:w="913" w:type="dxa"/>
            <w:tcBorders>
              <w:top w:val="single" w:color="auto" w:sz="2" w:space="0"/>
              <w:left w:val="single" w:color="auto" w:sz="2" w:space="0"/>
              <w:bottom w:val="single" w:color="auto" w:sz="2" w:space="0"/>
              <w:right w:val="single" w:color="auto" w:sz="2" w:space="0"/>
            </w:tcBorders>
            <w:vAlign w:val="center"/>
          </w:tcPr>
          <w:p w14:paraId="458E6755">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100%</w:t>
            </w:r>
          </w:p>
        </w:tc>
      </w:tr>
      <w:tr w14:paraId="1F99E7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0" w:hRule="atLeast"/>
          <w:jc w:val="center"/>
        </w:trPr>
        <w:tc>
          <w:tcPr>
            <w:tcW w:w="3403" w:type="dxa"/>
            <w:tcBorders>
              <w:top w:val="single" w:color="auto" w:sz="2" w:space="0"/>
              <w:left w:val="single" w:color="auto" w:sz="2" w:space="0"/>
              <w:bottom w:val="single" w:color="auto" w:sz="2" w:space="0"/>
              <w:right w:val="single" w:color="auto" w:sz="2" w:space="0"/>
            </w:tcBorders>
            <w:vAlign w:val="center"/>
          </w:tcPr>
          <w:p w14:paraId="5D48C332">
            <w:pPr>
              <w:spacing w:line="400" w:lineRule="exact"/>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其中：回购专用证券账户</w:t>
            </w:r>
          </w:p>
        </w:tc>
        <w:tc>
          <w:tcPr>
            <w:tcW w:w="1984" w:type="dxa"/>
            <w:tcBorders>
              <w:top w:val="single" w:color="auto" w:sz="2" w:space="0"/>
              <w:left w:val="single" w:color="auto" w:sz="2" w:space="0"/>
              <w:bottom w:val="single" w:color="auto" w:sz="2" w:space="0"/>
              <w:right w:val="single" w:color="auto" w:sz="2" w:space="0"/>
            </w:tcBorders>
            <w:vAlign w:val="center"/>
          </w:tcPr>
          <w:p w14:paraId="29CA0843">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34,403,171</w:t>
            </w:r>
          </w:p>
        </w:tc>
        <w:tc>
          <w:tcPr>
            <w:tcW w:w="851" w:type="dxa"/>
            <w:tcBorders>
              <w:top w:val="single" w:color="auto" w:sz="2" w:space="0"/>
              <w:left w:val="single" w:color="auto" w:sz="2" w:space="0"/>
              <w:bottom w:val="single" w:color="auto" w:sz="2" w:space="0"/>
              <w:right w:val="single" w:color="auto" w:sz="2" w:space="0"/>
            </w:tcBorders>
            <w:vAlign w:val="center"/>
          </w:tcPr>
          <w:p w14:paraId="6EBB444E">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2.02%</w:t>
            </w:r>
          </w:p>
        </w:tc>
        <w:tc>
          <w:tcPr>
            <w:tcW w:w="1984" w:type="dxa"/>
            <w:tcBorders>
              <w:top w:val="single" w:color="auto" w:sz="2" w:space="0"/>
              <w:left w:val="single" w:color="auto" w:sz="2" w:space="0"/>
              <w:bottom w:val="single" w:color="auto" w:sz="2" w:space="0"/>
              <w:right w:val="single" w:color="auto" w:sz="2" w:space="0"/>
            </w:tcBorders>
            <w:vAlign w:val="center"/>
          </w:tcPr>
          <w:p w14:paraId="2D92CE0B">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403,171</w:t>
            </w:r>
          </w:p>
        </w:tc>
        <w:tc>
          <w:tcPr>
            <w:tcW w:w="913" w:type="dxa"/>
            <w:tcBorders>
              <w:top w:val="single" w:color="auto" w:sz="2" w:space="0"/>
              <w:left w:val="single" w:color="auto" w:sz="2" w:space="0"/>
              <w:bottom w:val="single" w:color="auto" w:sz="2" w:space="0"/>
              <w:right w:val="single" w:color="auto" w:sz="2" w:space="0"/>
            </w:tcBorders>
            <w:vAlign w:val="center"/>
          </w:tcPr>
          <w:p w14:paraId="4BC29482">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0.02%</w:t>
            </w:r>
          </w:p>
        </w:tc>
      </w:tr>
      <w:tr w14:paraId="53CF91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0" w:hRule="atLeast"/>
          <w:jc w:val="center"/>
        </w:trPr>
        <w:tc>
          <w:tcPr>
            <w:tcW w:w="3403" w:type="dxa"/>
            <w:tcBorders>
              <w:top w:val="single" w:color="auto" w:sz="2" w:space="0"/>
              <w:left w:val="single" w:color="auto" w:sz="2" w:space="0"/>
              <w:bottom w:val="single" w:color="auto" w:sz="2" w:space="0"/>
              <w:right w:val="single" w:color="auto" w:sz="2" w:space="0"/>
            </w:tcBorders>
            <w:shd w:val="clear" w:color="auto" w:fill="D3D3D3"/>
            <w:vAlign w:val="center"/>
          </w:tcPr>
          <w:p w14:paraId="4EC90AAA">
            <w:pPr>
              <w:spacing w:before="40" w:after="40" w:line="400" w:lineRule="exact"/>
              <w:jc w:val="center"/>
              <w:rPr>
                <w:rFonts w:cs="宋体" w:asciiTheme="minorEastAsia" w:hAnsiTheme="minorEastAsia" w:eastAsiaTheme="minorEastAsia"/>
                <w:sz w:val="24"/>
                <w:szCs w:val="24"/>
              </w:rPr>
            </w:pPr>
            <w:r>
              <w:rPr>
                <w:rFonts w:cs="宋体" w:asciiTheme="minorEastAsia" w:hAnsiTheme="minorEastAsia" w:eastAsiaTheme="minorEastAsia"/>
                <w:sz w:val="24"/>
                <w:szCs w:val="24"/>
              </w:rPr>
              <w:t>三、总股本</w:t>
            </w:r>
          </w:p>
        </w:tc>
        <w:tc>
          <w:tcPr>
            <w:tcW w:w="1984" w:type="dxa"/>
            <w:tcBorders>
              <w:top w:val="single" w:color="auto" w:sz="2" w:space="0"/>
              <w:left w:val="single" w:color="auto" w:sz="2" w:space="0"/>
              <w:bottom w:val="single" w:color="auto" w:sz="2" w:space="0"/>
              <w:right w:val="single" w:color="auto" w:sz="2" w:space="0"/>
            </w:tcBorders>
            <w:vAlign w:val="center"/>
          </w:tcPr>
          <w:p w14:paraId="7665DD79">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1,700,681,355</w:t>
            </w:r>
          </w:p>
        </w:tc>
        <w:tc>
          <w:tcPr>
            <w:tcW w:w="851" w:type="dxa"/>
            <w:tcBorders>
              <w:top w:val="single" w:color="auto" w:sz="2" w:space="0"/>
              <w:left w:val="single" w:color="auto" w:sz="2" w:space="0"/>
              <w:bottom w:val="single" w:color="auto" w:sz="2" w:space="0"/>
              <w:right w:val="single" w:color="auto" w:sz="2" w:space="0"/>
            </w:tcBorders>
            <w:vAlign w:val="center"/>
          </w:tcPr>
          <w:p w14:paraId="4DD69C62">
            <w:pPr>
              <w:spacing w:before="40" w:after="40"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100%</w:t>
            </w:r>
          </w:p>
        </w:tc>
        <w:tc>
          <w:tcPr>
            <w:tcW w:w="1984" w:type="dxa"/>
            <w:tcBorders>
              <w:top w:val="single" w:color="auto" w:sz="2" w:space="0"/>
              <w:left w:val="single" w:color="auto" w:sz="2" w:space="0"/>
              <w:bottom w:val="single" w:color="auto" w:sz="2" w:space="0"/>
              <w:right w:val="single" w:color="auto" w:sz="2" w:space="0"/>
            </w:tcBorders>
            <w:vAlign w:val="center"/>
          </w:tcPr>
          <w:p w14:paraId="55614E74">
            <w:pPr>
              <w:spacing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1,700,681,355</w:t>
            </w:r>
          </w:p>
        </w:tc>
        <w:tc>
          <w:tcPr>
            <w:tcW w:w="913" w:type="dxa"/>
            <w:tcBorders>
              <w:top w:val="single" w:color="auto" w:sz="2" w:space="0"/>
              <w:left w:val="single" w:color="auto" w:sz="2" w:space="0"/>
              <w:bottom w:val="single" w:color="auto" w:sz="2" w:space="0"/>
              <w:right w:val="single" w:color="auto" w:sz="2" w:space="0"/>
            </w:tcBorders>
            <w:vAlign w:val="center"/>
          </w:tcPr>
          <w:p w14:paraId="6F236C41">
            <w:pPr>
              <w:spacing w:before="40" w:after="40" w:line="400" w:lineRule="exact"/>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100%</w:t>
            </w:r>
          </w:p>
        </w:tc>
      </w:tr>
    </w:tbl>
    <w:p w14:paraId="7F4A0E0B">
      <w:pPr>
        <w:spacing w:line="360" w:lineRule="auto"/>
        <w:ind w:firstLine="480" w:firstLineChars="200"/>
        <w:jc w:val="both"/>
        <w:rPr>
          <w:rFonts w:cs="宋体" w:asciiTheme="minorEastAsia" w:hAnsiTheme="minorEastAsia" w:eastAsiaTheme="minorEastAsia"/>
          <w:b/>
          <w:bCs/>
          <w:sz w:val="24"/>
          <w:szCs w:val="24"/>
        </w:rPr>
      </w:pPr>
      <w:bookmarkStart w:id="3" w:name="_Toc988892"/>
      <w:r>
        <w:rPr>
          <w:rFonts w:cs="宋体" w:asciiTheme="minorEastAsia" w:hAnsiTheme="minorEastAsia" w:eastAsiaTheme="minorEastAsia"/>
          <w:b/>
          <w:bCs/>
          <w:sz w:val="24"/>
          <w:szCs w:val="24"/>
        </w:rPr>
        <w:t>四、管理层关于本次</w:t>
      </w:r>
      <w:r>
        <w:rPr>
          <w:rFonts w:hint="eastAsia" w:cs="宋体" w:asciiTheme="minorEastAsia" w:hAnsiTheme="minorEastAsia" w:eastAsiaTheme="minorEastAsia"/>
          <w:b/>
          <w:bCs/>
          <w:sz w:val="24"/>
          <w:szCs w:val="24"/>
        </w:rPr>
        <w:t>出售</w:t>
      </w:r>
      <w:r>
        <w:rPr>
          <w:rFonts w:cs="宋体" w:asciiTheme="minorEastAsia" w:hAnsiTheme="minorEastAsia" w:eastAsiaTheme="minorEastAsia"/>
          <w:b/>
          <w:bCs/>
          <w:sz w:val="24"/>
          <w:szCs w:val="24"/>
        </w:rPr>
        <w:t>已回购股份对公司经营、财务及未来发展影响等情况的分析</w:t>
      </w:r>
      <w:bookmarkEnd w:id="3"/>
    </w:p>
    <w:p w14:paraId="0AC9DA09">
      <w:pPr>
        <w:pStyle w:val="6"/>
        <w:widowControl/>
        <w:spacing w:beforeAutospacing="0" w:afterAutospacing="0" w:line="360" w:lineRule="auto"/>
        <w:ind w:firstLine="480" w:firstLineChars="200"/>
        <w:jc w:val="both"/>
        <w:rPr>
          <w:rFonts w:cs="宋体" w:asciiTheme="minorEastAsia" w:hAnsiTheme="minorEastAsia" w:eastAsiaTheme="minorEastAsia"/>
          <w:szCs w:val="24"/>
        </w:rPr>
      </w:pPr>
      <w:r>
        <w:rPr>
          <w:rFonts w:hint="eastAsia" w:cs="宋体" w:asciiTheme="minorEastAsia" w:hAnsiTheme="minorEastAsia" w:eastAsiaTheme="minorEastAsia"/>
          <w:szCs w:val="24"/>
        </w:rPr>
        <w:t>公司本次出售已回购股份所得的资金，将用于补充公司营运资金，有利于提高公司资金使用效率，提升公司持续经营能力，维护公司和广大投资者的利益。根据企业会计准则的相关规定，本次出售股份价格与回购股份价格的差额部分将计入或者冲减公司资本公积，不影响公司当期利润，不会对公司的经营、财务和未来发展产生重大影响。</w:t>
      </w:r>
      <w:bookmarkStart w:id="4" w:name="_Toc988893"/>
    </w:p>
    <w:p w14:paraId="23E6B99D">
      <w:pPr>
        <w:pStyle w:val="6"/>
        <w:widowControl/>
        <w:spacing w:beforeAutospacing="0" w:afterAutospacing="0" w:line="360" w:lineRule="auto"/>
        <w:ind w:firstLine="480" w:firstLineChars="200"/>
        <w:jc w:val="both"/>
        <w:rPr>
          <w:rFonts w:cs="宋体" w:asciiTheme="minorEastAsia" w:hAnsiTheme="minorEastAsia" w:eastAsiaTheme="minorEastAsia"/>
          <w:b/>
          <w:bCs/>
          <w:szCs w:val="24"/>
        </w:rPr>
      </w:pPr>
      <w:r>
        <w:rPr>
          <w:rFonts w:cs="宋体" w:asciiTheme="minorEastAsia" w:hAnsiTheme="minorEastAsia" w:eastAsiaTheme="minorEastAsia"/>
          <w:b/>
          <w:bCs/>
          <w:szCs w:val="24"/>
        </w:rPr>
        <w:t>五、公司董事、高级管理人员，控股股东、实际控制人及其一致行动人在董事会作出</w:t>
      </w:r>
      <w:r>
        <w:rPr>
          <w:rFonts w:hint="eastAsia" w:cs="宋体" w:asciiTheme="minorEastAsia" w:hAnsiTheme="minorEastAsia" w:eastAsiaTheme="minorEastAsia"/>
          <w:b/>
          <w:bCs/>
          <w:szCs w:val="24"/>
        </w:rPr>
        <w:t>出售</w:t>
      </w:r>
      <w:r>
        <w:rPr>
          <w:rFonts w:cs="宋体" w:asciiTheme="minorEastAsia" w:hAnsiTheme="minorEastAsia" w:eastAsiaTheme="minorEastAsia"/>
          <w:b/>
          <w:bCs/>
          <w:szCs w:val="24"/>
        </w:rPr>
        <w:t>决议前六个月内买卖本公司股份的情况</w:t>
      </w:r>
      <w:bookmarkEnd w:id="4"/>
    </w:p>
    <w:p w14:paraId="5ABD541A">
      <w:pPr>
        <w:pStyle w:val="6"/>
        <w:widowControl/>
        <w:spacing w:beforeAutospacing="0" w:afterAutospacing="0" w:line="360" w:lineRule="auto"/>
        <w:ind w:firstLine="480" w:firstLineChars="200"/>
        <w:jc w:val="both"/>
        <w:rPr>
          <w:rFonts w:cs="宋体" w:asciiTheme="minorEastAsia" w:hAnsiTheme="minorEastAsia" w:eastAsiaTheme="minorEastAsia"/>
          <w:szCs w:val="24"/>
        </w:rPr>
      </w:pPr>
      <w:r>
        <w:rPr>
          <w:rFonts w:hint="eastAsia" w:cs="宋体" w:asciiTheme="minorEastAsia" w:hAnsiTheme="minorEastAsia" w:eastAsiaTheme="minorEastAsia"/>
          <w:szCs w:val="24"/>
        </w:rPr>
        <w:t>经公司核查，公司董事、高级管理人员、控股股东、实际控制人及其一致行动人在董事会作出出售股份决议前六个月内不存在买卖本公司股份的情况。</w:t>
      </w:r>
      <w:bookmarkStart w:id="5" w:name="_Toc988894"/>
    </w:p>
    <w:p w14:paraId="2549526A">
      <w:pPr>
        <w:pStyle w:val="6"/>
        <w:widowControl/>
        <w:spacing w:beforeAutospacing="0" w:afterAutospacing="0" w:line="360" w:lineRule="auto"/>
        <w:ind w:firstLine="480" w:firstLineChars="200"/>
        <w:jc w:val="both"/>
        <w:rPr>
          <w:rFonts w:cs="宋体" w:asciiTheme="minorEastAsia" w:hAnsiTheme="minorEastAsia" w:eastAsiaTheme="minorEastAsia"/>
          <w:b/>
          <w:bCs/>
          <w:szCs w:val="24"/>
        </w:rPr>
      </w:pPr>
      <w:r>
        <w:rPr>
          <w:rFonts w:cs="宋体" w:asciiTheme="minorEastAsia" w:hAnsiTheme="minorEastAsia" w:eastAsiaTheme="minorEastAsia"/>
          <w:b/>
          <w:bCs/>
          <w:szCs w:val="24"/>
        </w:rPr>
        <w:t>六、风险提示</w:t>
      </w:r>
      <w:bookmarkEnd w:id="5"/>
    </w:p>
    <w:p w14:paraId="3E7C7114">
      <w:pPr>
        <w:widowControl/>
        <w:spacing w:line="360" w:lineRule="auto"/>
        <w:ind w:firstLine="480" w:firstLineChars="200"/>
        <w:jc w:val="both"/>
        <w:rPr>
          <w:rFonts w:asciiTheme="minorEastAsia" w:hAnsiTheme="minorEastAsia" w:eastAsiaTheme="minorEastAsia"/>
          <w:sz w:val="24"/>
          <w:szCs w:val="24"/>
        </w:rPr>
      </w:pPr>
      <w:r>
        <w:rPr>
          <w:rFonts w:hint="eastAsia" w:cs="宋体" w:asciiTheme="minorEastAsia" w:hAnsiTheme="minorEastAsia" w:eastAsiaTheme="minorEastAsia"/>
          <w:sz w:val="24"/>
          <w:szCs w:val="24"/>
        </w:rPr>
        <w:t>1、本次出售公司已回购股份计划实施存在不确定风险，公司将根据市场情况、公司股价波动等情形决定实施对应股份出售计划，本次回购出售计划存在出售时间、数量、价格的不确定性，可能存在无法按计划完成出售的情形。</w:t>
      </w:r>
    </w:p>
    <w:p w14:paraId="45597A9C">
      <w:pPr>
        <w:widowControl/>
        <w:spacing w:line="360" w:lineRule="auto"/>
        <w:ind w:firstLine="480" w:firstLineChars="200"/>
        <w:jc w:val="both"/>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本次拟出售部分已回购股份事项符合《深圳证券交易所上市公司自律监管指引第9号——回购股份》等相关规定。在上述出售期间内，公司将严格按照有关法律、行政法规、部门规章及规范性文件等相关规定，及时履行信息披露义务。敬请广大投资者谨慎投资，注意投资风险。</w:t>
      </w:r>
      <w:bookmarkStart w:id="6" w:name="_Toc988895"/>
    </w:p>
    <w:p w14:paraId="544AD58D">
      <w:pPr>
        <w:widowControl/>
        <w:spacing w:line="360" w:lineRule="auto"/>
        <w:ind w:firstLine="480" w:firstLineChars="200"/>
        <w:jc w:val="both"/>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七、备查文件</w:t>
      </w:r>
      <w:bookmarkEnd w:id="6"/>
    </w:p>
    <w:p w14:paraId="7A45D768">
      <w:pPr>
        <w:widowControl/>
        <w:spacing w:line="360" w:lineRule="auto"/>
        <w:ind w:firstLine="480" w:firstLineChars="200"/>
        <w:jc w:val="both"/>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1、第九届董事会2026年第二次临时会议决议</w:t>
      </w:r>
      <w:bookmarkStart w:id="7" w:name="_Toc988896"/>
      <w:bookmarkEnd w:id="7"/>
    </w:p>
    <w:p w14:paraId="38E20BC7">
      <w:pPr>
        <w:spacing w:line="360" w:lineRule="auto"/>
        <w:ind w:firstLine="480" w:firstLineChars="200"/>
        <w:jc w:val="both"/>
        <w:rPr>
          <w:rFonts w:cs="宋体" w:asciiTheme="minorEastAsia" w:hAnsiTheme="minorEastAsia" w:eastAsiaTheme="minorEastAsia"/>
          <w:sz w:val="24"/>
          <w:szCs w:val="24"/>
        </w:rPr>
      </w:pPr>
      <w:r>
        <w:rPr>
          <w:rFonts w:cs="宋体" w:asciiTheme="minorEastAsia" w:hAnsiTheme="minorEastAsia" w:eastAsiaTheme="minorEastAsia"/>
          <w:sz w:val="24"/>
          <w:szCs w:val="24"/>
        </w:rPr>
        <w:t>特此公告。</w:t>
      </w:r>
    </w:p>
    <w:p w14:paraId="68C3E8A1">
      <w:pPr>
        <w:spacing w:line="360" w:lineRule="auto"/>
        <w:ind w:firstLine="480" w:firstLineChars="200"/>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华孚时尚股份有限公司</w:t>
      </w:r>
    </w:p>
    <w:p w14:paraId="7C29C4CF">
      <w:pPr>
        <w:spacing w:line="360" w:lineRule="auto"/>
        <w:ind w:firstLine="480" w:firstLineChars="200"/>
        <w:jc w:val="right"/>
        <w:rPr>
          <w:rFonts w:cs="宋体" w:asciiTheme="minorEastAsia" w:hAnsiTheme="minorEastAsia" w:eastAsiaTheme="minorEastAsia"/>
          <w:sz w:val="24"/>
          <w:szCs w:val="24"/>
        </w:rPr>
      </w:pPr>
      <w:r>
        <w:rPr>
          <w:rFonts w:cs="宋体" w:asciiTheme="minorEastAsia" w:hAnsiTheme="minorEastAsia" w:eastAsiaTheme="minorEastAsia"/>
          <w:sz w:val="24"/>
          <w:szCs w:val="24"/>
        </w:rPr>
        <w:t>董事会</w:t>
      </w:r>
    </w:p>
    <w:p w14:paraId="7FE88626">
      <w:pPr>
        <w:spacing w:line="360" w:lineRule="auto"/>
        <w:ind w:firstLine="480" w:firstLineChars="200"/>
        <w:jc w:val="righ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二零二六</w:t>
      </w:r>
      <w:r>
        <w:rPr>
          <w:rFonts w:cs="宋体" w:asciiTheme="minorEastAsia" w:hAnsiTheme="minorEastAsia" w:eastAsiaTheme="minorEastAsia"/>
          <w:sz w:val="24"/>
          <w:szCs w:val="24"/>
        </w:rPr>
        <w:t>年</w:t>
      </w:r>
      <w:r>
        <w:rPr>
          <w:rFonts w:hint="eastAsia" w:cs="宋体" w:asciiTheme="minorEastAsia" w:hAnsiTheme="minorEastAsia" w:eastAsiaTheme="minorEastAsia"/>
          <w:sz w:val="24"/>
          <w:szCs w:val="24"/>
        </w:rPr>
        <w:t>八</w:t>
      </w:r>
      <w:r>
        <w:rPr>
          <w:rFonts w:cs="宋体" w:asciiTheme="minorEastAsia" w:hAnsiTheme="minorEastAsia" w:eastAsiaTheme="minorEastAsia"/>
          <w:sz w:val="24"/>
          <w:szCs w:val="24"/>
        </w:rPr>
        <w:t>月</w:t>
      </w:r>
      <w:r>
        <w:rPr>
          <w:rFonts w:hint="eastAsia" w:cs="宋体" w:asciiTheme="minorEastAsia" w:hAnsiTheme="minorEastAsia" w:eastAsiaTheme="minorEastAsia"/>
          <w:sz w:val="24"/>
          <w:szCs w:val="24"/>
        </w:rPr>
        <w:t>二十八</w:t>
      </w:r>
      <w:r>
        <w:rPr>
          <w:rFonts w:cs="宋体" w:asciiTheme="minorEastAsia" w:hAnsiTheme="minorEastAsia" w:eastAsiaTheme="minorEastAsia"/>
          <w:sz w:val="24"/>
          <w:szCs w:val="24"/>
        </w:rPr>
        <w:t>日</w:t>
      </w:r>
    </w:p>
    <w:sectPr>
      <w:headerReference r:id="rId3" w:type="default"/>
      <w:footerReference r:id="rId4" w:type="default"/>
      <w:pgSz w:w="11905" w:h="16840"/>
      <w:pgMar w:top="1440" w:right="1800" w:bottom="1440" w:left="1800" w:header="850"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FE36A">
    <w:pPr>
      <w:pStyle w:val="12"/>
    </w:pPr>
    <w:r>
      <w:fldChar w:fldCharType="begin"/>
    </w:r>
    <w:r>
      <w:instrText xml:space="preserve">PAGE   \* MERGEFORMAT</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D4995">
    <w:pPr>
      <w:pStyle w:val="10"/>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characterSpacingControl w:val="doNotCompress"/>
  <w:compat>
    <w:doNotExpandShiftReturn/>
    <w:useFELayout/>
    <w:compatSetting w:name="compatibilityMode" w:uri="http://schemas.microsoft.com/office/word" w:val="14"/>
  </w:compat>
  <w:rsids>
    <w:rsidRoot w:val="00CD7291"/>
    <w:rsid w:val="000D5514"/>
    <w:rsid w:val="003D6C14"/>
    <w:rsid w:val="006D5A13"/>
    <w:rsid w:val="009C15A8"/>
    <w:rsid w:val="00C52998"/>
    <w:rsid w:val="00CD7291"/>
    <w:rsid w:val="1B1A7C0B"/>
    <w:rsid w:val="1B4C5C4C"/>
    <w:rsid w:val="1D74336F"/>
    <w:rsid w:val="3FCF0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宋体" w:cs="Times New Roman"/>
      <w:sz w:val="21"/>
      <w:szCs w:val="22"/>
      <w:lang w:val="en-US" w:eastAsia="zh-CN" w:bidi="ar-SA"/>
    </w:rPr>
  </w:style>
  <w:style w:type="paragraph" w:styleId="2">
    <w:name w:val="heading 2"/>
    <w:basedOn w:val="1"/>
    <w:next w:val="1"/>
    <w:unhideWhenUsed/>
    <w:qFormat/>
    <w:uiPriority w:val="9"/>
    <w:pPr>
      <w:keepNext/>
      <w:keepLines/>
      <w:spacing w:before="156" w:after="156"/>
      <w:outlineLvl w:val="1"/>
    </w:pPr>
    <w:rPr>
      <w:szCs w:val="21"/>
    </w:rPr>
  </w:style>
  <w:style w:type="paragraph" w:styleId="3">
    <w:name w:val="heading 3"/>
    <w:basedOn w:val="1"/>
    <w:next w:val="1"/>
    <w:qFormat/>
    <w:uiPriority w:val="99"/>
    <w:pPr>
      <w:keepNext/>
      <w:keepLines/>
      <w:spacing w:before="300" w:after="300" w:line="241" w:lineRule="auto"/>
      <w:jc w:val="both"/>
      <w:outlineLvl w:val="2"/>
    </w:pPr>
    <w:rPr>
      <w:szCs w:val="21"/>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toc 1"/>
    <w:basedOn w:val="1"/>
    <w:next w:val="1"/>
    <w:autoRedefine/>
    <w:qFormat/>
    <w:uiPriority w:val="39"/>
  </w:style>
  <w:style w:type="paragraph" w:styleId="5">
    <w:name w:val="toc 2"/>
    <w:basedOn w:val="1"/>
    <w:next w:val="1"/>
    <w:autoRedefine/>
    <w:unhideWhenUsed/>
    <w:qFormat/>
    <w:uiPriority w:val="39"/>
    <w:pPr>
      <w:ind w:left="420" w:leftChars="200"/>
    </w:pPr>
  </w:style>
  <w:style w:type="paragraph" w:styleId="6">
    <w:name w:val="Normal (Web)"/>
    <w:basedOn w:val="1"/>
    <w:qFormat/>
    <w:uiPriority w:val="0"/>
    <w:pPr>
      <w:spacing w:beforeAutospacing="1" w:afterAutospacing="1"/>
    </w:pPr>
    <w:rPr>
      <w:sz w:val="24"/>
    </w:rPr>
  </w:style>
  <w:style w:type="character" w:styleId="9">
    <w:name w:val="Hyperlink"/>
    <w:basedOn w:val="8"/>
    <w:qFormat/>
    <w:uiPriority w:val="0"/>
    <w:rPr>
      <w:color w:val="0000FF"/>
      <w:u w:val="single"/>
    </w:rPr>
  </w:style>
  <w:style w:type="paragraph" w:customStyle="1" w:styleId="10">
    <w:name w:val="Header 1"/>
    <w:qFormat/>
    <w:uiPriority w:val="0"/>
    <w:pPr>
      <w:jc w:val="right"/>
    </w:pPr>
    <w:rPr>
      <w:rFonts w:ascii="宋体" w:hAnsi="Times New Roman" w:eastAsia="宋体" w:cs="Times New Roman"/>
      <w:sz w:val="18"/>
      <w:szCs w:val="18"/>
      <w:lang w:val="en-US" w:eastAsia="zh-CN" w:bidi="ar-SA"/>
    </w:rPr>
  </w:style>
  <w:style w:type="paragraph" w:customStyle="1" w:styleId="11">
    <w:name w:val="heading h1"/>
    <w:basedOn w:val="1"/>
    <w:next w:val="1"/>
    <w:qFormat/>
    <w:uiPriority w:val="9"/>
    <w:pPr>
      <w:keepNext/>
      <w:keepLines/>
      <w:spacing w:before="240" w:after="240" w:line="578" w:lineRule="auto"/>
      <w:outlineLvl w:val="0"/>
    </w:pPr>
    <w:rPr>
      <w:kern w:val="44"/>
      <w:sz w:val="44"/>
      <w:szCs w:val="44"/>
    </w:rPr>
  </w:style>
  <w:style w:type="paragraph" w:customStyle="1" w:styleId="12">
    <w:name w:val="fotter 1"/>
    <w:qFormat/>
    <w:uiPriority w:val="0"/>
    <w:pPr>
      <w:jc w:val="right"/>
    </w:pPr>
    <w:rPr>
      <w:rFonts w:ascii="宋体"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2DA8E-2F93-44BD-AF91-8D048686C68A}">
  <ds:schemaRefs/>
</ds:datastoreItem>
</file>

<file path=docProps/app.xml><?xml version="1.0" encoding="utf-8"?>
<Properties xmlns="http://schemas.openxmlformats.org/officeDocument/2006/extended-properties" xmlns:vt="http://schemas.openxmlformats.org/officeDocument/2006/docPropsVTypes">
  <Template>Normal</Template>
  <Pages>3</Pages>
  <Words>1686</Words>
  <Characters>1966</Characters>
  <Lines>14</Lines>
  <Paragraphs>4</Paragraphs>
  <TotalTime>44</TotalTime>
  <ScaleCrop>false</ScaleCrop>
  <LinksUpToDate>false</LinksUpToDate>
  <CharactersWithSpaces>2004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2026-08-27T02:24:00Z</dcterms:created>
  <dc:creator>wangshuying</dc:creator>
  <cp:lastModifiedBy>WSY</cp:lastModifiedBy>
  <dcterms:modified xsi:type="dcterms:W3CDTF">2026-08-27T07:59:39Z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eyJoZGlkIjoiYzAzYzc4OWY4MzI0OGU5NmNmYjc1OGMxNDQ2Zjg0YzciLCJ1c2VySWQiOiIyNjU0NTI1NDMifQ==</vt:lpwstr>
  </property>
  <property fmtid="{D5CDD505-2E9C-101B-9397-08002B2CF9AE}" pid="3" name="KSOProductBuildVer">
    <vt:lpwstr>2052-12.1.0.28043</vt:lpwstr>
  </property>
  <property fmtid="{D5CDD505-2E9C-101B-9397-08002B2CF9AE}" pid="4" name="ICV">
    <vt:lpwstr>206E80D776AF4889B78566D79ED52FBE_12</vt:lpwstr>
  </property>
</Properties>
</file>