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72943">
      <w:pPr>
        <w:wordWrap w:val="0"/>
        <w:spacing w:line="440" w:lineRule="exact"/>
        <w:jc w:val="center"/>
        <w:rPr>
          <w:rFonts w:hint="default" w:ascii="黑体" w:hAnsi="黑体" w:eastAsia="黑体"/>
          <w:bCs/>
          <w:kern w:val="0"/>
          <w:szCs w:val="21"/>
          <w:lang w:val="en-US" w:eastAsia="zh-CN"/>
        </w:rPr>
      </w:pPr>
      <w:r>
        <w:rPr>
          <w:rFonts w:ascii="黑体" w:hAnsi="黑体" w:eastAsia="黑体"/>
          <w:bCs/>
          <w:kern w:val="0"/>
          <w:szCs w:val="21"/>
        </w:rPr>
        <w:t xml:space="preserve">证券代码：002042    </w:t>
      </w:r>
      <w:r>
        <w:rPr>
          <w:rFonts w:hint="eastAsia" w:ascii="黑体" w:hAnsi="黑体" w:eastAsia="黑体"/>
          <w:bCs/>
          <w:kern w:val="0"/>
          <w:szCs w:val="21"/>
        </w:rPr>
        <w:t xml:space="preserve">  </w:t>
      </w:r>
      <w:r>
        <w:rPr>
          <w:rFonts w:ascii="黑体" w:hAnsi="黑体" w:eastAsia="黑体"/>
          <w:bCs/>
          <w:kern w:val="0"/>
          <w:szCs w:val="21"/>
        </w:rPr>
        <w:t xml:space="preserve">    </w:t>
      </w:r>
      <w:r>
        <w:rPr>
          <w:rFonts w:hint="eastAsia" w:ascii="黑体" w:hAnsi="黑体" w:eastAsia="黑体"/>
          <w:bCs/>
          <w:kern w:val="0"/>
          <w:szCs w:val="21"/>
        </w:rPr>
        <w:t xml:space="preserve">   </w:t>
      </w:r>
      <w:r>
        <w:rPr>
          <w:rFonts w:ascii="黑体" w:hAnsi="黑体" w:eastAsia="黑体"/>
          <w:bCs/>
          <w:kern w:val="0"/>
          <w:szCs w:val="21"/>
        </w:rPr>
        <w:t xml:space="preserve"> 证券简称：华孚时尚  </w:t>
      </w:r>
      <w:r>
        <w:rPr>
          <w:rFonts w:hint="eastAsia" w:ascii="黑体" w:hAnsi="黑体" w:eastAsia="黑体"/>
          <w:bCs/>
          <w:kern w:val="0"/>
          <w:szCs w:val="21"/>
        </w:rPr>
        <w:t xml:space="preserve">   </w:t>
      </w:r>
      <w:r>
        <w:rPr>
          <w:rFonts w:ascii="黑体" w:hAnsi="黑体" w:eastAsia="黑体"/>
          <w:bCs/>
          <w:kern w:val="0"/>
          <w:szCs w:val="21"/>
        </w:rPr>
        <w:t xml:space="preserve">  </w:t>
      </w:r>
      <w:r>
        <w:rPr>
          <w:rFonts w:hint="eastAsia" w:ascii="黑体" w:hAnsi="黑体" w:eastAsia="黑体"/>
          <w:bCs/>
          <w:kern w:val="0"/>
          <w:szCs w:val="21"/>
        </w:rPr>
        <w:t xml:space="preserve">    </w:t>
      </w:r>
      <w:r>
        <w:rPr>
          <w:rFonts w:ascii="黑体" w:hAnsi="黑体" w:eastAsia="黑体"/>
          <w:bCs/>
          <w:kern w:val="0"/>
          <w:szCs w:val="21"/>
        </w:rPr>
        <w:t xml:space="preserve">   公告编号：2</w:t>
      </w:r>
      <w:r>
        <w:rPr>
          <w:rFonts w:hint="eastAsia" w:ascii="黑体" w:hAnsi="黑体" w:eastAsia="黑体"/>
          <w:bCs/>
          <w:kern w:val="0"/>
          <w:szCs w:val="21"/>
        </w:rPr>
        <w:t>02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6</w:t>
      </w:r>
      <w:r>
        <w:rPr>
          <w:rFonts w:hint="eastAsia" w:ascii="黑体" w:hAnsi="黑体" w:eastAsia="黑体"/>
          <w:bCs/>
          <w:kern w:val="0"/>
          <w:szCs w:val="21"/>
        </w:rPr>
        <w:t>-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35</w:t>
      </w:r>
    </w:p>
    <w:p w14:paraId="01971000">
      <w:pPr>
        <w:wordWrap w:val="0"/>
        <w:autoSpaceDE w:val="0"/>
        <w:autoSpaceDN w:val="0"/>
        <w:adjustRightInd w:val="0"/>
        <w:jc w:val="center"/>
        <w:rPr>
          <w:rFonts w:ascii="Times New Roman" w:hAnsi="Times New Roman"/>
          <w:kern w:val="0"/>
          <w:sz w:val="24"/>
          <w:szCs w:val="36"/>
        </w:rPr>
      </w:pPr>
    </w:p>
    <w:p w14:paraId="3D2693A8">
      <w:pPr>
        <w:wordWrap w:val="0"/>
        <w:autoSpaceDE w:val="0"/>
        <w:autoSpaceDN w:val="0"/>
        <w:adjustRightInd w:val="0"/>
        <w:jc w:val="center"/>
        <w:rPr>
          <w:rFonts w:ascii="Times New Roman" w:hAnsi="Times New Roman"/>
          <w:b/>
          <w:kern w:val="0"/>
          <w:sz w:val="36"/>
          <w:szCs w:val="36"/>
        </w:rPr>
      </w:pPr>
      <w:r>
        <w:rPr>
          <w:rFonts w:ascii="Times New Roman" w:hAnsi="Times New Roman"/>
          <w:b/>
          <w:kern w:val="0"/>
          <w:sz w:val="36"/>
          <w:szCs w:val="36"/>
        </w:rPr>
        <w:t>华孚时尚股份有限公司</w:t>
      </w:r>
    </w:p>
    <w:p w14:paraId="30C95B52">
      <w:pPr>
        <w:autoSpaceDE w:val="0"/>
        <w:autoSpaceDN w:val="0"/>
        <w:adjustRightInd w:val="0"/>
        <w:jc w:val="center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b/>
          <w:kern w:val="0"/>
          <w:sz w:val="36"/>
          <w:szCs w:val="36"/>
        </w:rPr>
        <w:t>关于</w:t>
      </w:r>
      <w:r>
        <w:rPr>
          <w:rFonts w:hint="eastAsia" w:ascii="Times New Roman" w:hAnsi="Times New Roman"/>
          <w:b/>
          <w:kern w:val="0"/>
          <w:sz w:val="36"/>
          <w:szCs w:val="36"/>
        </w:rPr>
        <w:t>计提资产减值准备的公告</w:t>
      </w:r>
    </w:p>
    <w:p w14:paraId="065F68A3">
      <w:pPr>
        <w:wordWrap w:val="0"/>
        <w:autoSpaceDE w:val="0"/>
        <w:autoSpaceDN w:val="0"/>
        <w:adjustRightInd w:val="0"/>
        <w:spacing w:before="156" w:beforeLines="50"/>
        <w:ind w:firstLine="480" w:firstLineChars="200"/>
        <w:jc w:val="left"/>
        <w:rPr>
          <w:rFonts w:ascii="Times New Roman" w:hAnsi="Times New Roman" w:eastAsia="楷体_GB2312"/>
          <w:kern w:val="0"/>
          <w:sz w:val="24"/>
        </w:rPr>
      </w:pPr>
      <w:r>
        <w:rPr>
          <w:rFonts w:ascii="Times New Roman" w:hAnsi="Times New Roman" w:eastAsia="楷体_GB2312"/>
          <w:kern w:val="0"/>
          <w:sz w:val="24"/>
        </w:rPr>
        <w:t>本公司及</w:t>
      </w:r>
      <w:r>
        <w:rPr>
          <w:rFonts w:hint="eastAsia" w:ascii="Times New Roman" w:hAnsi="Times New Roman" w:eastAsia="楷体_GB2312"/>
          <w:kern w:val="0"/>
          <w:sz w:val="24"/>
        </w:rPr>
        <w:t>董</w:t>
      </w:r>
      <w:r>
        <w:rPr>
          <w:rFonts w:ascii="Times New Roman" w:hAnsi="Times New Roman" w:eastAsia="楷体_GB2312"/>
          <w:kern w:val="0"/>
          <w:sz w:val="24"/>
        </w:rPr>
        <w:t>事会全体成员保证信息披露的内容真实、准确、完整，没有虚假记载、误导性陈述或重大遗漏。</w:t>
      </w:r>
    </w:p>
    <w:p w14:paraId="2FDF5475">
      <w:pPr>
        <w:wordWrap w:val="0"/>
        <w:spacing w:line="280" w:lineRule="exact"/>
        <w:rPr>
          <w:rFonts w:asciiTheme="minorEastAsia" w:hAnsiTheme="minorEastAsia"/>
          <w:kern w:val="0"/>
          <w:sz w:val="2"/>
        </w:rPr>
      </w:pPr>
    </w:p>
    <w:p w14:paraId="6BF3282C">
      <w:pPr>
        <w:spacing w:line="360" w:lineRule="auto"/>
        <w:ind w:firstLine="480" w:firstLineChars="200"/>
        <w:rPr>
          <w:rFonts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/>
          <w:kern w:val="0"/>
          <w:sz w:val="24"/>
        </w:rPr>
        <w:t>华孚时尚股份有限公司（以下简称“公司”）于</w:t>
      </w:r>
      <w:r>
        <w:rPr>
          <w:rFonts w:hint="eastAsia" w:asciiTheme="minorEastAsia" w:hAnsiTheme="minorEastAsia"/>
          <w:kern w:val="0"/>
          <w:sz w:val="24"/>
          <w:lang w:val="en-US" w:eastAsia="zh-CN"/>
        </w:rPr>
        <w:t>2026</w:t>
      </w:r>
      <w:r>
        <w:rPr>
          <w:rFonts w:hint="eastAsia" w:asciiTheme="minorEastAsia" w:hAnsiTheme="minorEastAsia"/>
          <w:kern w:val="0"/>
          <w:sz w:val="24"/>
        </w:rPr>
        <w:t>年</w:t>
      </w:r>
      <w:r>
        <w:rPr>
          <w:rFonts w:hint="eastAsia" w:asciiTheme="minorEastAsia" w:hAnsiTheme="minorEastAsia"/>
          <w:kern w:val="0"/>
          <w:sz w:val="24"/>
          <w:lang w:val="en-US" w:eastAsia="zh-CN"/>
        </w:rPr>
        <w:t>8</w:t>
      </w:r>
      <w:r>
        <w:rPr>
          <w:rFonts w:hint="eastAsia" w:asciiTheme="minorEastAsia" w:hAnsiTheme="minorEastAsia"/>
          <w:kern w:val="0"/>
          <w:sz w:val="24"/>
        </w:rPr>
        <w:t>月</w:t>
      </w:r>
      <w:r>
        <w:rPr>
          <w:rFonts w:hint="eastAsia" w:asciiTheme="minorEastAsia" w:hAnsiTheme="minorEastAsia"/>
          <w:kern w:val="0"/>
          <w:sz w:val="24"/>
          <w:lang w:val="en-US" w:eastAsia="zh-CN"/>
        </w:rPr>
        <w:t>25</w:t>
      </w:r>
      <w:r>
        <w:rPr>
          <w:rFonts w:hint="eastAsia" w:asciiTheme="minorEastAsia" w:hAnsiTheme="minorEastAsia"/>
          <w:kern w:val="0"/>
          <w:sz w:val="24"/>
        </w:rPr>
        <w:t>日召开公司第九届董事会第</w:t>
      </w:r>
      <w:r>
        <w:rPr>
          <w:rFonts w:hint="eastAsia" w:asciiTheme="minorEastAsia" w:hAnsiTheme="minorEastAsia"/>
          <w:kern w:val="0"/>
          <w:sz w:val="24"/>
          <w:lang w:val="en-US" w:eastAsia="zh-CN"/>
        </w:rPr>
        <w:t>五</w:t>
      </w:r>
      <w:r>
        <w:rPr>
          <w:rFonts w:hint="eastAsia" w:asciiTheme="minorEastAsia" w:hAnsiTheme="minorEastAsia"/>
          <w:kern w:val="0"/>
          <w:sz w:val="24"/>
        </w:rPr>
        <w:t>次会议，审议通过《关于计提资产减值准备的议案》，本议案无需提交股东会审议。具体情况如下：</w:t>
      </w:r>
    </w:p>
    <w:p w14:paraId="20AA263F">
      <w:pPr>
        <w:numPr>
          <w:ilvl w:val="0"/>
          <w:numId w:val="1"/>
        </w:numPr>
        <w:spacing w:line="360" w:lineRule="auto"/>
        <w:ind w:firstLine="482" w:firstLineChars="200"/>
        <w:rPr>
          <w:rFonts w:ascii="宋体" w:hAnsi="宋体" w:eastAsia="宋体" w:cs="宋体"/>
          <w:b/>
          <w:bCs/>
          <w:sz w:val="24"/>
        </w:rPr>
      </w:pPr>
      <w:r>
        <w:rPr>
          <w:rFonts w:ascii="宋体" w:hAnsi="宋体" w:eastAsia="宋体" w:cs="宋体"/>
          <w:b/>
          <w:bCs/>
          <w:sz w:val="24"/>
        </w:rPr>
        <w:t>本次计提资产减值损失情况概述</w:t>
      </w:r>
    </w:p>
    <w:p w14:paraId="2F7C2F50"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根据《企业会计准则》</w:t>
      </w:r>
      <w:r>
        <w:rPr>
          <w:rFonts w:hint="eastAsia" w:ascii="宋体" w:hAnsi="宋体" w:eastAsia="宋体" w:cs="宋体"/>
          <w:sz w:val="24"/>
        </w:rPr>
        <w:t>、</w:t>
      </w:r>
      <w:r>
        <w:rPr>
          <w:rFonts w:ascii="宋体" w:hAnsi="宋体" w:eastAsia="宋体" w:cs="宋体"/>
          <w:sz w:val="24"/>
        </w:rPr>
        <w:t>《深圳证券交易所股票上市规则》相关规定的要求，为更加真实、准确地反映公司截</w:t>
      </w:r>
      <w:r>
        <w:rPr>
          <w:rFonts w:hint="eastAsia" w:ascii="宋体" w:hAnsi="宋体" w:eastAsia="宋体" w:cs="宋体"/>
          <w:sz w:val="24"/>
          <w:lang w:val="en-US" w:eastAsia="zh-CN"/>
        </w:rPr>
        <w:t>至</w:t>
      </w:r>
      <w:r>
        <w:rPr>
          <w:rFonts w:hint="eastAsia" w:ascii="宋体" w:hAnsi="宋体" w:eastAsia="宋体" w:cs="宋体"/>
          <w:sz w:val="24"/>
        </w:rPr>
        <w:t>2026</w:t>
      </w:r>
      <w:r>
        <w:rPr>
          <w:rFonts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</w:rPr>
        <w:t>6</w:t>
      </w:r>
      <w:r>
        <w:rPr>
          <w:rFonts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</w:rPr>
        <w:t>30</w:t>
      </w:r>
      <w:r>
        <w:rPr>
          <w:rFonts w:ascii="宋体" w:hAnsi="宋体" w:eastAsia="宋体" w:cs="宋体"/>
          <w:sz w:val="24"/>
        </w:rPr>
        <w:t>日的资产状况和财务状况，公司及下属子公司对</w:t>
      </w:r>
      <w:r>
        <w:rPr>
          <w:rFonts w:hint="eastAsia" w:ascii="宋体" w:hAnsi="宋体" w:eastAsia="宋体" w:cs="宋体"/>
          <w:sz w:val="24"/>
        </w:rPr>
        <w:t>相关</w:t>
      </w:r>
      <w:r>
        <w:rPr>
          <w:rFonts w:ascii="宋体" w:hAnsi="宋体" w:eastAsia="宋体" w:cs="宋体"/>
          <w:sz w:val="24"/>
        </w:rPr>
        <w:t>资产进行了全面充分的清查、分析和评估，对可能发生资产减值损失的资产计提减值准备</w:t>
      </w:r>
      <w:r>
        <w:rPr>
          <w:rFonts w:hint="eastAsia" w:ascii="宋体" w:hAnsi="宋体" w:eastAsia="宋体" w:cs="宋体"/>
          <w:sz w:val="24"/>
        </w:rPr>
        <w:t>，并计提减值损失1,949.37万元。计提明细如下表：</w:t>
      </w:r>
    </w:p>
    <w:p w14:paraId="6BBDB646">
      <w:pPr>
        <w:spacing w:line="360" w:lineRule="auto"/>
        <w:ind w:firstLine="480" w:firstLineChars="200"/>
        <w:jc w:val="righ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单位：元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575D1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  <w:vAlign w:val="bottom"/>
          </w:tcPr>
          <w:p w14:paraId="65F81532">
            <w:pPr>
              <w:widowControl/>
              <w:jc w:val="center"/>
              <w:textAlignment w:val="bottom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项目</w:t>
            </w:r>
          </w:p>
        </w:tc>
        <w:tc>
          <w:tcPr>
            <w:tcW w:w="4261" w:type="dxa"/>
            <w:vAlign w:val="bottom"/>
          </w:tcPr>
          <w:p w14:paraId="4E4CEB0D">
            <w:pPr>
              <w:widowControl/>
              <w:jc w:val="center"/>
              <w:textAlignment w:val="bottom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2026年半年度计提减值准备金额</w:t>
            </w:r>
          </w:p>
        </w:tc>
      </w:tr>
      <w:tr w14:paraId="66972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bottom"/>
          </w:tcPr>
          <w:p w14:paraId="6740F00A">
            <w:pPr>
              <w:widowControl/>
              <w:jc w:val="left"/>
              <w:textAlignment w:val="bottom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应收票据坏账准备</w:t>
            </w:r>
          </w:p>
        </w:tc>
        <w:tc>
          <w:tcPr>
            <w:tcW w:w="4261" w:type="dxa"/>
            <w:vAlign w:val="bottom"/>
          </w:tcPr>
          <w:p w14:paraId="624D5117">
            <w:pPr>
              <w:widowControl/>
              <w:jc w:val="right"/>
              <w:textAlignment w:val="bottom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591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891.06</w:t>
            </w:r>
          </w:p>
        </w:tc>
      </w:tr>
      <w:tr w14:paraId="60C47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bottom"/>
          </w:tcPr>
          <w:p w14:paraId="23ED62AD">
            <w:pPr>
              <w:widowControl/>
              <w:jc w:val="left"/>
              <w:textAlignment w:val="bottom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应收账款坏账准备</w:t>
            </w:r>
          </w:p>
        </w:tc>
        <w:tc>
          <w:tcPr>
            <w:tcW w:w="4261" w:type="dxa"/>
            <w:vAlign w:val="bottom"/>
          </w:tcPr>
          <w:p w14:paraId="2DA8E526">
            <w:pPr>
              <w:widowControl/>
              <w:jc w:val="right"/>
              <w:textAlignment w:val="bottom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-12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176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412.31</w:t>
            </w:r>
          </w:p>
        </w:tc>
      </w:tr>
      <w:tr w14:paraId="031F0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bottom"/>
          </w:tcPr>
          <w:p w14:paraId="21BA58DA">
            <w:pPr>
              <w:widowControl/>
              <w:jc w:val="left"/>
              <w:textAlignment w:val="bottom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其他应收款坏账准备</w:t>
            </w:r>
          </w:p>
        </w:tc>
        <w:tc>
          <w:tcPr>
            <w:tcW w:w="4261" w:type="dxa"/>
            <w:vAlign w:val="bottom"/>
          </w:tcPr>
          <w:p w14:paraId="244286A5">
            <w:pPr>
              <w:widowControl/>
              <w:jc w:val="right"/>
              <w:textAlignment w:val="bottom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-2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134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739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</w:tr>
      <w:tr w14:paraId="2C056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bottom"/>
          </w:tcPr>
          <w:p w14:paraId="412F5770">
            <w:pPr>
              <w:widowControl/>
              <w:jc w:val="left"/>
              <w:textAlignment w:val="bottom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存货跌价准备</w:t>
            </w:r>
          </w:p>
        </w:tc>
        <w:tc>
          <w:tcPr>
            <w:tcW w:w="4261" w:type="dxa"/>
            <w:vAlign w:val="bottom"/>
          </w:tcPr>
          <w:p w14:paraId="227E411C">
            <w:pPr>
              <w:widowControl/>
              <w:jc w:val="right"/>
              <w:textAlignment w:val="bottom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-5,774,465.37</w:t>
            </w:r>
          </w:p>
        </w:tc>
      </w:tr>
      <w:tr w14:paraId="3A2B5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bottom"/>
          </w:tcPr>
          <w:p w14:paraId="4BCB98FB">
            <w:pPr>
              <w:widowControl/>
              <w:jc w:val="left"/>
              <w:textAlignment w:val="bottom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合计</w:t>
            </w:r>
          </w:p>
        </w:tc>
        <w:tc>
          <w:tcPr>
            <w:tcW w:w="4261" w:type="dxa"/>
            <w:vAlign w:val="bottom"/>
          </w:tcPr>
          <w:p w14:paraId="1C238220">
            <w:pPr>
              <w:widowControl/>
              <w:jc w:val="right"/>
              <w:textAlignment w:val="bottom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-19,493,726.19</w:t>
            </w:r>
          </w:p>
        </w:tc>
      </w:tr>
    </w:tbl>
    <w:p w14:paraId="37571593">
      <w:pPr>
        <w:numPr>
          <w:ilvl w:val="0"/>
          <w:numId w:val="2"/>
        </w:num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计提坏账准备情况</w:t>
      </w:r>
    </w:p>
    <w:p w14:paraId="6E2D9BE7"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2026</w:t>
      </w:r>
      <w:r>
        <w:rPr>
          <w:rFonts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</w:rPr>
        <w:t>半年度</w:t>
      </w:r>
      <w:r>
        <w:rPr>
          <w:rFonts w:ascii="宋体" w:hAnsi="宋体" w:eastAsia="宋体" w:cs="宋体"/>
          <w:sz w:val="24"/>
        </w:rPr>
        <w:t>公司对应收款项计提坏账准备金额合计</w:t>
      </w:r>
      <w:r>
        <w:rPr>
          <w:rFonts w:hint="eastAsia" w:ascii="宋体" w:hAnsi="宋体" w:eastAsia="宋体" w:cs="宋体"/>
          <w:sz w:val="24"/>
        </w:rPr>
        <w:t>-1,371.93万</w:t>
      </w:r>
      <w:r>
        <w:rPr>
          <w:rFonts w:ascii="宋体" w:hAnsi="宋体" w:eastAsia="宋体" w:cs="宋体"/>
          <w:sz w:val="24"/>
        </w:rPr>
        <w:t>元，其中：应收</w:t>
      </w:r>
      <w:r>
        <w:rPr>
          <w:rFonts w:hint="eastAsia" w:ascii="宋体" w:hAnsi="宋体" w:eastAsia="宋体" w:cs="宋体"/>
          <w:sz w:val="24"/>
        </w:rPr>
        <w:t>票据</w:t>
      </w:r>
      <w:r>
        <w:rPr>
          <w:rFonts w:ascii="宋体" w:hAnsi="宋体" w:eastAsia="宋体" w:cs="宋体"/>
          <w:sz w:val="24"/>
        </w:rPr>
        <w:t>坏账准备</w:t>
      </w:r>
      <w:r>
        <w:rPr>
          <w:rFonts w:hint="eastAsia" w:ascii="宋体" w:hAnsi="宋体" w:eastAsia="宋体" w:cs="宋体"/>
          <w:sz w:val="24"/>
          <w:lang w:val="en-US" w:eastAsia="zh-CN"/>
        </w:rPr>
        <w:t>转回59.19</w:t>
      </w:r>
      <w:r>
        <w:rPr>
          <w:rFonts w:hint="eastAsia" w:ascii="宋体" w:hAnsi="宋体" w:eastAsia="宋体" w:cs="宋体"/>
          <w:sz w:val="24"/>
        </w:rPr>
        <w:t>万</w:t>
      </w:r>
      <w:r>
        <w:rPr>
          <w:rFonts w:ascii="宋体" w:hAnsi="宋体" w:eastAsia="宋体" w:cs="宋体"/>
          <w:sz w:val="24"/>
        </w:rPr>
        <w:t>元，应收</w:t>
      </w:r>
      <w:r>
        <w:rPr>
          <w:rFonts w:hint="eastAsia" w:ascii="宋体" w:hAnsi="宋体" w:eastAsia="宋体" w:cs="宋体"/>
          <w:sz w:val="24"/>
        </w:rPr>
        <w:t>账款</w:t>
      </w:r>
      <w:r>
        <w:rPr>
          <w:rFonts w:ascii="宋体" w:hAnsi="宋体" w:eastAsia="宋体" w:cs="宋体"/>
          <w:sz w:val="24"/>
        </w:rPr>
        <w:t>计提坏账准备</w:t>
      </w:r>
      <w:r>
        <w:rPr>
          <w:rFonts w:hint="eastAsia" w:ascii="宋体" w:hAnsi="宋体" w:eastAsia="宋体" w:cs="宋体"/>
          <w:sz w:val="24"/>
        </w:rPr>
        <w:t>-</w:t>
      </w:r>
      <w:r>
        <w:rPr>
          <w:rFonts w:hint="eastAsia" w:ascii="宋体" w:hAnsi="宋体" w:eastAsia="宋体" w:cs="宋体"/>
          <w:sz w:val="24"/>
          <w:lang w:val="en-US" w:eastAsia="zh-CN"/>
        </w:rPr>
        <w:t>1,217.64</w:t>
      </w:r>
      <w:r>
        <w:rPr>
          <w:rFonts w:hint="eastAsia" w:ascii="宋体" w:hAnsi="宋体" w:eastAsia="宋体" w:cs="宋体"/>
          <w:sz w:val="24"/>
        </w:rPr>
        <w:t>万</w:t>
      </w:r>
      <w:r>
        <w:rPr>
          <w:rFonts w:ascii="宋体" w:hAnsi="宋体" w:eastAsia="宋体" w:cs="宋体"/>
          <w:sz w:val="24"/>
        </w:rPr>
        <w:t>元，</w:t>
      </w:r>
      <w:r>
        <w:rPr>
          <w:rFonts w:hint="eastAsia" w:ascii="宋体" w:hAnsi="宋体" w:eastAsia="宋体" w:cs="宋体"/>
          <w:sz w:val="24"/>
        </w:rPr>
        <w:t>其他应收款</w:t>
      </w:r>
      <w:r>
        <w:rPr>
          <w:rFonts w:ascii="宋体" w:hAnsi="宋体" w:eastAsia="宋体" w:cs="宋体"/>
          <w:sz w:val="24"/>
        </w:rPr>
        <w:t>计提坏账准备</w:t>
      </w:r>
      <w:r>
        <w:rPr>
          <w:rFonts w:hint="eastAsia" w:ascii="宋体" w:hAnsi="宋体" w:eastAsia="宋体" w:cs="宋体"/>
          <w:sz w:val="24"/>
        </w:rPr>
        <w:t>-2</w:t>
      </w:r>
      <w:r>
        <w:rPr>
          <w:rFonts w:hint="eastAsia" w:ascii="宋体" w:hAnsi="宋体" w:eastAsia="宋体" w:cs="宋体"/>
          <w:sz w:val="24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</w:rPr>
        <w:t>.47万</w:t>
      </w:r>
      <w:r>
        <w:rPr>
          <w:rFonts w:ascii="宋体" w:hAnsi="宋体" w:eastAsia="宋体" w:cs="宋体"/>
          <w:sz w:val="24"/>
        </w:rPr>
        <w:t>元</w:t>
      </w:r>
      <w:r>
        <w:rPr>
          <w:rFonts w:hint="eastAsia" w:ascii="宋体" w:hAnsi="宋体" w:eastAsia="宋体" w:cs="宋体"/>
          <w:sz w:val="24"/>
        </w:rPr>
        <w:t>。</w:t>
      </w:r>
      <w:bookmarkStart w:id="0" w:name="_GoBack"/>
      <w:bookmarkEnd w:id="0"/>
    </w:p>
    <w:p w14:paraId="48900397">
      <w:pPr>
        <w:numPr>
          <w:ilvl w:val="0"/>
          <w:numId w:val="2"/>
        </w:num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计提存货跌价准备情况</w:t>
      </w:r>
    </w:p>
    <w:p w14:paraId="4AA91814"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2026</w:t>
      </w:r>
      <w:r>
        <w:rPr>
          <w:rFonts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</w:rPr>
        <w:t>半年度，</w:t>
      </w:r>
      <w:r>
        <w:rPr>
          <w:rFonts w:ascii="宋体" w:hAnsi="宋体" w:eastAsia="宋体" w:cs="宋体"/>
          <w:sz w:val="24"/>
        </w:rPr>
        <w:t>公司及下属子公司依据存货成本及可变现净值孰低</w:t>
      </w:r>
      <w:r>
        <w:rPr>
          <w:rFonts w:hint="eastAsia" w:ascii="宋体" w:hAnsi="宋体" w:eastAsia="宋体" w:cs="宋体"/>
          <w:sz w:val="24"/>
        </w:rPr>
        <w:t>原则</w:t>
      </w:r>
      <w:r>
        <w:rPr>
          <w:rFonts w:ascii="宋体" w:hAnsi="宋体" w:eastAsia="宋体" w:cs="宋体"/>
          <w:sz w:val="24"/>
        </w:rPr>
        <w:t>，计提存货跌价准备</w:t>
      </w:r>
      <w:r>
        <w:rPr>
          <w:rFonts w:hint="eastAsia" w:ascii="宋体" w:hAnsi="宋体" w:eastAsia="宋体" w:cs="宋体"/>
          <w:sz w:val="24"/>
        </w:rPr>
        <w:t>-577.45万</w:t>
      </w:r>
      <w:r>
        <w:rPr>
          <w:rFonts w:ascii="宋体" w:hAnsi="宋体" w:eastAsia="宋体" w:cs="宋体"/>
          <w:sz w:val="24"/>
        </w:rPr>
        <w:t>元。</w:t>
      </w:r>
    </w:p>
    <w:p w14:paraId="5064F620">
      <w:pPr>
        <w:numPr>
          <w:ilvl w:val="0"/>
          <w:numId w:val="1"/>
        </w:numPr>
        <w:spacing w:line="360" w:lineRule="auto"/>
        <w:ind w:firstLine="482" w:firstLineChars="200"/>
        <w:rPr>
          <w:rFonts w:ascii="宋体" w:hAnsi="宋体" w:eastAsia="宋体" w:cs="宋体"/>
          <w:b/>
          <w:bCs/>
          <w:sz w:val="24"/>
        </w:rPr>
      </w:pPr>
      <w:r>
        <w:rPr>
          <w:rFonts w:ascii="宋体" w:hAnsi="宋体" w:eastAsia="宋体" w:cs="宋体"/>
          <w:b/>
          <w:bCs/>
          <w:sz w:val="24"/>
        </w:rPr>
        <w:t>计提资产减值准备合理性的说明</w:t>
      </w:r>
    </w:p>
    <w:p w14:paraId="175CF9D1">
      <w:pPr>
        <w:pStyle w:val="2"/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公司2026年半年度计提减值准备符合谨慎性原则，符合《企业会计准则》及公司相关会计政策的规定和公司资产实际情况，计提方式、决策程序合法、合规。本次计提减值准备后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公司2026年半年度财务报表能够公允地反映截至2026年6月30日的财务状况及经营成果，有助于向投资者提供更加真实、可靠、准确的会计信息。</w:t>
      </w:r>
    </w:p>
    <w:p w14:paraId="5FA253D2">
      <w:pPr>
        <w:numPr>
          <w:ilvl w:val="0"/>
          <w:numId w:val="1"/>
        </w:numPr>
        <w:spacing w:line="360" w:lineRule="auto"/>
        <w:ind w:firstLine="482" w:firstLineChars="200"/>
        <w:rPr>
          <w:rFonts w:ascii="宋体" w:hAnsi="宋体" w:eastAsia="宋体" w:cs="宋体"/>
          <w:b/>
          <w:bCs/>
          <w:sz w:val="24"/>
        </w:rPr>
      </w:pPr>
      <w:r>
        <w:rPr>
          <w:rFonts w:ascii="宋体" w:hAnsi="宋体" w:eastAsia="宋体" w:cs="宋体"/>
          <w:b/>
          <w:bCs/>
          <w:sz w:val="24"/>
        </w:rPr>
        <w:t>本次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计提资产减值准备</w:t>
      </w:r>
      <w:r>
        <w:rPr>
          <w:rFonts w:ascii="宋体" w:hAnsi="宋体" w:eastAsia="宋体" w:cs="宋体"/>
          <w:b/>
          <w:bCs/>
          <w:sz w:val="24"/>
        </w:rPr>
        <w:t>对公司的影响</w:t>
      </w:r>
    </w:p>
    <w:p w14:paraId="172A7F1A"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本次计提各项资产减值</w:t>
      </w:r>
      <w:r>
        <w:rPr>
          <w:rFonts w:hint="eastAsia" w:ascii="宋体" w:hAnsi="宋体" w:eastAsia="宋体" w:cs="宋体"/>
          <w:sz w:val="24"/>
        </w:rPr>
        <w:t>准备</w:t>
      </w:r>
      <w:r>
        <w:rPr>
          <w:rFonts w:ascii="宋体" w:hAnsi="宋体" w:eastAsia="宋体" w:cs="宋体"/>
          <w:sz w:val="24"/>
        </w:rPr>
        <w:t>合计</w:t>
      </w:r>
      <w:r>
        <w:rPr>
          <w:rFonts w:hint="eastAsia" w:ascii="宋体" w:hAnsi="宋体" w:eastAsia="宋体" w:cs="宋体"/>
          <w:sz w:val="24"/>
        </w:rPr>
        <w:t>1,949.37</w:t>
      </w:r>
      <w:r>
        <w:rPr>
          <w:rFonts w:ascii="宋体" w:hAnsi="宋体" w:eastAsia="宋体" w:cs="宋体"/>
          <w:sz w:val="24"/>
        </w:rPr>
        <w:t>万元，将减少公司</w:t>
      </w:r>
      <w:r>
        <w:rPr>
          <w:rFonts w:hint="eastAsia" w:ascii="宋体" w:hAnsi="宋体" w:eastAsia="宋体" w:cs="宋体"/>
          <w:sz w:val="24"/>
        </w:rPr>
        <w:t>2026年半</w:t>
      </w:r>
      <w:r>
        <w:rPr>
          <w:rFonts w:ascii="宋体" w:hAnsi="宋体" w:eastAsia="宋体" w:cs="宋体"/>
          <w:sz w:val="24"/>
        </w:rPr>
        <w:t>年度归属于上市公司股东的净利润</w:t>
      </w:r>
      <w:r>
        <w:rPr>
          <w:rFonts w:hint="eastAsia" w:ascii="宋体" w:hAnsi="宋体" w:eastAsia="宋体" w:cs="宋体"/>
          <w:sz w:val="24"/>
        </w:rPr>
        <w:t>1,949.37</w:t>
      </w:r>
      <w:r>
        <w:rPr>
          <w:rFonts w:ascii="宋体" w:hAnsi="宋体" w:eastAsia="宋体" w:cs="宋体"/>
          <w:sz w:val="24"/>
        </w:rPr>
        <w:t>万元，相应减少</w:t>
      </w:r>
      <w:r>
        <w:rPr>
          <w:rFonts w:hint="eastAsia" w:ascii="宋体" w:hAnsi="宋体" w:eastAsia="宋体" w:cs="宋体"/>
          <w:sz w:val="24"/>
        </w:rPr>
        <w:t>2026年半</w:t>
      </w:r>
      <w:r>
        <w:rPr>
          <w:rFonts w:ascii="宋体" w:hAnsi="宋体" w:eastAsia="宋体" w:cs="宋体"/>
          <w:sz w:val="24"/>
        </w:rPr>
        <w:t>年度归属于上市公司股东所有者权益</w:t>
      </w:r>
      <w:r>
        <w:rPr>
          <w:rFonts w:hint="eastAsia" w:ascii="宋体" w:hAnsi="宋体" w:eastAsia="宋体" w:cs="宋体"/>
          <w:sz w:val="24"/>
        </w:rPr>
        <w:t>1,949.37</w:t>
      </w:r>
      <w:r>
        <w:rPr>
          <w:rFonts w:ascii="宋体" w:hAnsi="宋体" w:eastAsia="宋体" w:cs="宋体"/>
          <w:sz w:val="24"/>
        </w:rPr>
        <w:t>万元。</w:t>
      </w:r>
    </w:p>
    <w:p w14:paraId="702A4F87">
      <w:pPr>
        <w:pStyle w:val="2"/>
        <w:numPr>
          <w:ilvl w:val="0"/>
          <w:numId w:val="1"/>
        </w:numPr>
        <w:ind w:firstLine="482" w:firstLineChars="200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董事会意见</w:t>
      </w:r>
    </w:p>
    <w:p w14:paraId="4D80A2CB">
      <w:pPr>
        <w:pStyle w:val="2"/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本次计提资产减值准备遵照《企业会计准则》和公司会计政策的相关规定，基于谨慎性原则，计提依据充分，真实、公允反映公司截至</w:t>
      </w: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ascii="宋体" w:hAnsi="宋体" w:eastAsia="宋体" w:cs="宋体"/>
          <w:sz w:val="24"/>
          <w:szCs w:val="24"/>
        </w:rPr>
        <w:t>日的财务状况及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2026年半年度</w:t>
      </w:r>
      <w:r>
        <w:rPr>
          <w:rFonts w:ascii="宋体" w:hAnsi="宋体" w:eastAsia="宋体" w:cs="宋体"/>
          <w:sz w:val="24"/>
          <w:szCs w:val="24"/>
        </w:rPr>
        <w:t>经营成果。</w:t>
      </w:r>
    </w:p>
    <w:p w14:paraId="61E5217B">
      <w:pPr>
        <w:pStyle w:val="2"/>
        <w:spacing w:line="360" w:lineRule="auto"/>
        <w:ind w:firstLine="480" w:firstLineChars="200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特此公告。</w:t>
      </w:r>
    </w:p>
    <w:p w14:paraId="16BBB1DD">
      <w:pPr>
        <w:pStyle w:val="2"/>
        <w:spacing w:line="360" w:lineRule="auto"/>
        <w:ind w:firstLine="480" w:firstLineChars="200"/>
        <w:jc w:val="right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华孚时尚股份有限公司董事会</w:t>
      </w:r>
    </w:p>
    <w:p w14:paraId="442DFD02">
      <w:pPr>
        <w:pStyle w:val="2"/>
        <w:spacing w:line="360" w:lineRule="auto"/>
        <w:ind w:firstLine="480" w:firstLineChars="200"/>
        <w:jc w:val="right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二〇二</w:t>
      </w:r>
      <w:r>
        <w:rPr>
          <w:rFonts w:hint="eastAsia" w:eastAsia="宋体"/>
          <w:sz w:val="24"/>
          <w:szCs w:val="24"/>
          <w:lang w:val="en-US" w:eastAsia="zh-CN"/>
        </w:rPr>
        <w:t>六</w:t>
      </w:r>
      <w:r>
        <w:rPr>
          <w:rFonts w:hint="eastAsia" w:eastAsia="宋体"/>
          <w:sz w:val="24"/>
          <w:szCs w:val="24"/>
        </w:rPr>
        <w:t>年</w:t>
      </w:r>
      <w:r>
        <w:rPr>
          <w:rFonts w:hint="eastAsia" w:eastAsia="宋体"/>
          <w:sz w:val="24"/>
          <w:szCs w:val="24"/>
          <w:lang w:val="en-US" w:eastAsia="zh-CN"/>
        </w:rPr>
        <w:t>八</w:t>
      </w:r>
      <w:r>
        <w:rPr>
          <w:rFonts w:hint="eastAsia" w:eastAsia="宋体"/>
          <w:sz w:val="24"/>
          <w:szCs w:val="24"/>
        </w:rPr>
        <w:t>月</w:t>
      </w:r>
      <w:r>
        <w:rPr>
          <w:rFonts w:hint="eastAsia" w:eastAsia="宋体"/>
          <w:sz w:val="24"/>
          <w:szCs w:val="24"/>
          <w:lang w:val="en-US" w:eastAsia="zh-CN"/>
        </w:rPr>
        <w:t>二十七</w:t>
      </w:r>
      <w:r>
        <w:rPr>
          <w:rFonts w:hint="eastAsia" w:eastAsia="宋体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9ED252"/>
    <w:multiLevelType w:val="singleLevel"/>
    <w:tmpl w:val="BA9ED25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7C61499"/>
    <w:multiLevelType w:val="singleLevel"/>
    <w:tmpl w:val="C7C6149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lODY1MzA0YjNiZDMyMmRlYTlhMDJhYzZhZDQ5ODgifQ=="/>
  </w:docVars>
  <w:rsids>
    <w:rsidRoot w:val="16483CD0"/>
    <w:rsid w:val="00092B5D"/>
    <w:rsid w:val="003D18D3"/>
    <w:rsid w:val="0081088C"/>
    <w:rsid w:val="00863595"/>
    <w:rsid w:val="008C297A"/>
    <w:rsid w:val="008E3B2B"/>
    <w:rsid w:val="00BD07A9"/>
    <w:rsid w:val="00C86F27"/>
    <w:rsid w:val="00D7401C"/>
    <w:rsid w:val="00E91C96"/>
    <w:rsid w:val="00EC6C6B"/>
    <w:rsid w:val="09B3135B"/>
    <w:rsid w:val="09BD41F7"/>
    <w:rsid w:val="16483CD0"/>
    <w:rsid w:val="16D060D0"/>
    <w:rsid w:val="19722A75"/>
    <w:rsid w:val="21AE77D3"/>
    <w:rsid w:val="267918E7"/>
    <w:rsid w:val="2A613753"/>
    <w:rsid w:val="34B644D8"/>
    <w:rsid w:val="35B52C57"/>
    <w:rsid w:val="44CE29A6"/>
    <w:rsid w:val="45EF7078"/>
    <w:rsid w:val="4B78366B"/>
    <w:rsid w:val="4C7B4F81"/>
    <w:rsid w:val="512E314A"/>
    <w:rsid w:val="695E7EED"/>
    <w:rsid w:val="71EB6A17"/>
    <w:rsid w:val="7BD1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  <w:rPr>
      <w:rFonts w:ascii="Times New Roman" w:hAnsi="Times New Roman"/>
      <w:szCs w:val="20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871</Words>
  <Characters>1043</Characters>
  <Lines>2</Lines>
  <Paragraphs>2</Paragraphs>
  <TotalTime>8</TotalTime>
  <ScaleCrop>false</ScaleCrop>
  <LinksUpToDate>false</LinksUpToDate>
  <CharactersWithSpaces>1071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2025-04-25T03:37:00Z</dcterms:created>
  <dc:creator>WSY</dc:creator>
  <cp:lastModifiedBy>WSY</cp:lastModifiedBy>
  <dcterms:modified xsi:type="dcterms:W3CDTF">2026-08-26T08:29:19Z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F3B1FAA51C234D20A8242A63961F4422_11</vt:lpwstr>
  </property>
  <property fmtid="{D5CDD505-2E9C-101B-9397-08002B2CF9AE}" pid="4" name="KSOTemplateDocerSaveRecord">
    <vt:lpwstr>eyJoZGlkIjoiYzAzYzc4OWY4MzI0OGU5NmNmYjc1OGMxNDQ2Zjg0YzciLCJ1c2VySWQiOiIyNjU0NTI1NDMifQ==</vt:lpwstr>
  </property>
</Properties>
</file>