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ACFA0E8">
      <w:pPr>
        <w:jc w:val="center"/>
        <w:rPr>
          <w:rFonts w:ascii="宋体" w:hAnsi="宋体" w:eastAsia="宋体" w:cs="Arial"/>
          <w:b/>
          <w:color w:val="000000"/>
          <w:sz w:val="32"/>
          <w:szCs w:val="32"/>
        </w:rPr>
      </w:pPr>
      <w:bookmarkStart w:id="25" w:name="_GoBack"/>
      <w:bookmarkEnd w:id="25"/>
      <w:r>
        <w:rPr>
          <w:rFonts w:ascii="宋体" w:hAnsi="宋体" w:eastAsia="宋体" w:cs="Arial"/>
          <w:b/>
          <w:color w:val="000000"/>
          <w:sz w:val="32"/>
          <w:szCs w:val="32"/>
        </w:rPr>
        <w:t>华孚时尚股份有限公司</w:t>
      </w:r>
    </w:p>
    <w:p w14:paraId="61CC68DF">
      <w:pPr>
        <w:spacing w:before="156" w:beforeLines="50" w:after="156" w:afterLines="50"/>
        <w:jc w:val="center"/>
        <w:rPr>
          <w:rFonts w:ascii="宋体" w:hAnsi="宋体" w:eastAsia="宋体" w:cs="Arial"/>
          <w:b/>
          <w:color w:val="000000"/>
          <w:sz w:val="32"/>
          <w:szCs w:val="32"/>
        </w:rPr>
      </w:pPr>
      <w:r>
        <w:rPr>
          <w:rFonts w:ascii="宋体" w:hAnsi="宋体" w:eastAsia="宋体" w:cs="Arial"/>
          <w:b/>
          <w:color w:val="000000"/>
          <w:sz w:val="32"/>
          <w:szCs w:val="32"/>
        </w:rPr>
        <w:t>董事会议事规则</w:t>
      </w:r>
    </w:p>
    <w:p w14:paraId="04D25079">
      <w:pPr>
        <w:jc w:val="center"/>
        <w:rPr>
          <w:rFonts w:ascii="宋体" w:hAnsi="宋体" w:eastAsia="宋体" w:cs="Arial"/>
          <w:b/>
          <w:color w:val="000000"/>
          <w:sz w:val="32"/>
          <w:szCs w:val="32"/>
        </w:rPr>
      </w:pPr>
    </w:p>
    <w:p w14:paraId="7E63AE89">
      <w:pPr>
        <w:numPr>
          <w:ilvl w:val="0"/>
          <w:numId w:val="2"/>
        </w:numPr>
        <w:spacing w:before="156" w:beforeLines="50" w:after="156" w:afterLines="50" w:line="400" w:lineRule="exact"/>
        <w:jc w:val="center"/>
        <w:outlineLvl w:val="0"/>
        <w:rPr>
          <w:rFonts w:hint="eastAsia" w:ascii="宋体" w:hAnsi="宋体" w:eastAsia="宋体" w:cs="Arial"/>
          <w:b/>
          <w:kern w:val="0"/>
          <w:sz w:val="28"/>
          <w:szCs w:val="28"/>
        </w:rPr>
      </w:pPr>
      <w:bookmarkStart w:id="0" w:name="_Toc232921060"/>
      <w:bookmarkStart w:id="1" w:name="_Toc293244258"/>
      <w:r>
        <w:rPr>
          <w:rFonts w:hint="eastAsia" w:ascii="宋体" w:hAnsi="宋体" w:eastAsia="宋体" w:cs="Arial"/>
          <w:b/>
          <w:kern w:val="0"/>
          <w:sz w:val="28"/>
          <w:szCs w:val="28"/>
        </w:rPr>
        <w:t xml:space="preserve">  总  则</w:t>
      </w:r>
      <w:bookmarkEnd w:id="0"/>
      <w:bookmarkEnd w:id="1"/>
    </w:p>
    <w:p w14:paraId="1CB4CB07">
      <w:pPr>
        <w:numPr>
          <w:ilvl w:val="0"/>
          <w:numId w:val="3"/>
        </w:numPr>
        <w:spacing w:before="156" w:beforeLines="50" w:after="156" w:afterLines="50" w:line="400" w:lineRule="exact"/>
        <w:ind w:firstLine="426"/>
        <w:rPr>
          <w:rFonts w:ascii="宋体" w:hAnsi="宋体" w:eastAsia="宋体" w:cs="Arial"/>
          <w:color w:val="000000"/>
          <w:sz w:val="24"/>
          <w:szCs w:val="24"/>
        </w:rPr>
      </w:pPr>
      <w:r>
        <w:rPr>
          <w:rFonts w:ascii="宋体" w:hAnsi="宋体" w:eastAsia="宋体" w:cs="Arial"/>
          <w:color w:val="000000"/>
          <w:sz w:val="24"/>
          <w:szCs w:val="24"/>
        </w:rPr>
        <w:t>为规范华孚时尚股份有限公司（以下简称“公司”）董事会及其成员的行为，规范公司董事会议事程序，确保董事会规范、高效运作和审慎、科学决策，保证公司决策行为的民主化、科学化，</w:t>
      </w:r>
      <w:r>
        <w:rPr>
          <w:rFonts w:ascii="宋体" w:hAnsi="宋体" w:eastAsia="宋体" w:cs="Arial"/>
          <w:sz w:val="24"/>
        </w:rPr>
        <w:t>根据《中华人民共和国公司法》（以下简称“《公司法》”）</w:t>
      </w:r>
      <w:r>
        <w:rPr>
          <w:rFonts w:hint="eastAsia" w:ascii="宋体" w:hAnsi="宋体" w:eastAsia="宋体" w:cs="Arial"/>
          <w:sz w:val="24"/>
        </w:rPr>
        <w:t>、《中华人民共和国证券法》《上市公司治理准则》《上市公司章程指引》《深圳证券交易所股票上市规则》《深圳证券交易所上市公司自律监管指引第</w:t>
      </w:r>
      <w:r>
        <w:rPr>
          <w:rFonts w:ascii="宋体" w:hAnsi="宋体" w:eastAsia="宋体" w:cs="Arial"/>
          <w:sz w:val="24"/>
        </w:rPr>
        <w:t>1</w:t>
      </w:r>
      <w:r>
        <w:rPr>
          <w:rFonts w:hint="eastAsia" w:ascii="宋体" w:hAnsi="宋体" w:eastAsia="宋体" w:cs="Arial"/>
          <w:sz w:val="24"/>
        </w:rPr>
        <w:t>号——主板上市公司规范运作》</w:t>
      </w:r>
      <w:r>
        <w:rPr>
          <w:rFonts w:ascii="宋体" w:hAnsi="宋体" w:eastAsia="宋体" w:cs="Arial"/>
          <w:sz w:val="24"/>
        </w:rPr>
        <w:t>等相关法律、行政法规、部门规章、规范性文件和</w:t>
      </w:r>
      <w:r>
        <w:rPr>
          <w:rFonts w:ascii="宋体" w:hAnsi="宋体" w:eastAsia="宋体" w:cs="Arial"/>
          <w:color w:val="000000"/>
          <w:sz w:val="24"/>
          <w:szCs w:val="24"/>
        </w:rPr>
        <w:t>《华孚时尚股份有限公司章程》（以下简称“《公司章程》”）的规定，制定本规则。</w:t>
      </w:r>
    </w:p>
    <w:p w14:paraId="29242095">
      <w:pPr>
        <w:numPr>
          <w:ilvl w:val="0"/>
          <w:numId w:val="3"/>
        </w:numPr>
        <w:spacing w:before="156" w:beforeLines="50" w:after="156" w:afterLines="50" w:line="400" w:lineRule="exact"/>
        <w:ind w:firstLine="480" w:firstLineChars="200"/>
        <w:rPr>
          <w:rFonts w:ascii="宋体" w:hAnsi="宋体" w:eastAsia="宋体" w:cs="Arial"/>
          <w:color w:val="000000"/>
          <w:sz w:val="24"/>
          <w:szCs w:val="24"/>
        </w:rPr>
      </w:pPr>
      <w:r>
        <w:rPr>
          <w:rFonts w:ascii="宋体" w:hAnsi="宋体" w:eastAsia="宋体" w:cs="Arial"/>
          <w:color w:val="000000"/>
          <w:sz w:val="24"/>
          <w:szCs w:val="24"/>
        </w:rPr>
        <w:t>公司依法设立董事会，是公司的常设性决策机构，</w:t>
      </w:r>
      <w:r>
        <w:rPr>
          <w:rFonts w:ascii="宋体" w:hAnsi="宋体" w:eastAsia="宋体" w:cs="Arial"/>
          <w:sz w:val="24"/>
        </w:rPr>
        <w:t>董事会根据股东会和《公司章程》的授权，依法对公司进行经营管理</w:t>
      </w:r>
      <w:r>
        <w:rPr>
          <w:rFonts w:ascii="宋体" w:hAnsi="宋体" w:eastAsia="宋体" w:cs="Arial"/>
          <w:color w:val="000000"/>
          <w:sz w:val="24"/>
          <w:szCs w:val="24"/>
        </w:rPr>
        <w:t>。</w:t>
      </w:r>
    </w:p>
    <w:p w14:paraId="22C8AD48">
      <w:pPr>
        <w:numPr>
          <w:ilvl w:val="0"/>
          <w:numId w:val="3"/>
        </w:numPr>
        <w:spacing w:before="156" w:beforeLines="50" w:after="156" w:afterLines="50" w:line="400" w:lineRule="exact"/>
        <w:ind w:firstLine="480" w:firstLineChars="200"/>
        <w:rPr>
          <w:rFonts w:ascii="宋体" w:hAnsi="宋体" w:eastAsia="宋体" w:cs="Arial"/>
          <w:color w:val="000000"/>
          <w:sz w:val="24"/>
          <w:szCs w:val="24"/>
        </w:rPr>
      </w:pPr>
      <w:r>
        <w:rPr>
          <w:rFonts w:ascii="宋体" w:hAnsi="宋体" w:eastAsia="宋体" w:cs="Arial"/>
          <w:color w:val="000000"/>
          <w:sz w:val="24"/>
          <w:szCs w:val="24"/>
        </w:rPr>
        <w:t>董事会会议是董事会议事的主要形式。董事按规定参加董事会会议是履行董事职责的基本方式。</w:t>
      </w:r>
    </w:p>
    <w:p w14:paraId="57DBBDB2">
      <w:pPr>
        <w:numPr>
          <w:ilvl w:val="0"/>
          <w:numId w:val="3"/>
        </w:numPr>
        <w:spacing w:before="156" w:beforeLines="50" w:after="156" w:afterLines="50" w:line="400" w:lineRule="exact"/>
        <w:ind w:firstLine="480" w:firstLineChars="200"/>
        <w:rPr>
          <w:rFonts w:hint="eastAsia" w:ascii="宋体" w:hAnsi="宋体" w:eastAsia="宋体" w:cs="Arial"/>
          <w:color w:val="000000"/>
          <w:sz w:val="24"/>
          <w:szCs w:val="24"/>
        </w:rPr>
      </w:pPr>
      <w:r>
        <w:rPr>
          <w:rFonts w:ascii="宋体" w:hAnsi="宋体" w:eastAsia="宋体" w:cs="Arial"/>
          <w:color w:val="000000"/>
          <w:sz w:val="24"/>
          <w:szCs w:val="24"/>
        </w:rPr>
        <w:t>董事会根据《公司章程》要求设</w:t>
      </w:r>
      <w:r>
        <w:rPr>
          <w:rFonts w:hint="eastAsia" w:ascii="宋体" w:hAnsi="宋体" w:eastAsia="宋体" w:cs="Arial"/>
          <w:color w:val="000000"/>
          <w:sz w:val="24"/>
          <w:szCs w:val="24"/>
        </w:rPr>
        <w:t>置</w:t>
      </w:r>
      <w:r>
        <w:rPr>
          <w:rFonts w:ascii="宋体" w:hAnsi="宋体" w:eastAsia="宋体" w:cs="Arial"/>
          <w:color w:val="000000"/>
          <w:sz w:val="24"/>
          <w:szCs w:val="24"/>
        </w:rPr>
        <w:t>审计委员会、战略委员会、提名委员会、薪酬与考核委员会等专门委员会。董事会专门委员会的职责、议事程序等工作实施细则由董事会另行制定。</w:t>
      </w:r>
    </w:p>
    <w:p w14:paraId="3CD6ACFC">
      <w:pPr>
        <w:numPr>
          <w:ilvl w:val="0"/>
          <w:numId w:val="3"/>
        </w:numPr>
        <w:spacing w:before="156" w:beforeLines="50" w:after="156" w:afterLines="50" w:line="400" w:lineRule="exact"/>
        <w:ind w:firstLine="480" w:firstLineChars="200"/>
        <w:rPr>
          <w:rFonts w:hint="eastAsia" w:ascii="宋体" w:hAnsi="宋体" w:eastAsia="宋体" w:cs="Arial"/>
          <w:color w:val="000000"/>
          <w:sz w:val="24"/>
          <w:szCs w:val="24"/>
        </w:rPr>
      </w:pPr>
      <w:r>
        <w:rPr>
          <w:rFonts w:hint="eastAsia" w:ascii="宋体" w:hAnsi="宋体" w:eastAsia="宋体" w:cs="Arial"/>
          <w:color w:val="000000"/>
          <w:sz w:val="24"/>
          <w:szCs w:val="24"/>
        </w:rPr>
        <w:t xml:space="preserve"> </w:t>
      </w:r>
      <w:r>
        <w:rPr>
          <w:rFonts w:ascii="宋体" w:hAnsi="宋体" w:eastAsia="宋体" w:cs="Arial"/>
          <w:color w:val="000000"/>
          <w:sz w:val="24"/>
          <w:szCs w:val="24"/>
        </w:rPr>
        <w:t>董事会下设董事会办公室，处理董事会日常事务。</w:t>
      </w:r>
    </w:p>
    <w:p w14:paraId="12413D9E">
      <w:pPr>
        <w:numPr>
          <w:ilvl w:val="0"/>
          <w:numId w:val="2"/>
        </w:numPr>
        <w:spacing w:before="156" w:beforeLines="50" w:after="156" w:afterLines="50" w:line="400" w:lineRule="exact"/>
        <w:jc w:val="center"/>
        <w:outlineLvl w:val="0"/>
        <w:rPr>
          <w:rFonts w:ascii="宋体" w:hAnsi="宋体" w:eastAsia="宋体" w:cs="Arial"/>
          <w:b/>
          <w:kern w:val="0"/>
          <w:sz w:val="28"/>
          <w:szCs w:val="28"/>
        </w:rPr>
      </w:pPr>
      <w:bookmarkStart w:id="2" w:name="_Toc258318970"/>
      <w:bookmarkEnd w:id="2"/>
      <w:bookmarkStart w:id="3" w:name="_Toc258588227"/>
      <w:bookmarkEnd w:id="3"/>
      <w:bookmarkStart w:id="4" w:name="_Toc258588225"/>
      <w:bookmarkEnd w:id="4"/>
      <w:bookmarkStart w:id="5" w:name="_Toc258588232"/>
      <w:bookmarkEnd w:id="5"/>
      <w:bookmarkStart w:id="6" w:name="_Toc258588230"/>
      <w:bookmarkEnd w:id="6"/>
      <w:bookmarkStart w:id="7" w:name="_Toc258588229"/>
      <w:bookmarkEnd w:id="7"/>
      <w:bookmarkStart w:id="8" w:name="_Toc258588231"/>
      <w:bookmarkEnd w:id="8"/>
      <w:bookmarkStart w:id="9" w:name="_Toc258588228"/>
      <w:bookmarkEnd w:id="9"/>
      <w:bookmarkStart w:id="10" w:name="_Toc258588234"/>
      <w:bookmarkEnd w:id="10"/>
      <w:bookmarkStart w:id="11" w:name="_Toc258588235"/>
      <w:bookmarkEnd w:id="11"/>
      <w:bookmarkStart w:id="12" w:name="_Toc258588233"/>
      <w:bookmarkEnd w:id="12"/>
      <w:bookmarkStart w:id="13" w:name="_Toc232921062"/>
      <w:bookmarkStart w:id="14" w:name="_Toc293244259"/>
      <w:r>
        <w:rPr>
          <w:rFonts w:hint="eastAsia" w:ascii="宋体" w:hAnsi="宋体" w:eastAsia="宋体" w:cs="Arial"/>
          <w:b/>
          <w:kern w:val="0"/>
          <w:sz w:val="28"/>
          <w:szCs w:val="28"/>
        </w:rPr>
        <w:t xml:space="preserve">  </w:t>
      </w:r>
      <w:r>
        <w:rPr>
          <w:rFonts w:ascii="宋体" w:hAnsi="宋体" w:eastAsia="宋体" w:cs="Arial"/>
          <w:b/>
          <w:kern w:val="0"/>
          <w:sz w:val="28"/>
          <w:szCs w:val="28"/>
        </w:rPr>
        <w:t>董事会的组成和职权</w:t>
      </w:r>
    </w:p>
    <w:p w14:paraId="006040C1">
      <w:pPr>
        <w:numPr>
          <w:ilvl w:val="0"/>
          <w:numId w:val="3"/>
        </w:numPr>
        <w:spacing w:before="156" w:beforeLines="50" w:after="156" w:afterLines="50" w:line="400" w:lineRule="exact"/>
        <w:ind w:firstLine="480" w:firstLineChars="200"/>
        <w:rPr>
          <w:rFonts w:hint="eastAsia" w:ascii="宋体" w:hAnsi="宋体" w:eastAsia="宋体" w:cs="Arial"/>
          <w:color w:val="000000"/>
          <w:sz w:val="24"/>
          <w:szCs w:val="24"/>
        </w:rPr>
      </w:pPr>
      <w:r>
        <w:rPr>
          <w:rFonts w:ascii="宋体" w:hAnsi="宋体" w:eastAsia="宋体" w:cs="Arial"/>
          <w:color w:val="000000"/>
          <w:sz w:val="24"/>
          <w:szCs w:val="24"/>
        </w:rPr>
        <w:t>董事会由</w:t>
      </w:r>
      <w:r>
        <w:rPr>
          <w:rFonts w:hint="eastAsia" w:ascii="宋体" w:hAnsi="宋体" w:eastAsia="宋体" w:cs="Arial"/>
          <w:color w:val="000000"/>
          <w:sz w:val="24"/>
          <w:szCs w:val="24"/>
        </w:rPr>
        <w:t>9</w:t>
      </w:r>
      <w:r>
        <w:rPr>
          <w:rFonts w:ascii="宋体" w:hAnsi="宋体" w:eastAsia="宋体" w:cs="Arial"/>
          <w:color w:val="000000"/>
          <w:sz w:val="24"/>
          <w:szCs w:val="24"/>
        </w:rPr>
        <w:t>名董事组成，其中独立董事</w:t>
      </w:r>
      <w:r>
        <w:rPr>
          <w:rFonts w:hint="eastAsia" w:ascii="宋体" w:hAnsi="宋体" w:eastAsia="宋体" w:cs="Arial"/>
          <w:color w:val="000000"/>
          <w:sz w:val="24"/>
          <w:szCs w:val="24"/>
        </w:rPr>
        <w:t>3</w:t>
      </w:r>
      <w:r>
        <w:rPr>
          <w:rFonts w:ascii="宋体" w:hAnsi="宋体" w:eastAsia="宋体" w:cs="Arial"/>
          <w:color w:val="000000"/>
          <w:sz w:val="24"/>
          <w:szCs w:val="24"/>
        </w:rPr>
        <w:t>名。设董事长1人。董事长由董</w:t>
      </w:r>
      <w:r>
        <w:rPr>
          <w:rFonts w:hint="eastAsia" w:ascii="宋体" w:hAnsi="宋体" w:eastAsia="宋体" w:cs="Arial"/>
          <w:color w:val="000000"/>
          <w:sz w:val="24"/>
          <w:szCs w:val="24"/>
        </w:rPr>
        <w:t>事会以全体董事的过半数选举产生。</w:t>
      </w:r>
    </w:p>
    <w:p w14:paraId="534BDC5A">
      <w:pPr>
        <w:spacing w:line="440" w:lineRule="exact"/>
        <w:ind w:firstLine="480" w:firstLineChars="200"/>
        <w:rPr>
          <w:rFonts w:hint="eastAsia" w:ascii="宋体" w:hAnsi="宋体" w:eastAsia="宋体" w:cs="Arial"/>
          <w:sz w:val="24"/>
          <w:szCs w:val="24"/>
        </w:rPr>
      </w:pPr>
      <w:r>
        <w:rPr>
          <w:rFonts w:hint="eastAsia" w:ascii="宋体" w:hAnsi="宋体" w:eastAsia="宋体" w:cs="Arial"/>
          <w:sz w:val="24"/>
          <w:szCs w:val="24"/>
        </w:rPr>
        <w:t>董事会成员中应当包括</w:t>
      </w:r>
      <w:r>
        <w:rPr>
          <w:rFonts w:ascii="宋体" w:hAnsi="宋体" w:eastAsia="宋体" w:cs="Arial"/>
          <w:sz w:val="24"/>
          <w:szCs w:val="24"/>
        </w:rPr>
        <w:t>1</w:t>
      </w:r>
      <w:r>
        <w:rPr>
          <w:rFonts w:hint="eastAsia" w:ascii="宋体" w:hAnsi="宋体" w:eastAsia="宋体" w:cs="Arial"/>
          <w:sz w:val="24"/>
          <w:szCs w:val="24"/>
        </w:rPr>
        <w:t>名公司职工代表。董事会中的职工代表由公司职工通过职工代表大会、职工大会或者其他形式民主选举产生。</w:t>
      </w:r>
    </w:p>
    <w:p w14:paraId="542B033C">
      <w:pPr>
        <w:numPr>
          <w:ilvl w:val="0"/>
          <w:numId w:val="3"/>
        </w:numPr>
        <w:tabs>
          <w:tab w:val="left" w:pos="360"/>
        </w:tabs>
        <w:spacing w:before="156" w:beforeLines="50" w:after="156" w:afterLines="50" w:line="400" w:lineRule="exact"/>
        <w:ind w:firstLine="480" w:firstLineChars="200"/>
        <w:rPr>
          <w:rFonts w:ascii="宋体" w:hAnsi="宋体" w:eastAsia="宋体" w:cs="Arial"/>
          <w:color w:val="000000"/>
          <w:sz w:val="24"/>
          <w:szCs w:val="24"/>
        </w:rPr>
      </w:pPr>
      <w:r>
        <w:rPr>
          <w:rFonts w:hint="eastAsia" w:ascii="宋体" w:hAnsi="宋体" w:eastAsia="宋体" w:cs="Arial"/>
          <w:color w:val="000000"/>
          <w:sz w:val="24"/>
          <w:szCs w:val="24"/>
        </w:rPr>
        <w:t xml:space="preserve"> </w:t>
      </w:r>
      <w:r>
        <w:rPr>
          <w:rFonts w:ascii="宋体" w:hAnsi="宋体" w:eastAsia="宋体" w:cs="Arial"/>
          <w:color w:val="000000"/>
          <w:sz w:val="24"/>
          <w:szCs w:val="24"/>
        </w:rPr>
        <w:t>董事连续两次未能亲自出席、也不委托其他董事出席董事会会议，视为不能履行职责，董事会应当建议股东会予以撤换。</w:t>
      </w:r>
    </w:p>
    <w:p w14:paraId="5B45B74C">
      <w:pPr>
        <w:numPr>
          <w:ilvl w:val="0"/>
          <w:numId w:val="3"/>
        </w:numPr>
        <w:tabs>
          <w:tab w:val="left" w:pos="360"/>
        </w:tabs>
        <w:spacing w:before="156" w:beforeLines="50" w:after="156" w:afterLines="50" w:line="400" w:lineRule="exact"/>
        <w:ind w:firstLine="480" w:firstLineChars="200"/>
        <w:rPr>
          <w:rFonts w:ascii="宋体" w:hAnsi="宋体" w:eastAsia="宋体" w:cs="Arial"/>
          <w:color w:val="000000"/>
          <w:sz w:val="24"/>
          <w:szCs w:val="24"/>
        </w:rPr>
      </w:pPr>
      <w:r>
        <w:rPr>
          <w:rFonts w:ascii="宋体" w:hAnsi="宋体" w:eastAsia="宋体" w:cs="Arial"/>
          <w:color w:val="000000"/>
          <w:sz w:val="24"/>
          <w:szCs w:val="24"/>
        </w:rPr>
        <w:t xml:space="preserve">董事会行使下列职权： </w:t>
      </w:r>
    </w:p>
    <w:p w14:paraId="62AB0827">
      <w:pPr>
        <w:spacing w:line="440" w:lineRule="exact"/>
        <w:ind w:firstLine="480" w:firstLineChars="200"/>
        <w:rPr>
          <w:rFonts w:ascii="宋体" w:hAnsi="宋体" w:eastAsia="宋体" w:cs="Arial"/>
          <w:sz w:val="24"/>
          <w:szCs w:val="24"/>
        </w:rPr>
      </w:pPr>
      <w:r>
        <w:rPr>
          <w:rFonts w:hint="eastAsia" w:ascii="宋体" w:hAnsi="宋体" w:eastAsia="宋体" w:cs="Arial"/>
          <w:sz w:val="24"/>
          <w:szCs w:val="24"/>
        </w:rPr>
        <w:t>（一）召集股东会</w:t>
      </w:r>
      <w:r>
        <w:rPr>
          <w:rFonts w:ascii="宋体" w:hAnsi="宋体" w:eastAsia="宋体" w:cs="Arial"/>
          <w:sz w:val="24"/>
          <w:szCs w:val="24"/>
        </w:rPr>
        <w:t>,</w:t>
      </w:r>
      <w:r>
        <w:rPr>
          <w:rFonts w:hint="eastAsia" w:ascii="宋体" w:hAnsi="宋体" w:eastAsia="宋体" w:cs="Arial"/>
          <w:sz w:val="24"/>
          <w:szCs w:val="24"/>
        </w:rPr>
        <w:t>并向股东会报告工作；</w:t>
      </w:r>
    </w:p>
    <w:p w14:paraId="7D9DBBDD">
      <w:pPr>
        <w:spacing w:line="440" w:lineRule="exact"/>
        <w:ind w:firstLine="480" w:firstLineChars="200"/>
        <w:rPr>
          <w:rFonts w:ascii="宋体" w:hAnsi="宋体" w:eastAsia="宋体" w:cs="Arial"/>
          <w:sz w:val="24"/>
          <w:szCs w:val="24"/>
        </w:rPr>
      </w:pPr>
      <w:r>
        <w:rPr>
          <w:rFonts w:hint="eastAsia" w:ascii="宋体" w:hAnsi="宋体" w:eastAsia="宋体" w:cs="Arial"/>
          <w:sz w:val="24"/>
          <w:szCs w:val="24"/>
        </w:rPr>
        <w:t>（二）执行股东会的决议；</w:t>
      </w:r>
      <w:r>
        <w:rPr>
          <w:rFonts w:ascii="宋体" w:hAnsi="宋体" w:eastAsia="宋体" w:cs="Arial"/>
          <w:sz w:val="24"/>
          <w:szCs w:val="24"/>
        </w:rPr>
        <w:t xml:space="preserve"> </w:t>
      </w:r>
    </w:p>
    <w:p w14:paraId="7696A38D">
      <w:pPr>
        <w:spacing w:line="440" w:lineRule="exact"/>
        <w:ind w:firstLine="480" w:firstLineChars="200"/>
        <w:rPr>
          <w:rFonts w:ascii="宋体" w:hAnsi="宋体" w:eastAsia="宋体" w:cs="Arial"/>
          <w:sz w:val="24"/>
          <w:szCs w:val="24"/>
        </w:rPr>
      </w:pPr>
      <w:r>
        <w:rPr>
          <w:rFonts w:hint="eastAsia" w:ascii="宋体" w:hAnsi="宋体" w:eastAsia="宋体" w:cs="Arial"/>
          <w:sz w:val="24"/>
          <w:szCs w:val="24"/>
        </w:rPr>
        <w:t>（三）决定公司的经营计划和投资方案；</w:t>
      </w:r>
      <w:r>
        <w:rPr>
          <w:rFonts w:ascii="宋体" w:hAnsi="宋体" w:eastAsia="宋体" w:cs="Arial"/>
          <w:sz w:val="24"/>
          <w:szCs w:val="24"/>
        </w:rPr>
        <w:t xml:space="preserve"> </w:t>
      </w:r>
    </w:p>
    <w:p w14:paraId="183821B0">
      <w:pPr>
        <w:spacing w:line="440" w:lineRule="exact"/>
        <w:ind w:firstLine="480" w:firstLineChars="200"/>
        <w:rPr>
          <w:rFonts w:ascii="宋体" w:hAnsi="宋体" w:eastAsia="宋体" w:cs="Arial"/>
          <w:sz w:val="24"/>
          <w:szCs w:val="24"/>
        </w:rPr>
      </w:pPr>
      <w:r>
        <w:rPr>
          <w:rFonts w:hint="eastAsia" w:ascii="宋体" w:hAnsi="宋体" w:eastAsia="宋体" w:cs="Arial"/>
          <w:sz w:val="24"/>
          <w:szCs w:val="24"/>
        </w:rPr>
        <w:t>（四）制订公司的利润分配方案和弥补亏损方案；</w:t>
      </w:r>
      <w:r>
        <w:rPr>
          <w:rFonts w:ascii="宋体" w:hAnsi="宋体" w:eastAsia="宋体" w:cs="Arial"/>
          <w:sz w:val="24"/>
          <w:szCs w:val="24"/>
        </w:rPr>
        <w:t xml:space="preserve"> </w:t>
      </w:r>
    </w:p>
    <w:p w14:paraId="7E204DD3">
      <w:pPr>
        <w:spacing w:line="440" w:lineRule="exact"/>
        <w:ind w:firstLine="480" w:firstLineChars="200"/>
        <w:rPr>
          <w:rFonts w:ascii="宋体" w:hAnsi="宋体" w:eastAsia="宋体" w:cs="Arial"/>
          <w:sz w:val="24"/>
          <w:szCs w:val="24"/>
        </w:rPr>
      </w:pPr>
      <w:r>
        <w:rPr>
          <w:rFonts w:hint="eastAsia" w:ascii="宋体" w:hAnsi="宋体" w:eastAsia="宋体" w:cs="Arial"/>
          <w:sz w:val="24"/>
          <w:szCs w:val="24"/>
        </w:rPr>
        <w:t>（五）制订公司增加或者减少注册资本、发行债券或者其他证券及上市方案；</w:t>
      </w:r>
      <w:r>
        <w:rPr>
          <w:rFonts w:ascii="宋体" w:hAnsi="宋体" w:eastAsia="宋体" w:cs="Arial"/>
          <w:sz w:val="24"/>
          <w:szCs w:val="24"/>
        </w:rPr>
        <w:t xml:space="preserve"> </w:t>
      </w:r>
    </w:p>
    <w:p w14:paraId="46C95C19">
      <w:pPr>
        <w:spacing w:line="440" w:lineRule="exact"/>
        <w:ind w:firstLine="480" w:firstLineChars="200"/>
        <w:rPr>
          <w:rFonts w:ascii="宋体" w:hAnsi="宋体" w:eastAsia="宋体" w:cs="Arial"/>
          <w:sz w:val="24"/>
          <w:szCs w:val="24"/>
        </w:rPr>
      </w:pPr>
      <w:r>
        <w:rPr>
          <w:rFonts w:hint="eastAsia" w:ascii="宋体" w:hAnsi="宋体" w:eastAsia="宋体" w:cs="Arial"/>
          <w:sz w:val="24"/>
          <w:szCs w:val="24"/>
        </w:rPr>
        <w:t>（六）拟订公司重大收购、收购本公司股票或者合并、分立、解散及变更公司形式的方案；</w:t>
      </w:r>
      <w:r>
        <w:rPr>
          <w:rFonts w:ascii="宋体" w:hAnsi="宋体" w:eastAsia="宋体" w:cs="Arial"/>
          <w:sz w:val="24"/>
          <w:szCs w:val="24"/>
        </w:rPr>
        <w:t xml:space="preserve"> </w:t>
      </w:r>
    </w:p>
    <w:p w14:paraId="602EFF9F">
      <w:pPr>
        <w:spacing w:line="440" w:lineRule="exact"/>
        <w:ind w:firstLine="480" w:firstLineChars="200"/>
        <w:rPr>
          <w:rFonts w:ascii="宋体" w:hAnsi="宋体" w:eastAsia="宋体" w:cs="Arial"/>
          <w:sz w:val="24"/>
          <w:szCs w:val="24"/>
        </w:rPr>
      </w:pPr>
      <w:r>
        <w:rPr>
          <w:rFonts w:hint="eastAsia" w:ascii="宋体" w:hAnsi="宋体" w:eastAsia="宋体" w:cs="Arial"/>
          <w:sz w:val="24"/>
          <w:szCs w:val="24"/>
        </w:rPr>
        <w:t>（七）决定公司因《公司章程》第二十四条第</w:t>
      </w:r>
      <w:r>
        <w:rPr>
          <w:rFonts w:ascii="宋体" w:hAnsi="宋体" w:eastAsia="宋体" w:cs="Arial"/>
          <w:sz w:val="24"/>
          <w:szCs w:val="24"/>
        </w:rPr>
        <w:t>(</w:t>
      </w:r>
      <w:r>
        <w:rPr>
          <w:rFonts w:hint="eastAsia" w:ascii="宋体" w:hAnsi="宋体" w:eastAsia="宋体" w:cs="Arial"/>
          <w:sz w:val="24"/>
          <w:szCs w:val="24"/>
        </w:rPr>
        <w:t>三</w:t>
      </w:r>
      <w:r>
        <w:rPr>
          <w:rFonts w:ascii="宋体" w:hAnsi="宋体" w:eastAsia="宋体" w:cs="Arial"/>
          <w:sz w:val="24"/>
          <w:szCs w:val="24"/>
        </w:rPr>
        <w:t>)</w:t>
      </w:r>
      <w:r>
        <w:rPr>
          <w:rFonts w:hint="eastAsia" w:ascii="宋体" w:hAnsi="宋体" w:eastAsia="宋体" w:cs="Arial"/>
          <w:sz w:val="24"/>
          <w:szCs w:val="24"/>
        </w:rPr>
        <w:t>项、第（五）项、第（六）项规定的情形收购本公司股份；</w:t>
      </w:r>
    </w:p>
    <w:p w14:paraId="455CB00E">
      <w:pPr>
        <w:spacing w:line="440" w:lineRule="exact"/>
        <w:ind w:firstLine="480" w:firstLineChars="200"/>
        <w:rPr>
          <w:rFonts w:ascii="宋体" w:hAnsi="宋体" w:eastAsia="宋体" w:cs="Arial"/>
          <w:sz w:val="24"/>
          <w:szCs w:val="24"/>
        </w:rPr>
      </w:pPr>
      <w:r>
        <w:rPr>
          <w:rFonts w:hint="eastAsia" w:ascii="宋体" w:hAnsi="宋体" w:eastAsia="宋体" w:cs="Arial"/>
          <w:sz w:val="24"/>
          <w:szCs w:val="24"/>
        </w:rPr>
        <w:t>（八）在股东会授权范围内</w:t>
      </w:r>
      <w:r>
        <w:rPr>
          <w:rFonts w:ascii="宋体" w:hAnsi="宋体" w:eastAsia="宋体" w:cs="Arial"/>
          <w:sz w:val="24"/>
          <w:szCs w:val="24"/>
        </w:rPr>
        <w:t>,</w:t>
      </w:r>
      <w:r>
        <w:rPr>
          <w:rFonts w:hint="eastAsia" w:ascii="宋体" w:hAnsi="宋体" w:eastAsia="宋体" w:cs="Arial"/>
          <w:sz w:val="24"/>
          <w:szCs w:val="24"/>
        </w:rPr>
        <w:t>决定公司对外投资、收购出售资产、资产抵押、对外担保、委托理财、关联交易、对外捐赠等事项；</w:t>
      </w:r>
      <w:r>
        <w:rPr>
          <w:rFonts w:ascii="宋体" w:hAnsi="宋体" w:eastAsia="宋体" w:cs="Arial"/>
          <w:sz w:val="24"/>
          <w:szCs w:val="24"/>
        </w:rPr>
        <w:t xml:space="preserve"> </w:t>
      </w:r>
    </w:p>
    <w:p w14:paraId="6905414A">
      <w:pPr>
        <w:spacing w:line="440" w:lineRule="exact"/>
        <w:ind w:firstLine="480" w:firstLineChars="200"/>
        <w:rPr>
          <w:rFonts w:ascii="宋体" w:hAnsi="宋体" w:eastAsia="宋体" w:cs="Arial"/>
          <w:sz w:val="24"/>
          <w:szCs w:val="24"/>
        </w:rPr>
      </w:pPr>
      <w:r>
        <w:rPr>
          <w:rFonts w:hint="eastAsia" w:ascii="宋体" w:hAnsi="宋体" w:eastAsia="宋体" w:cs="Arial"/>
          <w:sz w:val="24"/>
          <w:szCs w:val="24"/>
        </w:rPr>
        <w:t>（九）决定公司内部管理机构的设置；</w:t>
      </w:r>
      <w:r>
        <w:rPr>
          <w:rFonts w:ascii="宋体" w:hAnsi="宋体" w:eastAsia="宋体" w:cs="Arial"/>
          <w:sz w:val="24"/>
          <w:szCs w:val="24"/>
        </w:rPr>
        <w:t xml:space="preserve"> </w:t>
      </w:r>
    </w:p>
    <w:p w14:paraId="5291D810">
      <w:pPr>
        <w:spacing w:line="440" w:lineRule="exact"/>
        <w:ind w:firstLine="480" w:firstLineChars="200"/>
        <w:rPr>
          <w:rFonts w:ascii="宋体" w:hAnsi="宋体" w:eastAsia="宋体" w:cs="Arial"/>
          <w:sz w:val="24"/>
          <w:szCs w:val="24"/>
        </w:rPr>
      </w:pPr>
      <w:r>
        <w:rPr>
          <w:rFonts w:hint="eastAsia" w:ascii="宋体" w:hAnsi="宋体" w:eastAsia="宋体" w:cs="Arial"/>
          <w:sz w:val="24"/>
          <w:szCs w:val="24"/>
        </w:rPr>
        <w:t>（十）决定聘任或者解聘公司总裁、董事会秘书及其他高级管理人员</w:t>
      </w:r>
      <w:r>
        <w:rPr>
          <w:rFonts w:ascii="宋体" w:hAnsi="宋体" w:eastAsia="宋体" w:cs="Arial"/>
          <w:sz w:val="24"/>
          <w:szCs w:val="24"/>
        </w:rPr>
        <w:t>,</w:t>
      </w:r>
      <w:r>
        <w:rPr>
          <w:rFonts w:hint="eastAsia" w:ascii="宋体" w:hAnsi="宋体" w:eastAsia="宋体" w:cs="Arial"/>
          <w:sz w:val="24"/>
          <w:szCs w:val="24"/>
        </w:rPr>
        <w:t>并决定其报酬事项和奖惩事项；根据总裁的提名，决定聘任或者解聘公司副总裁、总裁助理、财务负责人、首席技术官等高级管理人员，并决定其报酬事项和奖惩事项；</w:t>
      </w:r>
      <w:r>
        <w:rPr>
          <w:rFonts w:ascii="宋体" w:hAnsi="宋体" w:eastAsia="宋体" w:cs="Arial"/>
          <w:sz w:val="24"/>
          <w:szCs w:val="24"/>
        </w:rPr>
        <w:t xml:space="preserve">    </w:t>
      </w:r>
    </w:p>
    <w:p w14:paraId="30F70C65">
      <w:pPr>
        <w:spacing w:line="440" w:lineRule="exact"/>
        <w:ind w:firstLine="480" w:firstLineChars="200"/>
        <w:rPr>
          <w:rFonts w:ascii="宋体" w:hAnsi="宋体" w:eastAsia="宋体" w:cs="Arial"/>
          <w:sz w:val="24"/>
          <w:szCs w:val="24"/>
        </w:rPr>
      </w:pPr>
      <w:r>
        <w:rPr>
          <w:rFonts w:hint="eastAsia" w:ascii="宋体" w:hAnsi="宋体" w:eastAsia="宋体" w:cs="Arial"/>
          <w:sz w:val="24"/>
          <w:szCs w:val="24"/>
        </w:rPr>
        <w:t>（十一）制定公司的基本管理制度；</w:t>
      </w:r>
      <w:r>
        <w:rPr>
          <w:rFonts w:ascii="宋体" w:hAnsi="宋体" w:eastAsia="宋体" w:cs="Arial"/>
          <w:sz w:val="24"/>
          <w:szCs w:val="24"/>
        </w:rPr>
        <w:t xml:space="preserve"> </w:t>
      </w:r>
    </w:p>
    <w:p w14:paraId="1A140D0B">
      <w:pPr>
        <w:spacing w:line="440" w:lineRule="exact"/>
        <w:ind w:firstLine="480" w:firstLineChars="200"/>
        <w:rPr>
          <w:rFonts w:ascii="宋体" w:hAnsi="宋体" w:eastAsia="宋体" w:cs="Arial"/>
          <w:sz w:val="24"/>
          <w:szCs w:val="24"/>
        </w:rPr>
      </w:pPr>
      <w:r>
        <w:rPr>
          <w:rFonts w:hint="eastAsia" w:ascii="宋体" w:hAnsi="宋体" w:eastAsia="宋体" w:cs="Arial"/>
          <w:sz w:val="24"/>
          <w:szCs w:val="24"/>
        </w:rPr>
        <w:t>（十二）制订《公司章程》的修改方案；</w:t>
      </w:r>
      <w:r>
        <w:rPr>
          <w:rFonts w:ascii="宋体" w:hAnsi="宋体" w:eastAsia="宋体" w:cs="Arial"/>
          <w:sz w:val="24"/>
          <w:szCs w:val="24"/>
        </w:rPr>
        <w:t xml:space="preserve"> </w:t>
      </w:r>
    </w:p>
    <w:p w14:paraId="164E1FB9">
      <w:pPr>
        <w:spacing w:line="440" w:lineRule="exact"/>
        <w:ind w:firstLine="480" w:firstLineChars="200"/>
        <w:rPr>
          <w:rFonts w:ascii="宋体" w:hAnsi="宋体" w:eastAsia="宋体" w:cs="Arial"/>
          <w:sz w:val="24"/>
          <w:szCs w:val="24"/>
        </w:rPr>
      </w:pPr>
      <w:r>
        <w:rPr>
          <w:rFonts w:hint="eastAsia" w:ascii="宋体" w:hAnsi="宋体" w:eastAsia="宋体" w:cs="Arial"/>
          <w:sz w:val="24"/>
          <w:szCs w:val="24"/>
        </w:rPr>
        <w:t>（十三）管理公司信息披露事项；</w:t>
      </w:r>
      <w:r>
        <w:rPr>
          <w:rFonts w:ascii="宋体" w:hAnsi="宋体" w:eastAsia="宋体" w:cs="Arial"/>
          <w:sz w:val="24"/>
          <w:szCs w:val="24"/>
        </w:rPr>
        <w:t xml:space="preserve"> </w:t>
      </w:r>
    </w:p>
    <w:p w14:paraId="02DB3518">
      <w:pPr>
        <w:spacing w:line="440" w:lineRule="exact"/>
        <w:ind w:firstLine="480" w:firstLineChars="200"/>
        <w:rPr>
          <w:rFonts w:ascii="宋体" w:hAnsi="宋体" w:eastAsia="宋体" w:cs="Arial"/>
          <w:sz w:val="24"/>
          <w:szCs w:val="24"/>
        </w:rPr>
      </w:pPr>
      <w:r>
        <w:rPr>
          <w:rFonts w:hint="eastAsia" w:ascii="宋体" w:hAnsi="宋体" w:eastAsia="宋体" w:cs="Arial"/>
          <w:sz w:val="24"/>
          <w:szCs w:val="24"/>
        </w:rPr>
        <w:t>（十四）向股东会提请聘请或者更换为公司审计的会计师事务所；</w:t>
      </w:r>
      <w:r>
        <w:rPr>
          <w:rFonts w:ascii="宋体" w:hAnsi="宋体" w:eastAsia="宋体" w:cs="Arial"/>
          <w:sz w:val="24"/>
          <w:szCs w:val="24"/>
        </w:rPr>
        <w:t xml:space="preserve"> </w:t>
      </w:r>
    </w:p>
    <w:p w14:paraId="55080259">
      <w:pPr>
        <w:spacing w:line="440" w:lineRule="exact"/>
        <w:ind w:firstLine="480" w:firstLineChars="200"/>
        <w:rPr>
          <w:rFonts w:ascii="宋体" w:hAnsi="宋体" w:eastAsia="宋体" w:cs="Arial"/>
          <w:sz w:val="24"/>
          <w:szCs w:val="24"/>
        </w:rPr>
      </w:pPr>
      <w:r>
        <w:rPr>
          <w:rFonts w:hint="eastAsia" w:ascii="宋体" w:hAnsi="宋体" w:eastAsia="宋体" w:cs="Arial"/>
          <w:sz w:val="24"/>
          <w:szCs w:val="24"/>
        </w:rPr>
        <w:t>（十五）听取公司总裁的工作汇报并检查总裁的工作；</w:t>
      </w:r>
      <w:r>
        <w:rPr>
          <w:rFonts w:ascii="宋体" w:hAnsi="宋体" w:eastAsia="宋体" w:cs="Arial"/>
          <w:sz w:val="24"/>
          <w:szCs w:val="24"/>
        </w:rPr>
        <w:t xml:space="preserve"> </w:t>
      </w:r>
    </w:p>
    <w:p w14:paraId="4081504B">
      <w:pPr>
        <w:spacing w:line="440" w:lineRule="exact"/>
        <w:ind w:firstLine="480" w:firstLineChars="200"/>
        <w:rPr>
          <w:rFonts w:ascii="宋体" w:hAnsi="宋体" w:eastAsia="宋体" w:cs="Arial"/>
          <w:sz w:val="24"/>
          <w:szCs w:val="24"/>
        </w:rPr>
      </w:pPr>
      <w:r>
        <w:rPr>
          <w:rFonts w:hint="eastAsia" w:ascii="宋体" w:hAnsi="宋体" w:eastAsia="宋体" w:cs="Arial"/>
          <w:sz w:val="24"/>
          <w:szCs w:val="24"/>
        </w:rPr>
        <w:t>（十六）制定与实施经营层及核心技术人员绩效评估奖励及超额奖励办法；</w:t>
      </w:r>
      <w:r>
        <w:rPr>
          <w:rFonts w:ascii="宋体" w:hAnsi="宋体" w:eastAsia="宋体" w:cs="Arial"/>
          <w:sz w:val="24"/>
          <w:szCs w:val="24"/>
        </w:rPr>
        <w:t xml:space="preserve">  </w:t>
      </w:r>
    </w:p>
    <w:p w14:paraId="60337126">
      <w:pPr>
        <w:spacing w:line="440" w:lineRule="exact"/>
        <w:ind w:firstLine="480" w:firstLineChars="200"/>
        <w:rPr>
          <w:rFonts w:ascii="宋体" w:hAnsi="宋体" w:eastAsia="宋体" w:cs="Arial"/>
          <w:sz w:val="24"/>
          <w:szCs w:val="24"/>
        </w:rPr>
      </w:pPr>
      <w:r>
        <w:rPr>
          <w:rFonts w:hint="eastAsia" w:ascii="宋体" w:hAnsi="宋体" w:eastAsia="宋体" w:cs="Arial"/>
          <w:sz w:val="24"/>
          <w:szCs w:val="24"/>
        </w:rPr>
        <w:t>（十七）制定和修改董事（含独立董事）津贴费用标准，经股东会批准后实施；</w:t>
      </w:r>
    </w:p>
    <w:p w14:paraId="73CD9566">
      <w:pPr>
        <w:spacing w:line="440" w:lineRule="exact"/>
        <w:ind w:firstLine="480" w:firstLineChars="200"/>
        <w:rPr>
          <w:rFonts w:hint="eastAsia" w:ascii="宋体" w:hAnsi="宋体" w:eastAsia="宋体" w:cs="Arial"/>
          <w:sz w:val="24"/>
          <w:szCs w:val="24"/>
        </w:rPr>
      </w:pPr>
      <w:r>
        <w:rPr>
          <w:rFonts w:hint="eastAsia" w:ascii="宋体" w:hAnsi="宋体" w:eastAsia="宋体" w:cs="Arial"/>
          <w:sz w:val="24"/>
          <w:szCs w:val="24"/>
        </w:rPr>
        <w:t>（十八）法律、行政法规、部门规章、《公司章程》或者股东会授予的其他职权。</w:t>
      </w:r>
    </w:p>
    <w:p w14:paraId="313AD8D2">
      <w:pPr>
        <w:spacing w:line="440" w:lineRule="exact"/>
        <w:ind w:firstLine="480" w:firstLineChars="200"/>
        <w:rPr>
          <w:rFonts w:ascii="宋体" w:hAnsi="宋体" w:eastAsia="宋体" w:cs="Arial"/>
          <w:sz w:val="24"/>
          <w:szCs w:val="24"/>
        </w:rPr>
      </w:pPr>
      <w:r>
        <w:rPr>
          <w:rFonts w:ascii="宋体" w:hAnsi="宋体" w:eastAsia="宋体" w:cs="Arial"/>
          <w:sz w:val="24"/>
          <w:szCs w:val="24"/>
        </w:rPr>
        <w:t xml:space="preserve">超过股东会授权范围的事项，应当提交股东会审议。 </w:t>
      </w:r>
    </w:p>
    <w:p w14:paraId="005AD636">
      <w:pPr>
        <w:numPr>
          <w:ilvl w:val="0"/>
          <w:numId w:val="3"/>
        </w:numPr>
        <w:tabs>
          <w:tab w:val="left" w:pos="360"/>
        </w:tabs>
        <w:spacing w:before="156" w:beforeLines="50" w:after="156" w:afterLines="50" w:line="400" w:lineRule="exact"/>
        <w:rPr>
          <w:rFonts w:ascii="宋体" w:hAnsi="宋体" w:eastAsia="宋体" w:cs="Arial"/>
          <w:color w:val="000000"/>
          <w:sz w:val="24"/>
          <w:szCs w:val="24"/>
        </w:rPr>
      </w:pPr>
      <w:r>
        <w:rPr>
          <w:rFonts w:hint="eastAsia" w:ascii="宋体" w:hAnsi="宋体" w:eastAsia="宋体" w:cs="Arial"/>
          <w:color w:val="000000"/>
          <w:sz w:val="24"/>
          <w:szCs w:val="24"/>
        </w:rPr>
        <w:t>董事会应当确定对外投资、收购出售资产、资产抵押、对外担保事项、委托理财、关联交易、对外捐赠等权限</w:t>
      </w:r>
      <w:r>
        <w:rPr>
          <w:rFonts w:ascii="宋体" w:hAnsi="宋体" w:eastAsia="宋体" w:cs="Arial"/>
          <w:color w:val="000000"/>
          <w:sz w:val="24"/>
          <w:szCs w:val="24"/>
        </w:rPr>
        <w:t>,</w:t>
      </w:r>
      <w:r>
        <w:rPr>
          <w:rFonts w:hint="eastAsia" w:ascii="宋体" w:hAnsi="宋体" w:eastAsia="宋体" w:cs="Arial"/>
          <w:color w:val="000000"/>
          <w:sz w:val="24"/>
          <w:szCs w:val="24"/>
        </w:rPr>
        <w:t>建立严格的审查和决策程序；重大投资项目应当组织有关专家、专业人员进行评审</w:t>
      </w:r>
      <w:r>
        <w:rPr>
          <w:rFonts w:ascii="宋体" w:hAnsi="宋体" w:eastAsia="宋体" w:cs="Arial"/>
          <w:color w:val="000000"/>
          <w:sz w:val="24"/>
          <w:szCs w:val="24"/>
        </w:rPr>
        <w:t>,</w:t>
      </w:r>
      <w:r>
        <w:rPr>
          <w:rFonts w:hint="eastAsia" w:ascii="宋体" w:hAnsi="宋体" w:eastAsia="宋体" w:cs="Arial"/>
          <w:color w:val="000000"/>
          <w:sz w:val="24"/>
          <w:szCs w:val="24"/>
        </w:rPr>
        <w:t>并报股东会批准。</w:t>
      </w:r>
    </w:p>
    <w:p w14:paraId="0E14C397">
      <w:pPr>
        <w:spacing w:after="156" w:afterLines="50" w:line="440" w:lineRule="exact"/>
        <w:ind w:firstLine="480" w:firstLineChars="200"/>
        <w:rPr>
          <w:rFonts w:ascii="宋体" w:hAnsi="宋体" w:eastAsia="宋体" w:cs="Arial"/>
          <w:sz w:val="24"/>
          <w:szCs w:val="24"/>
        </w:rPr>
      </w:pPr>
      <w:r>
        <w:rPr>
          <w:rFonts w:hint="eastAsia" w:ascii="宋体" w:hAnsi="宋体" w:eastAsia="宋体" w:cs="Arial"/>
          <w:sz w:val="24"/>
          <w:szCs w:val="24"/>
        </w:rPr>
        <w:t>（一）</w:t>
      </w:r>
      <w:r>
        <w:rPr>
          <w:rFonts w:ascii="宋体" w:hAnsi="宋体" w:eastAsia="宋体" w:cs="Arial"/>
          <w:sz w:val="24"/>
          <w:szCs w:val="24"/>
        </w:rPr>
        <w:t>董事会有权批准如下交易</w:t>
      </w:r>
      <w:r>
        <w:rPr>
          <w:rFonts w:hint="eastAsia" w:ascii="宋体" w:hAnsi="宋体" w:eastAsia="宋体" w:cs="Arial"/>
          <w:sz w:val="24"/>
          <w:szCs w:val="24"/>
        </w:rPr>
        <w:t>（公司提供担保、提供财务资助除外）</w:t>
      </w:r>
      <w:r>
        <w:rPr>
          <w:rFonts w:ascii="宋体" w:hAnsi="宋体" w:eastAsia="宋体" w:cs="Arial"/>
          <w:sz w:val="24"/>
          <w:szCs w:val="24"/>
        </w:rPr>
        <w:t>：</w:t>
      </w:r>
    </w:p>
    <w:p w14:paraId="30F3F68E">
      <w:pPr>
        <w:spacing w:after="156" w:afterLines="50" w:line="440" w:lineRule="exact"/>
        <w:ind w:firstLine="480" w:firstLineChars="200"/>
        <w:rPr>
          <w:rFonts w:ascii="宋体" w:hAnsi="宋体" w:eastAsia="宋体" w:cs="Arial"/>
          <w:sz w:val="24"/>
          <w:szCs w:val="24"/>
        </w:rPr>
      </w:pPr>
      <w:r>
        <w:rPr>
          <w:rFonts w:ascii="宋体" w:hAnsi="宋体" w:eastAsia="宋体" w:cs="Arial"/>
          <w:sz w:val="24"/>
          <w:szCs w:val="24"/>
        </w:rPr>
        <w:t>1</w:t>
      </w:r>
      <w:r>
        <w:rPr>
          <w:rFonts w:hint="eastAsia" w:ascii="宋体" w:hAnsi="宋体" w:eastAsia="宋体" w:cs="Arial"/>
          <w:sz w:val="24"/>
          <w:szCs w:val="24"/>
        </w:rPr>
        <w:t>、交易涉及的资产总额占公司最近一期经审计总资产的</w:t>
      </w:r>
      <w:r>
        <w:rPr>
          <w:rFonts w:ascii="宋体" w:hAnsi="宋体" w:eastAsia="宋体" w:cs="Arial"/>
          <w:sz w:val="24"/>
          <w:szCs w:val="24"/>
        </w:rPr>
        <w:t>10%</w:t>
      </w:r>
      <w:r>
        <w:rPr>
          <w:rFonts w:hint="eastAsia" w:ascii="宋体" w:hAnsi="宋体" w:eastAsia="宋体" w:cs="Arial"/>
          <w:sz w:val="24"/>
          <w:szCs w:val="24"/>
        </w:rPr>
        <w:t>以上，但交易涉及的资产总额占公司最近一期经审计总资产的</w:t>
      </w:r>
      <w:r>
        <w:rPr>
          <w:rFonts w:ascii="宋体" w:hAnsi="宋体" w:eastAsia="宋体" w:cs="Arial"/>
          <w:sz w:val="24"/>
          <w:szCs w:val="24"/>
        </w:rPr>
        <w:t>50%</w:t>
      </w:r>
      <w:r>
        <w:rPr>
          <w:rFonts w:hint="eastAsia" w:ascii="宋体" w:hAnsi="宋体" w:eastAsia="宋体" w:cs="Arial"/>
          <w:sz w:val="24"/>
          <w:szCs w:val="24"/>
        </w:rPr>
        <w:t>以上的，还应提交股东会审议；该交易涉及的资产总额同时存在账面值和评估值的，以较高者为准；</w:t>
      </w:r>
    </w:p>
    <w:p w14:paraId="1C383924">
      <w:pPr>
        <w:spacing w:after="156" w:afterLines="50" w:line="440" w:lineRule="exact"/>
        <w:ind w:firstLine="480" w:firstLineChars="200"/>
        <w:rPr>
          <w:rFonts w:ascii="宋体" w:hAnsi="宋体" w:eastAsia="宋体" w:cs="Arial"/>
          <w:sz w:val="24"/>
          <w:szCs w:val="24"/>
        </w:rPr>
      </w:pPr>
      <w:r>
        <w:rPr>
          <w:rFonts w:ascii="宋体" w:hAnsi="宋体" w:eastAsia="宋体" w:cs="Arial"/>
          <w:sz w:val="24"/>
          <w:szCs w:val="24"/>
        </w:rPr>
        <w:t>2</w:t>
      </w:r>
      <w:r>
        <w:rPr>
          <w:rFonts w:hint="eastAsia" w:ascii="宋体" w:hAnsi="宋体" w:eastAsia="宋体" w:cs="Arial"/>
          <w:sz w:val="24"/>
          <w:szCs w:val="24"/>
        </w:rPr>
        <w:t>、交易标的（如股权）在最近一个会计年度相关的营业收入占公司最近一个会计年度经审计营业收入的</w:t>
      </w:r>
      <w:r>
        <w:rPr>
          <w:rFonts w:ascii="宋体" w:hAnsi="宋体" w:eastAsia="宋体" w:cs="Arial"/>
          <w:sz w:val="24"/>
          <w:szCs w:val="24"/>
        </w:rPr>
        <w:t>10%</w:t>
      </w:r>
      <w:r>
        <w:rPr>
          <w:rFonts w:hint="eastAsia" w:ascii="宋体" w:hAnsi="宋体" w:eastAsia="宋体" w:cs="Arial"/>
          <w:sz w:val="24"/>
          <w:szCs w:val="24"/>
        </w:rPr>
        <w:t>以上，且绝对金额超过</w:t>
      </w:r>
      <w:r>
        <w:rPr>
          <w:rFonts w:ascii="宋体" w:hAnsi="宋体" w:eastAsia="宋体" w:cs="Arial"/>
          <w:sz w:val="24"/>
          <w:szCs w:val="24"/>
        </w:rPr>
        <w:t>1000</w:t>
      </w:r>
      <w:r>
        <w:rPr>
          <w:rFonts w:hint="eastAsia" w:ascii="宋体" w:hAnsi="宋体" w:eastAsia="宋体" w:cs="Arial"/>
          <w:sz w:val="24"/>
          <w:szCs w:val="24"/>
        </w:rPr>
        <w:t>万元；但交易标的（如股权）在最近一个会计年度相关的营业收入占公司最近一个会计年度经审计营业收入的</w:t>
      </w:r>
      <w:r>
        <w:rPr>
          <w:rFonts w:ascii="宋体" w:hAnsi="宋体" w:eastAsia="宋体" w:cs="Arial"/>
          <w:sz w:val="24"/>
          <w:szCs w:val="24"/>
        </w:rPr>
        <w:t>50%</w:t>
      </w:r>
      <w:r>
        <w:rPr>
          <w:rFonts w:hint="eastAsia" w:ascii="宋体" w:hAnsi="宋体" w:eastAsia="宋体" w:cs="Arial"/>
          <w:sz w:val="24"/>
          <w:szCs w:val="24"/>
        </w:rPr>
        <w:t>以上，且绝对金额超过</w:t>
      </w:r>
      <w:r>
        <w:rPr>
          <w:rFonts w:ascii="宋体" w:hAnsi="宋体" w:eastAsia="宋体" w:cs="Arial"/>
          <w:sz w:val="24"/>
          <w:szCs w:val="24"/>
        </w:rPr>
        <w:t>5,000</w:t>
      </w:r>
      <w:r>
        <w:rPr>
          <w:rFonts w:hint="eastAsia" w:ascii="宋体" w:hAnsi="宋体" w:eastAsia="宋体" w:cs="Arial"/>
          <w:sz w:val="24"/>
          <w:szCs w:val="24"/>
        </w:rPr>
        <w:t>万元的，还应提交股东会审议；</w:t>
      </w:r>
    </w:p>
    <w:p w14:paraId="304AFA56">
      <w:pPr>
        <w:spacing w:after="156" w:afterLines="50" w:line="440" w:lineRule="exact"/>
        <w:ind w:firstLine="480" w:firstLineChars="200"/>
        <w:rPr>
          <w:rFonts w:ascii="宋体" w:hAnsi="宋体" w:eastAsia="宋体" w:cs="Arial"/>
          <w:sz w:val="24"/>
          <w:szCs w:val="24"/>
        </w:rPr>
      </w:pPr>
      <w:r>
        <w:rPr>
          <w:rFonts w:ascii="宋体" w:hAnsi="宋体" w:eastAsia="宋体" w:cs="Arial"/>
          <w:sz w:val="24"/>
          <w:szCs w:val="24"/>
        </w:rPr>
        <w:t>3</w:t>
      </w:r>
      <w:r>
        <w:rPr>
          <w:rFonts w:hint="eastAsia" w:ascii="宋体" w:hAnsi="宋体" w:eastAsia="宋体" w:cs="Arial"/>
          <w:sz w:val="24"/>
          <w:szCs w:val="24"/>
        </w:rPr>
        <w:t>、交易标的（如股权）在最近一个会计年度相关的净利润占公司最近一个会计年度经审计净利润的</w:t>
      </w:r>
      <w:r>
        <w:rPr>
          <w:rFonts w:ascii="宋体" w:hAnsi="宋体" w:eastAsia="宋体" w:cs="Arial"/>
          <w:sz w:val="24"/>
          <w:szCs w:val="24"/>
        </w:rPr>
        <w:t>10%</w:t>
      </w:r>
      <w:r>
        <w:rPr>
          <w:rFonts w:hint="eastAsia" w:ascii="宋体" w:hAnsi="宋体" w:eastAsia="宋体" w:cs="Arial"/>
          <w:sz w:val="24"/>
          <w:szCs w:val="24"/>
        </w:rPr>
        <w:t>以上，且绝对金额超过</w:t>
      </w:r>
      <w:r>
        <w:rPr>
          <w:rFonts w:ascii="宋体" w:hAnsi="宋体" w:eastAsia="宋体" w:cs="Arial"/>
          <w:sz w:val="24"/>
          <w:szCs w:val="24"/>
        </w:rPr>
        <w:t>100</w:t>
      </w:r>
      <w:r>
        <w:rPr>
          <w:rFonts w:hint="eastAsia" w:ascii="宋体" w:hAnsi="宋体" w:eastAsia="宋体" w:cs="Arial"/>
          <w:sz w:val="24"/>
          <w:szCs w:val="24"/>
        </w:rPr>
        <w:t>万元；但交易标的（如股权）在最近一个会计年度相关的净利润占公司最近一个会计年度经审计净利润的</w:t>
      </w:r>
      <w:r>
        <w:rPr>
          <w:rFonts w:ascii="宋体" w:hAnsi="宋体" w:eastAsia="宋体" w:cs="Arial"/>
          <w:sz w:val="24"/>
          <w:szCs w:val="24"/>
        </w:rPr>
        <w:t>50%</w:t>
      </w:r>
      <w:r>
        <w:rPr>
          <w:rFonts w:hint="eastAsia" w:ascii="宋体" w:hAnsi="宋体" w:eastAsia="宋体" w:cs="Arial"/>
          <w:sz w:val="24"/>
          <w:szCs w:val="24"/>
        </w:rPr>
        <w:t>以上，且绝对金额超过</w:t>
      </w:r>
      <w:r>
        <w:rPr>
          <w:rFonts w:ascii="宋体" w:hAnsi="宋体" w:eastAsia="宋体" w:cs="Arial"/>
          <w:sz w:val="24"/>
          <w:szCs w:val="24"/>
        </w:rPr>
        <w:t>500</w:t>
      </w:r>
      <w:r>
        <w:rPr>
          <w:rFonts w:hint="eastAsia" w:ascii="宋体" w:hAnsi="宋体" w:eastAsia="宋体" w:cs="Arial"/>
          <w:sz w:val="24"/>
          <w:szCs w:val="24"/>
        </w:rPr>
        <w:t>万元的，还应提交股东会审议；</w:t>
      </w:r>
    </w:p>
    <w:p w14:paraId="4CDFD2A3">
      <w:pPr>
        <w:spacing w:after="156" w:afterLines="50" w:line="440" w:lineRule="exact"/>
        <w:ind w:firstLine="480" w:firstLineChars="200"/>
        <w:rPr>
          <w:rFonts w:ascii="宋体" w:hAnsi="宋体" w:eastAsia="宋体" w:cs="Arial"/>
          <w:sz w:val="24"/>
          <w:szCs w:val="24"/>
        </w:rPr>
      </w:pPr>
      <w:r>
        <w:rPr>
          <w:rFonts w:ascii="宋体" w:hAnsi="宋体" w:eastAsia="宋体" w:cs="Arial"/>
          <w:sz w:val="24"/>
          <w:szCs w:val="24"/>
        </w:rPr>
        <w:t>4</w:t>
      </w:r>
      <w:r>
        <w:rPr>
          <w:rFonts w:hint="eastAsia" w:ascii="宋体" w:hAnsi="宋体" w:eastAsia="宋体" w:cs="Arial"/>
          <w:sz w:val="24"/>
          <w:szCs w:val="24"/>
        </w:rPr>
        <w:t>、交易的成交金额（含承担债务和费用）占公司最近一期经审计净资产的</w:t>
      </w:r>
      <w:r>
        <w:rPr>
          <w:rFonts w:ascii="宋体" w:hAnsi="宋体" w:eastAsia="宋体" w:cs="Arial"/>
          <w:sz w:val="24"/>
          <w:szCs w:val="24"/>
        </w:rPr>
        <w:t>10%</w:t>
      </w:r>
      <w:r>
        <w:rPr>
          <w:rFonts w:hint="eastAsia" w:ascii="宋体" w:hAnsi="宋体" w:eastAsia="宋体" w:cs="Arial"/>
          <w:sz w:val="24"/>
          <w:szCs w:val="24"/>
        </w:rPr>
        <w:t>以上，且绝对金额超过</w:t>
      </w:r>
      <w:r>
        <w:rPr>
          <w:rFonts w:ascii="宋体" w:hAnsi="宋体" w:eastAsia="宋体" w:cs="Arial"/>
          <w:sz w:val="24"/>
          <w:szCs w:val="24"/>
        </w:rPr>
        <w:t>1000</w:t>
      </w:r>
      <w:r>
        <w:rPr>
          <w:rFonts w:hint="eastAsia" w:ascii="宋体" w:hAnsi="宋体" w:eastAsia="宋体" w:cs="Arial"/>
          <w:sz w:val="24"/>
          <w:szCs w:val="24"/>
        </w:rPr>
        <w:t>万元；但交易的成交金额（含承担债务和费用）占公司最近一期经审计净资产的</w:t>
      </w:r>
      <w:r>
        <w:rPr>
          <w:rFonts w:ascii="宋体" w:hAnsi="宋体" w:eastAsia="宋体" w:cs="Arial"/>
          <w:sz w:val="24"/>
          <w:szCs w:val="24"/>
        </w:rPr>
        <w:t>50%</w:t>
      </w:r>
      <w:r>
        <w:rPr>
          <w:rFonts w:hint="eastAsia" w:ascii="宋体" w:hAnsi="宋体" w:eastAsia="宋体" w:cs="Arial"/>
          <w:sz w:val="24"/>
          <w:szCs w:val="24"/>
        </w:rPr>
        <w:t>以上，且绝对金额超过</w:t>
      </w:r>
      <w:r>
        <w:rPr>
          <w:rFonts w:ascii="宋体" w:hAnsi="宋体" w:eastAsia="宋体" w:cs="Arial"/>
          <w:sz w:val="24"/>
          <w:szCs w:val="24"/>
        </w:rPr>
        <w:t>5,000</w:t>
      </w:r>
      <w:r>
        <w:rPr>
          <w:rFonts w:hint="eastAsia" w:ascii="宋体" w:hAnsi="宋体" w:eastAsia="宋体" w:cs="Arial"/>
          <w:sz w:val="24"/>
          <w:szCs w:val="24"/>
        </w:rPr>
        <w:t>万元的，还应提交股东会审议；</w:t>
      </w:r>
      <w:r>
        <w:rPr>
          <w:rFonts w:ascii="宋体" w:hAnsi="宋体" w:eastAsia="宋体" w:cs="Arial"/>
          <w:sz w:val="24"/>
          <w:szCs w:val="24"/>
        </w:rPr>
        <w:t xml:space="preserve"> </w:t>
      </w:r>
    </w:p>
    <w:p w14:paraId="760CDE5C">
      <w:pPr>
        <w:spacing w:after="156" w:afterLines="50" w:line="440" w:lineRule="exact"/>
        <w:ind w:firstLine="480" w:firstLineChars="200"/>
        <w:rPr>
          <w:rFonts w:ascii="宋体" w:hAnsi="宋体" w:eastAsia="宋体" w:cs="Arial"/>
          <w:sz w:val="24"/>
          <w:szCs w:val="24"/>
        </w:rPr>
      </w:pPr>
      <w:r>
        <w:rPr>
          <w:rFonts w:ascii="宋体" w:hAnsi="宋体" w:eastAsia="宋体" w:cs="Arial"/>
          <w:sz w:val="24"/>
          <w:szCs w:val="24"/>
        </w:rPr>
        <w:t>5</w:t>
      </w:r>
      <w:r>
        <w:rPr>
          <w:rFonts w:hint="eastAsia" w:ascii="宋体" w:hAnsi="宋体" w:eastAsia="宋体" w:cs="Arial"/>
          <w:sz w:val="24"/>
          <w:szCs w:val="24"/>
        </w:rPr>
        <w:t>、交易产生的利润占公司最近一个会计年度经审计净利润的</w:t>
      </w:r>
      <w:r>
        <w:rPr>
          <w:rFonts w:ascii="宋体" w:hAnsi="宋体" w:eastAsia="宋体" w:cs="Arial"/>
          <w:sz w:val="24"/>
          <w:szCs w:val="24"/>
        </w:rPr>
        <w:t>10%</w:t>
      </w:r>
      <w:r>
        <w:rPr>
          <w:rFonts w:hint="eastAsia" w:ascii="宋体" w:hAnsi="宋体" w:eastAsia="宋体" w:cs="Arial"/>
          <w:sz w:val="24"/>
          <w:szCs w:val="24"/>
        </w:rPr>
        <w:t>以上，且绝对金额超过</w:t>
      </w:r>
      <w:r>
        <w:rPr>
          <w:rFonts w:ascii="宋体" w:hAnsi="宋体" w:eastAsia="宋体" w:cs="Arial"/>
          <w:sz w:val="24"/>
          <w:szCs w:val="24"/>
        </w:rPr>
        <w:t>100</w:t>
      </w:r>
      <w:r>
        <w:rPr>
          <w:rFonts w:hint="eastAsia" w:ascii="宋体" w:hAnsi="宋体" w:eastAsia="宋体" w:cs="Arial"/>
          <w:sz w:val="24"/>
          <w:szCs w:val="24"/>
        </w:rPr>
        <w:t>万元；但交易产生的利润占公司最近一个会计年度经审计净利润的</w:t>
      </w:r>
      <w:r>
        <w:rPr>
          <w:rFonts w:ascii="宋体" w:hAnsi="宋体" w:eastAsia="宋体" w:cs="Arial"/>
          <w:sz w:val="24"/>
          <w:szCs w:val="24"/>
        </w:rPr>
        <w:t>50%</w:t>
      </w:r>
      <w:r>
        <w:rPr>
          <w:rFonts w:hint="eastAsia" w:ascii="宋体" w:hAnsi="宋体" w:eastAsia="宋体" w:cs="Arial"/>
          <w:sz w:val="24"/>
          <w:szCs w:val="24"/>
        </w:rPr>
        <w:t>以上，且绝对金额超过</w:t>
      </w:r>
      <w:r>
        <w:rPr>
          <w:rFonts w:ascii="宋体" w:hAnsi="宋体" w:eastAsia="宋体" w:cs="Arial"/>
          <w:sz w:val="24"/>
          <w:szCs w:val="24"/>
        </w:rPr>
        <w:t>500</w:t>
      </w:r>
      <w:r>
        <w:rPr>
          <w:rFonts w:hint="eastAsia" w:ascii="宋体" w:hAnsi="宋体" w:eastAsia="宋体" w:cs="Arial"/>
          <w:sz w:val="24"/>
          <w:szCs w:val="24"/>
        </w:rPr>
        <w:t>万元的，还应提交股东会审议；</w:t>
      </w:r>
    </w:p>
    <w:p w14:paraId="2E6CD4FD">
      <w:pPr>
        <w:spacing w:after="156" w:afterLines="50" w:line="440" w:lineRule="exact"/>
        <w:ind w:firstLine="480" w:firstLineChars="200"/>
        <w:rPr>
          <w:rFonts w:hint="eastAsia" w:ascii="宋体" w:hAnsi="宋体" w:eastAsia="宋体" w:cs="Arial"/>
          <w:sz w:val="24"/>
          <w:szCs w:val="24"/>
        </w:rPr>
      </w:pPr>
      <w:r>
        <w:rPr>
          <w:rFonts w:hint="eastAsia" w:ascii="宋体" w:hAnsi="宋体" w:eastAsia="宋体" w:cs="Arial"/>
          <w:sz w:val="24"/>
          <w:szCs w:val="24"/>
        </w:rPr>
        <w:t>6、交易标的（如股权）涉及的资产净额占公司最近一期经审计净资产的10%以上，且绝对金额超过</w:t>
      </w:r>
      <w:r>
        <w:rPr>
          <w:rFonts w:ascii="宋体" w:hAnsi="宋体" w:eastAsia="宋体" w:cs="Arial"/>
          <w:sz w:val="24"/>
          <w:szCs w:val="24"/>
        </w:rPr>
        <w:t>1</w:t>
      </w:r>
      <w:r>
        <w:rPr>
          <w:rFonts w:hint="eastAsia" w:ascii="宋体" w:hAnsi="宋体" w:eastAsia="宋体" w:cs="Arial"/>
          <w:sz w:val="24"/>
          <w:szCs w:val="24"/>
        </w:rPr>
        <w:t>,000万元；但交易标的（如股权）涉及的资产净额占公司最近一期经审计净资产的50%以上，且绝对金额超过5,000万元的，还应提交股东会审议；该交易涉及的资产净额同时存在账面值和评估值的，以较高者为准。</w:t>
      </w:r>
    </w:p>
    <w:p w14:paraId="2187346D">
      <w:pPr>
        <w:spacing w:after="156" w:afterLines="50" w:line="440" w:lineRule="exact"/>
        <w:ind w:firstLine="480" w:firstLineChars="200"/>
        <w:rPr>
          <w:rFonts w:ascii="宋体" w:hAnsi="宋体" w:eastAsia="宋体" w:cs="Arial"/>
          <w:sz w:val="24"/>
          <w:szCs w:val="24"/>
        </w:rPr>
      </w:pPr>
      <w:r>
        <w:rPr>
          <w:rFonts w:hint="eastAsia" w:ascii="宋体" w:hAnsi="宋体" w:eastAsia="宋体" w:cs="Arial"/>
          <w:sz w:val="24"/>
          <w:szCs w:val="24"/>
        </w:rPr>
        <w:t>上述指标计算中涉及的数据如为负值，取其绝对值计算。</w:t>
      </w:r>
    </w:p>
    <w:p w14:paraId="5B1C99E5">
      <w:pPr>
        <w:spacing w:after="156" w:afterLines="50" w:line="440" w:lineRule="exact"/>
        <w:ind w:firstLine="480" w:firstLineChars="200"/>
        <w:rPr>
          <w:rFonts w:ascii="宋体" w:hAnsi="宋体" w:eastAsia="宋体" w:cs="Arial"/>
          <w:sz w:val="24"/>
          <w:szCs w:val="24"/>
        </w:rPr>
      </w:pPr>
      <w:r>
        <w:rPr>
          <w:rFonts w:hint="eastAsia" w:ascii="宋体" w:hAnsi="宋体" w:eastAsia="宋体" w:cs="Arial"/>
          <w:sz w:val="24"/>
          <w:szCs w:val="24"/>
        </w:rPr>
        <w:t>上述交易事项是指：购买资产；出售资产；对外投资（含委托理财、对子公司投资等）；租入或租出资产；委托或者受托管理资产和业务；赠与或受赠资产；债权或者债务重组；转让或者受让研发项目；签订许可协议、放弃权利（含放弃优先购买权、优先认缴出资权利等）以及证券交易所认定的其他交易。上述交易不含购买原材料、燃料和动力、接受劳务以及出售产品、商品、提供劳务等与公司日常经营相关的资产，但资产置换中该类交易的，仍包含在内。</w:t>
      </w:r>
    </w:p>
    <w:p w14:paraId="4619EA5D">
      <w:pPr>
        <w:spacing w:after="156" w:afterLines="50" w:line="440" w:lineRule="exact"/>
        <w:ind w:firstLine="424" w:firstLineChars="177"/>
        <w:rPr>
          <w:rFonts w:ascii="宋体" w:hAnsi="宋体" w:eastAsia="宋体" w:cs="Arial"/>
          <w:sz w:val="24"/>
          <w:szCs w:val="24"/>
        </w:rPr>
      </w:pPr>
      <w:r>
        <w:rPr>
          <w:rFonts w:hint="eastAsia" w:ascii="宋体" w:hAnsi="宋体" w:eastAsia="宋体" w:cs="Arial"/>
          <w:sz w:val="24"/>
          <w:szCs w:val="24"/>
        </w:rPr>
        <w:t>（二）公司与关联自然人发生的成交金额超过30万元的交易和公司与关联法人（或者其他组织）发生的成交金额超过300万元且占公司最近一期经审计净资产绝对值超过0.5%的交易；但公司与关联人发生的成交金额超过3,000万元，且占公司最近一期经审计净资产绝对值超过5%的交易，应提交股东会审议。</w:t>
      </w:r>
    </w:p>
    <w:p w14:paraId="1BA112B2">
      <w:pPr>
        <w:spacing w:after="156" w:afterLines="50" w:line="440" w:lineRule="exact"/>
        <w:ind w:firstLine="480" w:firstLineChars="200"/>
        <w:rPr>
          <w:rFonts w:ascii="宋体" w:hAnsi="宋体" w:eastAsia="宋体" w:cs="Arial"/>
          <w:sz w:val="24"/>
          <w:szCs w:val="24"/>
        </w:rPr>
      </w:pPr>
      <w:r>
        <w:rPr>
          <w:rFonts w:hint="eastAsia" w:ascii="宋体" w:hAnsi="宋体" w:eastAsia="宋体" w:cs="Arial"/>
          <w:sz w:val="24"/>
          <w:szCs w:val="24"/>
        </w:rPr>
        <w:t>（三）公司董事会有权决定《公司章程》第五十八条规定之外的对外担保，具体为：</w:t>
      </w:r>
    </w:p>
    <w:p w14:paraId="6772E16D">
      <w:pPr>
        <w:spacing w:after="156" w:afterLines="50" w:line="440" w:lineRule="exact"/>
        <w:ind w:firstLine="480" w:firstLineChars="200"/>
        <w:rPr>
          <w:rFonts w:ascii="宋体" w:hAnsi="宋体" w:eastAsia="宋体" w:cs="Arial"/>
          <w:sz w:val="24"/>
          <w:szCs w:val="24"/>
        </w:rPr>
      </w:pPr>
      <w:r>
        <w:rPr>
          <w:rFonts w:ascii="宋体" w:hAnsi="宋体" w:eastAsia="宋体" w:cs="Arial"/>
          <w:sz w:val="24"/>
          <w:szCs w:val="24"/>
        </w:rPr>
        <w:t>1</w:t>
      </w:r>
      <w:r>
        <w:rPr>
          <w:rFonts w:hint="eastAsia" w:ascii="宋体" w:hAnsi="宋体" w:eastAsia="宋体" w:cs="Arial"/>
          <w:sz w:val="24"/>
          <w:szCs w:val="24"/>
        </w:rPr>
        <w:t>、本公司及本公司控股子公司的对外担保总额，未超过最近一期经审计净资产的</w:t>
      </w:r>
      <w:r>
        <w:rPr>
          <w:rFonts w:ascii="宋体" w:hAnsi="宋体" w:eastAsia="宋体" w:cs="Arial"/>
          <w:sz w:val="24"/>
          <w:szCs w:val="24"/>
        </w:rPr>
        <w:t>50%</w:t>
      </w:r>
      <w:r>
        <w:rPr>
          <w:rFonts w:hint="eastAsia" w:ascii="宋体" w:hAnsi="宋体" w:eastAsia="宋体" w:cs="Arial"/>
          <w:sz w:val="24"/>
          <w:szCs w:val="24"/>
        </w:rPr>
        <w:t>的任何担保；</w:t>
      </w:r>
    </w:p>
    <w:p w14:paraId="5D521B8A">
      <w:pPr>
        <w:spacing w:after="156" w:afterLines="50" w:line="440" w:lineRule="exact"/>
        <w:ind w:firstLine="480" w:firstLineChars="200"/>
        <w:rPr>
          <w:rFonts w:ascii="宋体" w:hAnsi="宋体" w:eastAsia="宋体" w:cs="Arial"/>
          <w:sz w:val="24"/>
          <w:szCs w:val="24"/>
        </w:rPr>
      </w:pPr>
      <w:r>
        <w:rPr>
          <w:rFonts w:ascii="宋体" w:hAnsi="宋体" w:eastAsia="宋体" w:cs="Arial"/>
          <w:sz w:val="24"/>
          <w:szCs w:val="24"/>
        </w:rPr>
        <w:t>2</w:t>
      </w:r>
      <w:r>
        <w:rPr>
          <w:rFonts w:hint="eastAsia" w:ascii="宋体" w:hAnsi="宋体" w:eastAsia="宋体" w:cs="Arial"/>
          <w:sz w:val="24"/>
          <w:szCs w:val="24"/>
        </w:rPr>
        <w:t>、本公司及本公司控股子公司对外担保总额未超过最近一期经审计总资产的</w:t>
      </w:r>
      <w:r>
        <w:rPr>
          <w:rFonts w:ascii="宋体" w:hAnsi="宋体" w:eastAsia="宋体" w:cs="Arial"/>
          <w:sz w:val="24"/>
          <w:szCs w:val="24"/>
        </w:rPr>
        <w:t>30%</w:t>
      </w:r>
      <w:r>
        <w:rPr>
          <w:rFonts w:hint="eastAsia" w:ascii="宋体" w:hAnsi="宋体" w:eastAsia="宋体" w:cs="Arial"/>
          <w:sz w:val="24"/>
          <w:szCs w:val="24"/>
        </w:rPr>
        <w:t>的任何担保；</w:t>
      </w:r>
    </w:p>
    <w:p w14:paraId="41D2A2D2">
      <w:pPr>
        <w:spacing w:after="156" w:afterLines="50" w:line="440" w:lineRule="exact"/>
        <w:ind w:firstLine="480" w:firstLineChars="200"/>
        <w:rPr>
          <w:rFonts w:ascii="宋体" w:hAnsi="宋体" w:eastAsia="宋体" w:cs="Arial"/>
          <w:sz w:val="24"/>
          <w:szCs w:val="24"/>
        </w:rPr>
      </w:pPr>
      <w:r>
        <w:rPr>
          <w:rFonts w:ascii="宋体" w:hAnsi="宋体" w:eastAsia="宋体" w:cs="Arial"/>
          <w:sz w:val="24"/>
          <w:szCs w:val="24"/>
        </w:rPr>
        <w:t>3</w:t>
      </w:r>
      <w:r>
        <w:rPr>
          <w:rFonts w:hint="eastAsia" w:ascii="宋体" w:hAnsi="宋体" w:eastAsia="宋体" w:cs="Arial"/>
          <w:sz w:val="24"/>
          <w:szCs w:val="24"/>
        </w:rPr>
        <w:t>、为资产负债率未超过</w:t>
      </w:r>
      <w:r>
        <w:rPr>
          <w:rFonts w:ascii="宋体" w:hAnsi="宋体" w:eastAsia="宋体" w:cs="Arial"/>
          <w:sz w:val="24"/>
          <w:szCs w:val="24"/>
        </w:rPr>
        <w:t>70%</w:t>
      </w:r>
      <w:r>
        <w:rPr>
          <w:rFonts w:hint="eastAsia" w:ascii="宋体" w:hAnsi="宋体" w:eastAsia="宋体" w:cs="Arial"/>
          <w:sz w:val="24"/>
          <w:szCs w:val="24"/>
        </w:rPr>
        <w:t>的担保对象提供的担保；</w:t>
      </w:r>
    </w:p>
    <w:p w14:paraId="74594446">
      <w:pPr>
        <w:spacing w:after="156" w:afterLines="50" w:line="440" w:lineRule="exact"/>
        <w:ind w:firstLine="480" w:firstLineChars="200"/>
        <w:rPr>
          <w:rFonts w:ascii="宋体" w:hAnsi="宋体" w:eastAsia="宋体" w:cs="Arial"/>
          <w:sz w:val="24"/>
          <w:szCs w:val="24"/>
        </w:rPr>
      </w:pPr>
      <w:r>
        <w:rPr>
          <w:rFonts w:ascii="宋体" w:hAnsi="宋体" w:eastAsia="宋体" w:cs="Arial"/>
          <w:sz w:val="24"/>
          <w:szCs w:val="24"/>
        </w:rPr>
        <w:t>4</w:t>
      </w:r>
      <w:r>
        <w:rPr>
          <w:rFonts w:hint="eastAsia" w:ascii="宋体" w:hAnsi="宋体" w:eastAsia="宋体" w:cs="Arial"/>
          <w:sz w:val="24"/>
          <w:szCs w:val="24"/>
        </w:rPr>
        <w:t>、单笔担保额未超过最近一期经审计净资产</w:t>
      </w:r>
      <w:r>
        <w:rPr>
          <w:rFonts w:ascii="宋体" w:hAnsi="宋体" w:eastAsia="宋体" w:cs="Arial"/>
          <w:sz w:val="24"/>
          <w:szCs w:val="24"/>
        </w:rPr>
        <w:t>10%</w:t>
      </w:r>
      <w:r>
        <w:rPr>
          <w:rFonts w:hint="eastAsia" w:ascii="宋体" w:hAnsi="宋体" w:eastAsia="宋体" w:cs="Arial"/>
          <w:sz w:val="24"/>
          <w:szCs w:val="24"/>
        </w:rPr>
        <w:t>的担保；</w:t>
      </w:r>
    </w:p>
    <w:p w14:paraId="2D90F214">
      <w:pPr>
        <w:spacing w:after="156" w:afterLines="50" w:line="440" w:lineRule="exact"/>
        <w:ind w:firstLine="480" w:firstLineChars="200"/>
        <w:rPr>
          <w:rFonts w:ascii="宋体" w:hAnsi="宋体" w:eastAsia="宋体" w:cs="Arial"/>
          <w:sz w:val="24"/>
          <w:szCs w:val="24"/>
        </w:rPr>
      </w:pPr>
      <w:r>
        <w:rPr>
          <w:rFonts w:ascii="宋体" w:hAnsi="宋体" w:eastAsia="宋体" w:cs="Arial"/>
          <w:sz w:val="24"/>
          <w:szCs w:val="24"/>
        </w:rPr>
        <w:t>5</w:t>
      </w:r>
      <w:r>
        <w:rPr>
          <w:rFonts w:hint="eastAsia" w:ascii="宋体" w:hAnsi="宋体" w:eastAsia="宋体" w:cs="Arial"/>
          <w:sz w:val="24"/>
          <w:szCs w:val="24"/>
        </w:rPr>
        <w:t>、不是对股东、实际控制人及其关联方提供的担保。</w:t>
      </w:r>
    </w:p>
    <w:p w14:paraId="7D77617C">
      <w:pPr>
        <w:spacing w:after="156" w:afterLines="50" w:line="440" w:lineRule="exact"/>
        <w:ind w:firstLine="480" w:firstLineChars="200"/>
        <w:rPr>
          <w:rFonts w:ascii="宋体" w:hAnsi="宋体" w:eastAsia="宋体" w:cs="Arial"/>
          <w:sz w:val="24"/>
          <w:szCs w:val="24"/>
        </w:rPr>
      </w:pPr>
      <w:r>
        <w:rPr>
          <w:rFonts w:hint="eastAsia" w:ascii="宋体" w:hAnsi="宋体" w:eastAsia="宋体" w:cs="Arial"/>
          <w:sz w:val="24"/>
          <w:szCs w:val="24"/>
        </w:rPr>
        <w:t>董事会审议担保事项时，应经出席董事会会议的三分之二以上董事审议同意。</w:t>
      </w:r>
    </w:p>
    <w:p w14:paraId="0B581398">
      <w:pPr>
        <w:spacing w:after="156" w:afterLines="50" w:line="440" w:lineRule="exact"/>
        <w:ind w:firstLine="480" w:firstLineChars="200"/>
        <w:rPr>
          <w:rFonts w:ascii="宋体" w:hAnsi="宋体" w:eastAsia="宋体" w:cs="Arial"/>
          <w:sz w:val="24"/>
          <w:szCs w:val="24"/>
        </w:rPr>
      </w:pPr>
      <w:r>
        <w:rPr>
          <w:rFonts w:hint="eastAsia" w:ascii="宋体" w:hAnsi="宋体" w:eastAsia="宋体" w:cs="Arial"/>
          <w:sz w:val="24"/>
          <w:szCs w:val="24"/>
        </w:rPr>
        <w:t>（五）董事会可按照相关法律、法规、规章的规定制定股票期权激励计划</w:t>
      </w:r>
      <w:r>
        <w:rPr>
          <w:rFonts w:ascii="宋体" w:hAnsi="宋体" w:eastAsia="宋体" w:cs="Arial"/>
          <w:sz w:val="24"/>
          <w:szCs w:val="24"/>
        </w:rPr>
        <w:t>(</w:t>
      </w:r>
      <w:r>
        <w:rPr>
          <w:rFonts w:hint="eastAsia" w:ascii="宋体" w:hAnsi="宋体" w:eastAsia="宋体" w:cs="Arial"/>
          <w:sz w:val="24"/>
          <w:szCs w:val="24"/>
        </w:rPr>
        <w:t>草案</w:t>
      </w:r>
      <w:r>
        <w:rPr>
          <w:rFonts w:ascii="宋体" w:hAnsi="宋体" w:eastAsia="宋体" w:cs="Arial"/>
          <w:sz w:val="24"/>
          <w:szCs w:val="24"/>
        </w:rPr>
        <w:t>)</w:t>
      </w:r>
      <w:r>
        <w:rPr>
          <w:rFonts w:hint="eastAsia" w:ascii="宋体" w:hAnsi="宋体" w:eastAsia="宋体" w:cs="Arial"/>
          <w:sz w:val="24"/>
          <w:szCs w:val="24"/>
        </w:rPr>
        <w:t>，并按相关规定提交股东会审议，并根据股东会审议批准的股票期权计划，决定一次性或分次授出股票期权，但累计授出的股票期权涉及的股票总额不得超过股票期权计划所涉及的标的股票总额。</w:t>
      </w:r>
    </w:p>
    <w:p w14:paraId="2331A66C">
      <w:pPr>
        <w:spacing w:after="156" w:afterLines="50" w:line="440" w:lineRule="exact"/>
        <w:ind w:firstLine="480" w:firstLineChars="200"/>
        <w:rPr>
          <w:rFonts w:ascii="宋体" w:hAnsi="宋体" w:eastAsia="宋体" w:cs="Arial"/>
          <w:sz w:val="24"/>
          <w:szCs w:val="24"/>
        </w:rPr>
      </w:pPr>
      <w:r>
        <w:rPr>
          <w:rFonts w:hint="eastAsia" w:ascii="宋体" w:hAnsi="宋体" w:eastAsia="宋体" w:cs="Arial"/>
          <w:sz w:val="24"/>
          <w:szCs w:val="24"/>
        </w:rPr>
        <w:t>（六）抵抗自然灾害、构建和谐生态环境、救助危困群体、增加社会福利等公益性社会活动中捐赠公司自有资金或产品的行为。公司董事会有权决定自然年度内累计不超过上年税后净利润</w:t>
      </w:r>
      <w:r>
        <w:rPr>
          <w:rFonts w:ascii="宋体" w:hAnsi="宋体" w:eastAsia="宋体" w:cs="Arial"/>
          <w:sz w:val="24"/>
          <w:szCs w:val="24"/>
        </w:rPr>
        <w:t>5</w:t>
      </w:r>
      <w:r>
        <w:rPr>
          <w:rFonts w:hint="eastAsia" w:ascii="宋体" w:hAnsi="宋体" w:eastAsia="宋体" w:cs="Arial"/>
          <w:sz w:val="24"/>
          <w:szCs w:val="24"/>
        </w:rPr>
        <w:t>％（含</w:t>
      </w:r>
      <w:r>
        <w:rPr>
          <w:rFonts w:ascii="宋体" w:hAnsi="宋体" w:eastAsia="宋体" w:cs="Arial"/>
          <w:sz w:val="24"/>
          <w:szCs w:val="24"/>
        </w:rPr>
        <w:t>5</w:t>
      </w:r>
      <w:r>
        <w:rPr>
          <w:rFonts w:hint="eastAsia" w:ascii="宋体" w:hAnsi="宋体" w:eastAsia="宋体" w:cs="Arial"/>
          <w:sz w:val="24"/>
          <w:szCs w:val="24"/>
        </w:rPr>
        <w:t>％）以内的捐赠支出，并有权对单笔捐赠不超过</w:t>
      </w:r>
      <w:r>
        <w:rPr>
          <w:rFonts w:ascii="宋体" w:hAnsi="宋体" w:eastAsia="宋体" w:cs="Arial"/>
          <w:sz w:val="24"/>
          <w:szCs w:val="24"/>
        </w:rPr>
        <w:t>500</w:t>
      </w:r>
      <w:r>
        <w:rPr>
          <w:rFonts w:hint="eastAsia" w:ascii="宋体" w:hAnsi="宋体" w:eastAsia="宋体" w:cs="Arial"/>
          <w:sz w:val="24"/>
          <w:szCs w:val="24"/>
        </w:rPr>
        <w:t>万（含</w:t>
      </w:r>
      <w:r>
        <w:rPr>
          <w:rFonts w:ascii="宋体" w:hAnsi="宋体" w:eastAsia="宋体" w:cs="Arial"/>
          <w:sz w:val="24"/>
          <w:szCs w:val="24"/>
        </w:rPr>
        <w:t>500</w:t>
      </w:r>
      <w:r>
        <w:rPr>
          <w:rFonts w:hint="eastAsia" w:ascii="宋体" w:hAnsi="宋体" w:eastAsia="宋体" w:cs="Arial"/>
          <w:sz w:val="24"/>
          <w:szCs w:val="24"/>
        </w:rPr>
        <w:t>万）的支出授权公司经营层直接履行社会责任。超出上述额度捐赠部分，提交股东会审议。</w:t>
      </w:r>
    </w:p>
    <w:p w14:paraId="508D265D">
      <w:pPr>
        <w:numPr>
          <w:ilvl w:val="0"/>
          <w:numId w:val="2"/>
        </w:numPr>
        <w:spacing w:before="156" w:beforeLines="50" w:after="156" w:afterLines="50" w:line="400" w:lineRule="exact"/>
        <w:jc w:val="center"/>
        <w:outlineLvl w:val="0"/>
        <w:rPr>
          <w:rFonts w:ascii="宋体" w:hAnsi="宋体" w:eastAsia="宋体" w:cs="Arial"/>
          <w:b/>
          <w:kern w:val="0"/>
          <w:sz w:val="28"/>
          <w:szCs w:val="28"/>
        </w:rPr>
      </w:pPr>
      <w:r>
        <w:rPr>
          <w:rFonts w:hint="eastAsia" w:ascii="宋体" w:hAnsi="宋体" w:eastAsia="宋体" w:cs="Arial"/>
          <w:b/>
          <w:kern w:val="0"/>
          <w:sz w:val="28"/>
          <w:szCs w:val="28"/>
        </w:rPr>
        <w:t xml:space="preserve">  </w:t>
      </w:r>
      <w:r>
        <w:rPr>
          <w:rFonts w:ascii="宋体" w:hAnsi="宋体" w:eastAsia="宋体" w:cs="Arial"/>
          <w:b/>
          <w:kern w:val="0"/>
          <w:sz w:val="28"/>
          <w:szCs w:val="28"/>
        </w:rPr>
        <w:t>董事会会议的召集、主持及提案</w:t>
      </w:r>
      <w:bookmarkEnd w:id="13"/>
      <w:bookmarkEnd w:id="14"/>
    </w:p>
    <w:p w14:paraId="703B01CF">
      <w:pPr>
        <w:numPr>
          <w:ilvl w:val="0"/>
          <w:numId w:val="3"/>
        </w:numPr>
        <w:spacing w:before="156" w:beforeLines="50" w:after="156" w:afterLines="50" w:line="400" w:lineRule="exact"/>
        <w:ind w:firstLine="480" w:firstLineChars="200"/>
        <w:rPr>
          <w:rFonts w:ascii="宋体" w:hAnsi="宋体" w:eastAsia="宋体" w:cs="Arial"/>
          <w:color w:val="000000"/>
          <w:sz w:val="24"/>
          <w:szCs w:val="24"/>
        </w:rPr>
      </w:pPr>
      <w:r>
        <w:rPr>
          <w:rFonts w:ascii="宋体" w:hAnsi="宋体" w:eastAsia="宋体" w:cs="Arial"/>
          <w:color w:val="000000"/>
          <w:sz w:val="24"/>
          <w:szCs w:val="24"/>
        </w:rPr>
        <w:t>董事会会议分为定期会议和临时会议。</w:t>
      </w:r>
    </w:p>
    <w:p w14:paraId="4AE1DAC9">
      <w:pPr>
        <w:numPr>
          <w:ilvl w:val="0"/>
          <w:numId w:val="3"/>
        </w:numPr>
        <w:tabs>
          <w:tab w:val="left" w:pos="1260"/>
        </w:tabs>
        <w:spacing w:before="156" w:beforeLines="50" w:after="156" w:afterLines="50" w:line="400" w:lineRule="exact"/>
        <w:ind w:firstLine="480" w:firstLineChars="200"/>
        <w:rPr>
          <w:rFonts w:ascii="宋体" w:hAnsi="宋体" w:eastAsia="宋体" w:cs="Arial"/>
          <w:color w:val="000000"/>
          <w:sz w:val="24"/>
          <w:szCs w:val="24"/>
        </w:rPr>
      </w:pPr>
      <w:r>
        <w:rPr>
          <w:rFonts w:ascii="宋体" w:hAnsi="宋体" w:eastAsia="宋体" w:cs="Arial"/>
          <w:color w:val="000000"/>
          <w:kern w:val="0"/>
          <w:sz w:val="24"/>
          <w:szCs w:val="24"/>
        </w:rPr>
        <w:t>董事会会议由董事长召集和主持</w:t>
      </w:r>
      <w:r>
        <w:rPr>
          <w:rFonts w:hint="eastAsia" w:ascii="宋体" w:hAnsi="宋体" w:eastAsia="宋体" w:cs="Arial"/>
          <w:color w:val="000000"/>
          <w:kern w:val="0"/>
          <w:sz w:val="24"/>
          <w:szCs w:val="24"/>
        </w:rPr>
        <w:t>，</w:t>
      </w:r>
      <w:r>
        <w:rPr>
          <w:rFonts w:ascii="宋体" w:hAnsi="宋体" w:eastAsia="宋体" w:cs="Arial"/>
          <w:color w:val="000000"/>
          <w:sz w:val="24"/>
          <w:szCs w:val="24"/>
        </w:rPr>
        <w:t>董事长不能履行职务或不履行职务时，</w:t>
      </w:r>
      <w:r>
        <w:rPr>
          <w:rFonts w:hint="eastAsia" w:ascii="宋体" w:hAnsi="宋体" w:eastAsia="宋体" w:cs="Arial"/>
          <w:color w:val="000000"/>
          <w:sz w:val="24"/>
          <w:szCs w:val="24"/>
        </w:rPr>
        <w:t>由副董事长履行职务，副董事长不能履行职务或者不履行职务时，</w:t>
      </w:r>
      <w:r>
        <w:rPr>
          <w:rFonts w:ascii="宋体" w:hAnsi="宋体" w:eastAsia="宋体" w:cs="Arial"/>
          <w:color w:val="000000"/>
          <w:sz w:val="24"/>
          <w:szCs w:val="24"/>
        </w:rPr>
        <w:t>由</w:t>
      </w:r>
      <w:r>
        <w:rPr>
          <w:rFonts w:hint="eastAsia" w:ascii="宋体" w:hAnsi="宋体" w:eastAsia="宋体" w:cs="Arial"/>
          <w:color w:val="000000"/>
          <w:sz w:val="24"/>
          <w:szCs w:val="24"/>
        </w:rPr>
        <w:t>过</w:t>
      </w:r>
      <w:r>
        <w:rPr>
          <w:rFonts w:ascii="宋体" w:hAnsi="宋体" w:eastAsia="宋体" w:cs="Arial"/>
          <w:color w:val="000000"/>
          <w:sz w:val="24"/>
          <w:szCs w:val="24"/>
        </w:rPr>
        <w:t>半数</w:t>
      </w:r>
      <w:r>
        <w:rPr>
          <w:rFonts w:hint="eastAsia" w:ascii="宋体" w:hAnsi="宋体" w:eastAsia="宋体" w:cs="Arial"/>
          <w:color w:val="000000"/>
          <w:sz w:val="24"/>
          <w:szCs w:val="24"/>
        </w:rPr>
        <w:t>的</w:t>
      </w:r>
      <w:r>
        <w:rPr>
          <w:rFonts w:ascii="宋体" w:hAnsi="宋体" w:eastAsia="宋体" w:cs="Arial"/>
          <w:color w:val="000000"/>
          <w:sz w:val="24"/>
          <w:szCs w:val="24"/>
        </w:rPr>
        <w:t>董事共同推举一名董事</w:t>
      </w:r>
      <w:r>
        <w:rPr>
          <w:rFonts w:hint="eastAsia" w:ascii="宋体" w:hAnsi="宋体" w:eastAsia="宋体" w:cs="Arial"/>
          <w:color w:val="000000"/>
          <w:sz w:val="24"/>
          <w:szCs w:val="24"/>
        </w:rPr>
        <w:t>履行职务</w:t>
      </w:r>
      <w:r>
        <w:rPr>
          <w:rFonts w:ascii="宋体" w:hAnsi="宋体" w:eastAsia="宋体" w:cs="Arial"/>
          <w:color w:val="000000"/>
          <w:sz w:val="24"/>
          <w:szCs w:val="24"/>
        </w:rPr>
        <w:t>。</w:t>
      </w:r>
    </w:p>
    <w:p w14:paraId="503D5AAC">
      <w:pPr>
        <w:numPr>
          <w:ilvl w:val="0"/>
          <w:numId w:val="3"/>
        </w:numPr>
        <w:spacing w:before="156" w:beforeLines="50" w:after="156" w:afterLines="50" w:line="400" w:lineRule="exact"/>
        <w:ind w:firstLine="480" w:firstLineChars="200"/>
        <w:rPr>
          <w:rFonts w:ascii="宋体" w:hAnsi="宋体" w:eastAsia="宋体" w:cs="Arial"/>
          <w:color w:val="000000"/>
          <w:sz w:val="24"/>
        </w:rPr>
      </w:pPr>
      <w:r>
        <w:rPr>
          <w:rFonts w:ascii="宋体" w:hAnsi="宋体" w:eastAsia="宋体" w:cs="Arial"/>
          <w:color w:val="000000"/>
          <w:sz w:val="24"/>
        </w:rPr>
        <w:t>董事会每年应当至少在上下两个半年度各召开一次定期会议。</w:t>
      </w:r>
    </w:p>
    <w:p w14:paraId="4AF4DDF3">
      <w:pPr>
        <w:numPr>
          <w:ilvl w:val="0"/>
          <w:numId w:val="3"/>
        </w:numPr>
        <w:tabs>
          <w:tab w:val="left" w:pos="360"/>
        </w:tabs>
        <w:spacing w:before="156" w:beforeLines="50" w:line="400" w:lineRule="exact"/>
        <w:ind w:firstLine="480" w:firstLineChars="200"/>
        <w:rPr>
          <w:rFonts w:ascii="宋体" w:hAnsi="宋体" w:eastAsia="宋体" w:cs="Arial"/>
          <w:color w:val="000000"/>
          <w:sz w:val="24"/>
        </w:rPr>
      </w:pPr>
      <w:r>
        <w:rPr>
          <w:rFonts w:ascii="宋体" w:hAnsi="宋体" w:eastAsia="宋体" w:cs="Arial"/>
          <w:color w:val="000000"/>
          <w:sz w:val="24"/>
        </w:rPr>
        <w:t>下列主体有权向董事会提出提案：</w:t>
      </w:r>
    </w:p>
    <w:p w14:paraId="2A850F25">
      <w:pPr>
        <w:tabs>
          <w:tab w:val="left" w:pos="1665"/>
        </w:tabs>
        <w:spacing w:before="156" w:beforeLines="50" w:after="156" w:afterLines="50" w:line="400" w:lineRule="exact"/>
        <w:ind w:firstLine="480" w:firstLineChars="200"/>
        <w:rPr>
          <w:rFonts w:ascii="宋体" w:hAnsi="宋体" w:eastAsia="宋体" w:cs="Arial"/>
          <w:color w:val="000000"/>
          <w:sz w:val="24"/>
        </w:rPr>
      </w:pPr>
      <w:r>
        <w:rPr>
          <w:rFonts w:ascii="宋体" w:hAnsi="宋体" w:eastAsia="宋体" w:cs="Arial"/>
          <w:color w:val="000000"/>
          <w:sz w:val="24"/>
        </w:rPr>
        <w:t>（一）任何一名董事；</w:t>
      </w:r>
    </w:p>
    <w:p w14:paraId="1B3FD0F8">
      <w:pPr>
        <w:tabs>
          <w:tab w:val="left" w:pos="1666"/>
        </w:tabs>
        <w:spacing w:before="156" w:beforeLines="50" w:after="156" w:afterLines="50" w:line="400" w:lineRule="exact"/>
        <w:ind w:firstLine="480" w:firstLineChars="200"/>
        <w:rPr>
          <w:rFonts w:ascii="宋体" w:hAnsi="宋体" w:eastAsia="宋体" w:cs="Arial"/>
          <w:color w:val="000000"/>
          <w:sz w:val="24"/>
        </w:rPr>
      </w:pPr>
      <w:r>
        <w:rPr>
          <w:rFonts w:ascii="宋体" w:hAnsi="宋体" w:eastAsia="宋体" w:cs="Arial"/>
          <w:color w:val="000000"/>
          <w:sz w:val="24"/>
        </w:rPr>
        <w:t>（二）董事会专门委员会；</w:t>
      </w:r>
    </w:p>
    <w:p w14:paraId="69BC4171">
      <w:pPr>
        <w:tabs>
          <w:tab w:val="left" w:pos="1666"/>
        </w:tabs>
        <w:spacing w:before="156" w:beforeLines="50" w:after="156" w:afterLines="50" w:line="400" w:lineRule="exact"/>
        <w:ind w:firstLine="480" w:firstLineChars="200"/>
        <w:rPr>
          <w:rFonts w:ascii="宋体" w:hAnsi="宋体" w:eastAsia="宋体" w:cs="Arial"/>
          <w:color w:val="000000"/>
          <w:sz w:val="24"/>
        </w:rPr>
      </w:pPr>
      <w:r>
        <w:rPr>
          <w:rFonts w:ascii="宋体" w:hAnsi="宋体" w:eastAsia="宋体" w:cs="Arial"/>
          <w:color w:val="000000"/>
          <w:sz w:val="24"/>
        </w:rPr>
        <w:t>（</w:t>
      </w:r>
      <w:r>
        <w:rPr>
          <w:rFonts w:hint="eastAsia" w:ascii="宋体" w:hAnsi="宋体" w:eastAsia="宋体" w:cs="Arial"/>
          <w:color w:val="000000"/>
          <w:sz w:val="24"/>
        </w:rPr>
        <w:t>三</w:t>
      </w:r>
      <w:r>
        <w:rPr>
          <w:rFonts w:ascii="宋体" w:hAnsi="宋体" w:eastAsia="宋体" w:cs="Arial"/>
          <w:color w:val="000000"/>
          <w:sz w:val="24"/>
        </w:rPr>
        <w:t>）单独或合</w:t>
      </w:r>
      <w:r>
        <w:rPr>
          <w:rFonts w:hint="eastAsia" w:ascii="宋体" w:hAnsi="宋体" w:eastAsia="宋体" w:cs="Arial"/>
          <w:color w:val="000000"/>
          <w:sz w:val="24"/>
        </w:rPr>
        <w:t>计</w:t>
      </w:r>
      <w:r>
        <w:rPr>
          <w:rFonts w:ascii="宋体" w:hAnsi="宋体" w:eastAsia="宋体" w:cs="Arial"/>
          <w:color w:val="000000"/>
          <w:sz w:val="24"/>
        </w:rPr>
        <w:t>持股1%以上的股东；</w:t>
      </w:r>
    </w:p>
    <w:p w14:paraId="16F6E919">
      <w:pPr>
        <w:tabs>
          <w:tab w:val="left" w:pos="1666"/>
        </w:tabs>
        <w:spacing w:before="156" w:beforeLines="50" w:after="156" w:afterLines="50" w:line="400" w:lineRule="exact"/>
        <w:ind w:firstLine="480" w:firstLineChars="200"/>
        <w:rPr>
          <w:rFonts w:ascii="宋体" w:hAnsi="宋体" w:eastAsia="宋体" w:cs="Arial"/>
          <w:color w:val="000000"/>
          <w:sz w:val="24"/>
        </w:rPr>
      </w:pPr>
      <w:r>
        <w:rPr>
          <w:rFonts w:ascii="宋体" w:hAnsi="宋体" w:eastAsia="宋体" w:cs="Arial"/>
          <w:color w:val="000000"/>
          <w:sz w:val="24"/>
        </w:rPr>
        <w:t>（</w:t>
      </w:r>
      <w:r>
        <w:rPr>
          <w:rFonts w:hint="eastAsia" w:ascii="宋体" w:hAnsi="宋体" w:eastAsia="宋体" w:cs="Arial"/>
          <w:color w:val="000000"/>
          <w:sz w:val="24"/>
        </w:rPr>
        <w:t>四</w:t>
      </w:r>
      <w:r>
        <w:rPr>
          <w:rFonts w:ascii="宋体" w:hAnsi="宋体" w:eastAsia="宋体" w:cs="Arial"/>
          <w:color w:val="000000"/>
          <w:sz w:val="24"/>
        </w:rPr>
        <w:t>）总裁、副总裁、财务总监、董事会秘书。</w:t>
      </w:r>
    </w:p>
    <w:p w14:paraId="73802198">
      <w:pPr>
        <w:tabs>
          <w:tab w:val="left" w:pos="1694"/>
        </w:tabs>
        <w:spacing w:after="156" w:afterLines="50" w:line="440" w:lineRule="exact"/>
        <w:ind w:firstLine="480" w:firstLineChars="200"/>
        <w:jc w:val="left"/>
        <w:rPr>
          <w:rFonts w:ascii="宋体" w:hAnsi="宋体" w:eastAsia="宋体" w:cs="Arial"/>
          <w:sz w:val="24"/>
          <w:szCs w:val="24"/>
        </w:rPr>
      </w:pPr>
      <w:r>
        <w:rPr>
          <w:rFonts w:ascii="宋体" w:hAnsi="宋体" w:eastAsia="宋体" w:cs="Arial"/>
          <w:sz w:val="24"/>
          <w:szCs w:val="24"/>
        </w:rPr>
        <w:t>上述第（二）、（</w:t>
      </w:r>
      <w:r>
        <w:rPr>
          <w:rFonts w:hint="eastAsia" w:ascii="宋体" w:hAnsi="宋体" w:eastAsia="宋体" w:cs="Arial"/>
          <w:sz w:val="24"/>
          <w:szCs w:val="24"/>
        </w:rPr>
        <w:t>四</w:t>
      </w:r>
      <w:r>
        <w:rPr>
          <w:rFonts w:ascii="宋体" w:hAnsi="宋体" w:eastAsia="宋体" w:cs="Arial"/>
          <w:sz w:val="24"/>
          <w:szCs w:val="24"/>
        </w:rPr>
        <w:t>）项主体所提的提案应限于其职责所及范围内的事项。</w:t>
      </w:r>
    </w:p>
    <w:p w14:paraId="5D4BEBD4">
      <w:pPr>
        <w:numPr>
          <w:ilvl w:val="0"/>
          <w:numId w:val="3"/>
        </w:numPr>
        <w:spacing w:before="156" w:beforeLines="50" w:after="156" w:afterLines="50" w:line="400" w:lineRule="exact"/>
        <w:ind w:firstLine="480" w:firstLineChars="200"/>
        <w:rPr>
          <w:rFonts w:ascii="宋体" w:hAnsi="宋体" w:eastAsia="宋体" w:cs="Arial"/>
          <w:color w:val="000000"/>
          <w:sz w:val="24"/>
        </w:rPr>
      </w:pPr>
      <w:r>
        <w:rPr>
          <w:rFonts w:ascii="宋体" w:hAnsi="宋体" w:eastAsia="宋体" w:cs="Arial"/>
          <w:color w:val="000000"/>
          <w:sz w:val="24"/>
        </w:rPr>
        <w:t>在发出召开董事会定期会议的通知前，</w:t>
      </w:r>
      <w:r>
        <w:rPr>
          <w:rFonts w:ascii="宋体" w:hAnsi="宋体" w:eastAsia="宋体" w:cs="Arial"/>
          <w:kern w:val="0"/>
          <w:sz w:val="24"/>
        </w:rPr>
        <w:t>董事会秘书应当先行通知各董事、董事会专门委员会、高级管理人员，上述被通知的主体应将拟提交董事会审议的事项以提案的方式提交董事会秘书。</w:t>
      </w:r>
    </w:p>
    <w:p w14:paraId="5F5132F4">
      <w:pPr>
        <w:spacing w:before="156" w:beforeLines="50" w:after="156" w:afterLines="50" w:line="400" w:lineRule="exact"/>
        <w:ind w:firstLine="480" w:firstLineChars="200"/>
        <w:rPr>
          <w:rFonts w:ascii="宋体" w:hAnsi="宋体" w:eastAsia="宋体" w:cs="Arial"/>
          <w:color w:val="000000"/>
          <w:sz w:val="24"/>
        </w:rPr>
      </w:pPr>
      <w:r>
        <w:rPr>
          <w:rFonts w:ascii="宋体" w:hAnsi="宋体" w:eastAsia="宋体" w:cs="Arial"/>
          <w:color w:val="000000"/>
          <w:sz w:val="24"/>
        </w:rPr>
        <w:t>提案应当具备本规则</w:t>
      </w:r>
      <w:r>
        <w:rPr>
          <w:rFonts w:hint="eastAsia" w:ascii="宋体" w:hAnsi="宋体" w:eastAsia="宋体" w:cs="Arial"/>
          <w:color w:val="000000"/>
          <w:sz w:val="24"/>
        </w:rPr>
        <w:t>规定的</w:t>
      </w:r>
      <w:r>
        <w:rPr>
          <w:rFonts w:ascii="宋体" w:hAnsi="宋体" w:eastAsia="宋体" w:cs="Arial"/>
          <w:color w:val="000000"/>
          <w:sz w:val="24"/>
        </w:rPr>
        <w:t>内容，且提案内容应当属于《公司章程》规定的董事会职权范围内的事项，与提案有关的材料应当一并提交。</w:t>
      </w:r>
    </w:p>
    <w:p w14:paraId="4720B336">
      <w:pPr>
        <w:spacing w:before="156" w:beforeLines="50" w:after="156" w:afterLines="50" w:line="400" w:lineRule="exact"/>
        <w:ind w:firstLine="480" w:firstLineChars="200"/>
        <w:rPr>
          <w:rFonts w:ascii="宋体" w:hAnsi="宋体" w:eastAsia="宋体" w:cs="Arial"/>
          <w:color w:val="000000"/>
          <w:sz w:val="24"/>
        </w:rPr>
      </w:pPr>
      <w:r>
        <w:rPr>
          <w:rFonts w:ascii="宋体" w:hAnsi="宋体" w:eastAsia="宋体" w:cs="Arial"/>
          <w:color w:val="000000"/>
          <w:sz w:val="24"/>
        </w:rPr>
        <w:t>董事会秘书在收到上述书面提议和有关材料后，应当于当日转交董事长。董事长认为提案内容不明确、具体或者有关材料不充分的，可以要求提议人修改或者补充。</w:t>
      </w:r>
    </w:p>
    <w:p w14:paraId="1B8E42F1">
      <w:pPr>
        <w:numPr>
          <w:ilvl w:val="0"/>
          <w:numId w:val="3"/>
        </w:numPr>
        <w:spacing w:before="156" w:beforeLines="50" w:after="156" w:afterLines="50" w:line="400" w:lineRule="exact"/>
        <w:ind w:firstLine="480" w:firstLineChars="200"/>
        <w:rPr>
          <w:rFonts w:ascii="宋体" w:hAnsi="宋体" w:eastAsia="宋体" w:cs="Arial"/>
          <w:color w:val="000000"/>
          <w:sz w:val="24"/>
          <w:szCs w:val="24"/>
        </w:rPr>
      </w:pPr>
      <w:r>
        <w:rPr>
          <w:rFonts w:ascii="宋体" w:hAnsi="宋体" w:eastAsia="宋体" w:cs="Arial"/>
          <w:color w:val="000000"/>
          <w:sz w:val="24"/>
          <w:szCs w:val="24"/>
        </w:rPr>
        <w:t>有下列情形之一的，董事会应当召开临时会议：</w:t>
      </w:r>
    </w:p>
    <w:p w14:paraId="04210E6E">
      <w:pPr>
        <w:spacing w:before="156" w:beforeLines="50" w:after="156" w:afterLines="50" w:line="400" w:lineRule="exact"/>
        <w:ind w:firstLine="480" w:firstLineChars="200"/>
        <w:rPr>
          <w:rFonts w:ascii="宋体" w:hAnsi="宋体" w:eastAsia="宋体" w:cs="Arial"/>
          <w:color w:val="000000"/>
          <w:sz w:val="24"/>
        </w:rPr>
      </w:pPr>
      <w:r>
        <w:rPr>
          <w:rFonts w:hint="eastAsia" w:ascii="宋体" w:hAnsi="宋体" w:eastAsia="宋体" w:cs="Arial"/>
          <w:color w:val="000000"/>
          <w:sz w:val="24"/>
          <w:szCs w:val="24"/>
        </w:rPr>
        <w:t>（</w:t>
      </w:r>
      <w:r>
        <w:rPr>
          <w:rFonts w:hint="eastAsia" w:ascii="宋体" w:hAnsi="宋体" w:eastAsia="宋体" w:cs="Arial"/>
          <w:color w:val="000000"/>
          <w:sz w:val="24"/>
        </w:rPr>
        <w:t>一）</w:t>
      </w:r>
      <w:r>
        <w:rPr>
          <w:rFonts w:ascii="宋体" w:hAnsi="宋体" w:eastAsia="宋体" w:cs="Arial"/>
          <w:color w:val="000000"/>
          <w:sz w:val="24"/>
        </w:rPr>
        <w:t>代表1/10以上表决权的股东提议时；</w:t>
      </w:r>
    </w:p>
    <w:p w14:paraId="24AB95E4">
      <w:pPr>
        <w:spacing w:before="156" w:beforeLines="50" w:after="156" w:afterLines="50" w:line="400" w:lineRule="exact"/>
        <w:ind w:firstLine="480" w:firstLineChars="200"/>
        <w:rPr>
          <w:rFonts w:hint="eastAsia" w:ascii="宋体" w:hAnsi="宋体" w:eastAsia="宋体" w:cs="Arial"/>
          <w:color w:val="000000"/>
          <w:sz w:val="24"/>
        </w:rPr>
      </w:pPr>
      <w:r>
        <w:rPr>
          <w:rFonts w:hint="eastAsia" w:ascii="宋体" w:hAnsi="宋体" w:eastAsia="宋体" w:cs="Arial"/>
          <w:color w:val="000000"/>
          <w:sz w:val="24"/>
        </w:rPr>
        <w:t>（二）</w:t>
      </w:r>
      <w:r>
        <w:rPr>
          <w:rFonts w:ascii="宋体" w:hAnsi="宋体" w:eastAsia="宋体" w:cs="Arial"/>
          <w:color w:val="000000"/>
          <w:sz w:val="24"/>
        </w:rPr>
        <w:t>1/3以上董事提议时；</w:t>
      </w:r>
    </w:p>
    <w:p w14:paraId="1B774264">
      <w:pPr>
        <w:spacing w:before="156" w:beforeLines="50" w:after="156" w:afterLines="50" w:line="400" w:lineRule="exact"/>
        <w:ind w:firstLine="480" w:firstLineChars="200"/>
        <w:rPr>
          <w:rFonts w:ascii="宋体" w:hAnsi="宋体" w:eastAsia="宋体" w:cs="Arial"/>
          <w:color w:val="000000"/>
          <w:sz w:val="24"/>
        </w:rPr>
      </w:pPr>
      <w:r>
        <w:rPr>
          <w:rFonts w:hint="eastAsia" w:ascii="宋体" w:hAnsi="宋体" w:eastAsia="宋体" w:cs="Arial"/>
          <w:color w:val="000000"/>
          <w:sz w:val="24"/>
        </w:rPr>
        <w:t>（三）</w:t>
      </w:r>
      <w:r>
        <w:rPr>
          <w:rFonts w:hint="eastAsia" w:ascii="宋体" w:hAnsi="宋体" w:eastAsia="宋体" w:cs="Arial"/>
          <w:sz w:val="24"/>
        </w:rPr>
        <w:t>过半数独立董事提议时；</w:t>
      </w:r>
    </w:p>
    <w:p w14:paraId="2ED2B923">
      <w:pPr>
        <w:spacing w:before="156" w:beforeLines="50" w:after="156" w:afterLines="50" w:line="400" w:lineRule="exact"/>
        <w:ind w:firstLine="480" w:firstLineChars="200"/>
        <w:rPr>
          <w:rFonts w:ascii="宋体" w:hAnsi="宋体" w:eastAsia="宋体" w:cs="Arial"/>
          <w:color w:val="000000"/>
          <w:sz w:val="24"/>
        </w:rPr>
      </w:pPr>
      <w:r>
        <w:rPr>
          <w:rFonts w:hint="eastAsia" w:ascii="宋体" w:hAnsi="宋体" w:eastAsia="宋体" w:cs="Arial"/>
          <w:color w:val="000000"/>
          <w:sz w:val="24"/>
        </w:rPr>
        <w:t>（四）审计委员会</w:t>
      </w:r>
      <w:r>
        <w:rPr>
          <w:rFonts w:ascii="宋体" w:hAnsi="宋体" w:eastAsia="宋体" w:cs="Arial"/>
          <w:color w:val="000000"/>
          <w:sz w:val="24"/>
        </w:rPr>
        <w:t>提议时；</w:t>
      </w:r>
    </w:p>
    <w:p w14:paraId="585BEC09">
      <w:pPr>
        <w:spacing w:before="156" w:beforeLines="50" w:after="156" w:afterLines="50" w:line="400" w:lineRule="exact"/>
        <w:ind w:firstLine="480" w:firstLineChars="200"/>
        <w:rPr>
          <w:rFonts w:ascii="宋体" w:hAnsi="宋体" w:eastAsia="宋体" w:cs="Arial"/>
          <w:color w:val="000000"/>
          <w:sz w:val="24"/>
        </w:rPr>
      </w:pPr>
      <w:r>
        <w:rPr>
          <w:rFonts w:hint="eastAsia" w:ascii="宋体" w:hAnsi="宋体" w:eastAsia="宋体" w:cs="Arial"/>
          <w:color w:val="000000"/>
          <w:sz w:val="24"/>
        </w:rPr>
        <w:t>（五）</w:t>
      </w:r>
      <w:r>
        <w:rPr>
          <w:rFonts w:ascii="宋体" w:hAnsi="宋体" w:eastAsia="宋体" w:cs="Arial"/>
          <w:color w:val="000000"/>
          <w:sz w:val="24"/>
        </w:rPr>
        <w:t>《公司章程》规定的其他情形。</w:t>
      </w:r>
    </w:p>
    <w:p w14:paraId="49D3051E">
      <w:pPr>
        <w:numPr>
          <w:ilvl w:val="0"/>
          <w:numId w:val="3"/>
        </w:numPr>
        <w:spacing w:before="156" w:beforeLines="50" w:after="156" w:afterLines="50" w:line="400" w:lineRule="exact"/>
        <w:ind w:firstLine="480" w:firstLineChars="200"/>
        <w:rPr>
          <w:rFonts w:ascii="宋体" w:hAnsi="宋体" w:eastAsia="宋体" w:cs="Arial"/>
          <w:color w:val="000000"/>
          <w:sz w:val="24"/>
        </w:rPr>
      </w:pPr>
      <w:r>
        <w:rPr>
          <w:rFonts w:ascii="宋体" w:hAnsi="宋体" w:eastAsia="宋体" w:cs="Arial"/>
          <w:color w:val="000000"/>
          <w:sz w:val="24"/>
        </w:rPr>
        <w:t>按照前条规定提议召开董事会临时会议的，应向董事长提交经提议人签字（盖章）的书面提议。书面提议中应当载明下列事项：</w:t>
      </w:r>
    </w:p>
    <w:p w14:paraId="33F54ECC">
      <w:pPr>
        <w:spacing w:before="156" w:beforeLines="50" w:after="156" w:afterLines="50" w:line="400" w:lineRule="exact"/>
        <w:ind w:firstLine="480" w:firstLineChars="200"/>
        <w:rPr>
          <w:rFonts w:ascii="宋体" w:hAnsi="宋体" w:eastAsia="宋体" w:cs="Arial"/>
          <w:color w:val="000000"/>
          <w:sz w:val="24"/>
        </w:rPr>
      </w:pPr>
      <w:r>
        <w:rPr>
          <w:rFonts w:ascii="宋体" w:hAnsi="宋体" w:eastAsia="宋体" w:cs="Arial"/>
          <w:color w:val="000000"/>
          <w:sz w:val="24"/>
        </w:rPr>
        <w:t>（一）提议人的姓名或者名称；</w:t>
      </w:r>
    </w:p>
    <w:p w14:paraId="110CD4D4">
      <w:pPr>
        <w:spacing w:before="156" w:beforeLines="50" w:after="156" w:afterLines="50" w:line="400" w:lineRule="exact"/>
        <w:ind w:firstLine="480" w:firstLineChars="200"/>
        <w:rPr>
          <w:rFonts w:ascii="宋体" w:hAnsi="宋体" w:eastAsia="宋体" w:cs="Arial"/>
          <w:color w:val="000000"/>
          <w:sz w:val="24"/>
        </w:rPr>
      </w:pPr>
      <w:r>
        <w:rPr>
          <w:rFonts w:ascii="宋体" w:hAnsi="宋体" w:eastAsia="宋体" w:cs="Arial"/>
          <w:color w:val="000000"/>
          <w:sz w:val="24"/>
        </w:rPr>
        <w:t>（二）提议理由或者提议所基于的客观事由；</w:t>
      </w:r>
    </w:p>
    <w:p w14:paraId="4E7CCA6A">
      <w:pPr>
        <w:spacing w:before="156" w:beforeLines="50" w:after="156" w:afterLines="50" w:line="400" w:lineRule="exact"/>
        <w:ind w:firstLine="480" w:firstLineChars="200"/>
        <w:rPr>
          <w:rFonts w:ascii="宋体" w:hAnsi="宋体" w:eastAsia="宋体" w:cs="Arial"/>
          <w:color w:val="000000"/>
          <w:sz w:val="24"/>
        </w:rPr>
      </w:pPr>
      <w:r>
        <w:rPr>
          <w:rFonts w:ascii="宋体" w:hAnsi="宋体" w:eastAsia="宋体" w:cs="Arial"/>
          <w:color w:val="000000"/>
          <w:sz w:val="24"/>
        </w:rPr>
        <w:t>（三）提议会议召开的时间或者时限、地点和方式；</w:t>
      </w:r>
    </w:p>
    <w:p w14:paraId="54692FBC">
      <w:pPr>
        <w:spacing w:before="156" w:beforeLines="50" w:after="156" w:afterLines="50" w:line="400" w:lineRule="exact"/>
        <w:ind w:firstLine="480" w:firstLineChars="200"/>
        <w:rPr>
          <w:rFonts w:ascii="宋体" w:hAnsi="宋体" w:eastAsia="宋体" w:cs="Arial"/>
          <w:color w:val="000000"/>
          <w:sz w:val="24"/>
        </w:rPr>
      </w:pPr>
      <w:r>
        <w:rPr>
          <w:rFonts w:ascii="宋体" w:hAnsi="宋体" w:eastAsia="宋体" w:cs="Arial"/>
          <w:color w:val="000000"/>
          <w:sz w:val="24"/>
        </w:rPr>
        <w:t>（四）明确和具体的提案；</w:t>
      </w:r>
    </w:p>
    <w:p w14:paraId="7C4BD6CB">
      <w:pPr>
        <w:spacing w:before="156" w:beforeLines="50" w:after="156" w:afterLines="50" w:line="400" w:lineRule="exact"/>
        <w:ind w:firstLine="480" w:firstLineChars="200"/>
        <w:rPr>
          <w:rFonts w:ascii="宋体" w:hAnsi="宋体" w:eastAsia="宋体" w:cs="Arial"/>
          <w:color w:val="000000"/>
          <w:sz w:val="24"/>
        </w:rPr>
      </w:pPr>
      <w:r>
        <w:rPr>
          <w:rFonts w:ascii="宋体" w:hAnsi="宋体" w:eastAsia="宋体" w:cs="Arial"/>
          <w:color w:val="000000"/>
          <w:sz w:val="24"/>
        </w:rPr>
        <w:t>（五）提议人的联系方式和提议日期等。</w:t>
      </w:r>
    </w:p>
    <w:p w14:paraId="0941D93F">
      <w:pPr>
        <w:tabs>
          <w:tab w:val="left" w:pos="540"/>
        </w:tabs>
        <w:spacing w:before="156" w:beforeLines="50" w:after="156" w:afterLines="50" w:line="400" w:lineRule="exact"/>
        <w:ind w:firstLine="480" w:firstLineChars="200"/>
        <w:rPr>
          <w:rFonts w:ascii="宋体" w:hAnsi="宋体" w:eastAsia="宋体" w:cs="Arial"/>
          <w:color w:val="000000"/>
          <w:sz w:val="24"/>
        </w:rPr>
      </w:pPr>
      <w:r>
        <w:rPr>
          <w:rFonts w:ascii="宋体" w:hAnsi="宋体" w:eastAsia="宋体" w:cs="Arial"/>
          <w:color w:val="000000"/>
          <w:sz w:val="24"/>
        </w:rPr>
        <w:tab/>
      </w:r>
      <w:r>
        <w:rPr>
          <w:rFonts w:ascii="宋体" w:hAnsi="宋体" w:eastAsia="宋体" w:cs="Arial"/>
          <w:color w:val="000000"/>
          <w:sz w:val="24"/>
        </w:rPr>
        <w:t>提案内容应当属于《公司章程》规定的董事会职权范围内的事项，与提案有关的材料应当一并提交。</w:t>
      </w:r>
    </w:p>
    <w:p w14:paraId="68DD7BF0">
      <w:pPr>
        <w:numPr>
          <w:ilvl w:val="0"/>
          <w:numId w:val="3"/>
        </w:numPr>
        <w:spacing w:before="156" w:beforeLines="50" w:after="156" w:afterLines="50" w:line="400" w:lineRule="exact"/>
        <w:ind w:firstLine="480" w:firstLineChars="200"/>
        <w:rPr>
          <w:rFonts w:hint="eastAsia" w:ascii="宋体" w:hAnsi="宋体" w:eastAsia="宋体" w:cs="Arial"/>
          <w:color w:val="000000"/>
          <w:sz w:val="24"/>
        </w:rPr>
      </w:pPr>
      <w:r>
        <w:rPr>
          <w:rFonts w:ascii="宋体" w:hAnsi="宋体" w:eastAsia="宋体" w:cs="Arial"/>
          <w:color w:val="000000"/>
          <w:sz w:val="24"/>
        </w:rPr>
        <w:t>董事长应当自接到提议后10日内，召开董事会会议并主持会议。</w:t>
      </w:r>
    </w:p>
    <w:p w14:paraId="0FBE628E">
      <w:pPr>
        <w:numPr>
          <w:ilvl w:val="0"/>
          <w:numId w:val="3"/>
        </w:numPr>
        <w:adjustRightInd/>
        <w:spacing w:before="156" w:beforeLines="50" w:after="156" w:afterLines="50" w:line="400" w:lineRule="exact"/>
        <w:ind w:firstLine="480" w:firstLineChars="200"/>
        <w:textAlignment w:val="auto"/>
        <w:rPr>
          <w:rFonts w:hint="eastAsia" w:ascii="宋体" w:hAnsi="宋体" w:eastAsia="宋体" w:cs="Arial"/>
          <w:color w:val="000000"/>
          <w:sz w:val="24"/>
        </w:rPr>
      </w:pPr>
      <w:r>
        <w:rPr>
          <w:rFonts w:hint="eastAsia" w:ascii="宋体" w:hAnsi="宋体" w:eastAsia="宋体" w:cs="Arial"/>
          <w:color w:val="000000"/>
          <w:sz w:val="24"/>
        </w:rPr>
        <w:t>除提议召开临时董事会时提出的提案外，其他向董事会提出的各项议案应在董事会召开前3日送交董事会秘书，由董事长决定是否列入董事会审议议案。如依上述规定向董事会提交提案且董事长决定列入审议事项时，董事会的会议通知已经发出，则董事会秘书需按照本规则的相关规定发出变更通知；如董事长未将提案人提交的议案列入董事会审议议案，董事长应向提案人说明理由，提案人不同意的，应由董事会以全体董事过半数表决通过方式决定是否列入审议议案。</w:t>
      </w:r>
    </w:p>
    <w:p w14:paraId="56CE453D">
      <w:pPr>
        <w:numPr>
          <w:ilvl w:val="0"/>
          <w:numId w:val="3"/>
        </w:numPr>
        <w:adjustRightInd/>
        <w:spacing w:before="156" w:beforeLines="50" w:after="156" w:afterLines="50" w:line="400" w:lineRule="exact"/>
        <w:ind w:firstLine="480" w:firstLineChars="200"/>
        <w:textAlignment w:val="auto"/>
        <w:rPr>
          <w:rFonts w:hint="eastAsia" w:ascii="宋体" w:hAnsi="宋体" w:eastAsia="宋体" w:cs="Arial"/>
          <w:color w:val="000000"/>
          <w:sz w:val="24"/>
        </w:rPr>
      </w:pPr>
      <w:r>
        <w:rPr>
          <w:rFonts w:hint="eastAsia" w:ascii="宋体" w:hAnsi="宋体" w:eastAsia="宋体" w:cs="Arial"/>
          <w:color w:val="000000"/>
          <w:sz w:val="24"/>
        </w:rPr>
        <w:t>公司需经董事会审议的生产经营事项以下列方式提交董事会审议：</w:t>
      </w:r>
    </w:p>
    <w:p w14:paraId="1FE67659">
      <w:pPr>
        <w:tabs>
          <w:tab w:val="left" w:pos="540"/>
        </w:tabs>
        <w:spacing w:before="156" w:beforeLines="50" w:after="156" w:afterLines="50" w:line="400" w:lineRule="exact"/>
        <w:ind w:firstLine="480" w:firstLineChars="200"/>
        <w:rPr>
          <w:rFonts w:hint="eastAsia" w:ascii="宋体" w:hAnsi="宋体" w:eastAsia="宋体" w:cs="Arial"/>
          <w:color w:val="000000"/>
          <w:sz w:val="24"/>
        </w:rPr>
      </w:pPr>
      <w:r>
        <w:rPr>
          <w:rFonts w:hint="eastAsia" w:ascii="宋体" w:hAnsi="宋体" w:eastAsia="宋体" w:cs="Arial"/>
          <w:color w:val="000000"/>
          <w:sz w:val="24"/>
        </w:rPr>
        <w:t>（一）公司年度发展计划、生产经营计划由总裁负责组织拟订后并由董事长向董事会提出。</w:t>
      </w:r>
    </w:p>
    <w:p w14:paraId="342F9E31">
      <w:pPr>
        <w:tabs>
          <w:tab w:val="left" w:pos="540"/>
        </w:tabs>
        <w:spacing w:before="156" w:beforeLines="50" w:after="156" w:afterLines="50" w:line="400" w:lineRule="exact"/>
        <w:ind w:firstLine="480" w:firstLineChars="200"/>
        <w:rPr>
          <w:rFonts w:hint="eastAsia" w:ascii="宋体" w:hAnsi="宋体" w:eastAsia="宋体" w:cs="Arial"/>
          <w:color w:val="000000"/>
          <w:sz w:val="24"/>
        </w:rPr>
      </w:pPr>
      <w:r>
        <w:rPr>
          <w:rFonts w:hint="eastAsia" w:ascii="宋体" w:hAnsi="宋体" w:eastAsia="宋体" w:cs="Arial"/>
          <w:color w:val="000000"/>
          <w:sz w:val="24"/>
        </w:rPr>
        <w:t>（二）有关公司利润分配和弥补亏损方案由财务总监会同董事会秘书共同拟订并由董事长向董事会提出。</w:t>
      </w:r>
    </w:p>
    <w:p w14:paraId="78795200">
      <w:pPr>
        <w:tabs>
          <w:tab w:val="left" w:pos="540"/>
        </w:tabs>
        <w:spacing w:before="156" w:beforeLines="50" w:after="156" w:afterLines="50" w:line="400" w:lineRule="exact"/>
        <w:ind w:firstLine="480" w:firstLineChars="200"/>
        <w:rPr>
          <w:rFonts w:hint="eastAsia" w:ascii="宋体" w:hAnsi="宋体" w:eastAsia="宋体" w:cs="Arial"/>
          <w:color w:val="000000"/>
          <w:sz w:val="24"/>
        </w:rPr>
      </w:pPr>
      <w:r>
        <w:rPr>
          <w:rFonts w:hint="eastAsia" w:ascii="宋体" w:hAnsi="宋体" w:eastAsia="宋体" w:cs="Arial"/>
          <w:color w:val="000000"/>
          <w:sz w:val="24"/>
        </w:rPr>
        <w:t>（三）有关公司的重大担保、贷款的方案的议案，应包括担保或贷款金额、被担保方的基本情况及财务状况、贷款的用途、担保期限、担保方式、贷款期限、对公司财务结构的影响等。</w:t>
      </w:r>
    </w:p>
    <w:p w14:paraId="31AB6F28">
      <w:pPr>
        <w:numPr>
          <w:ilvl w:val="0"/>
          <w:numId w:val="3"/>
        </w:numPr>
        <w:adjustRightInd/>
        <w:spacing w:before="156" w:beforeLines="50" w:after="156" w:afterLines="50" w:line="400" w:lineRule="exact"/>
        <w:ind w:firstLine="480" w:firstLineChars="200"/>
        <w:textAlignment w:val="auto"/>
        <w:rPr>
          <w:rFonts w:hint="eastAsia" w:ascii="宋体" w:hAnsi="宋体" w:eastAsia="宋体" w:cs="Arial"/>
          <w:color w:val="000000"/>
          <w:sz w:val="24"/>
        </w:rPr>
      </w:pPr>
      <w:r>
        <w:rPr>
          <w:rFonts w:hint="eastAsia" w:ascii="宋体" w:hAnsi="宋体" w:eastAsia="宋体" w:cs="Arial"/>
          <w:color w:val="000000"/>
          <w:sz w:val="24"/>
        </w:rPr>
        <w:t>需董事会审议决定的有关公司管理人员任免的议案，由董事长、总裁根据其权限向董事会提出。</w:t>
      </w:r>
    </w:p>
    <w:p w14:paraId="22255FCE">
      <w:pPr>
        <w:numPr>
          <w:ilvl w:val="0"/>
          <w:numId w:val="3"/>
        </w:numPr>
        <w:adjustRightInd/>
        <w:spacing w:before="156" w:beforeLines="50" w:after="156" w:afterLines="50" w:line="400" w:lineRule="exact"/>
        <w:textAlignment w:val="auto"/>
        <w:rPr>
          <w:rFonts w:hint="eastAsia" w:ascii="宋体" w:hAnsi="宋体" w:eastAsia="宋体" w:cs="Arial"/>
          <w:color w:val="000000"/>
          <w:sz w:val="24"/>
        </w:rPr>
      </w:pPr>
      <w:r>
        <w:rPr>
          <w:rFonts w:ascii="宋体" w:hAnsi="宋体" w:eastAsia="宋体" w:cs="Arial"/>
          <w:color w:val="000000"/>
          <w:sz w:val="24"/>
        </w:rPr>
        <w:t>有关公司内部机构设置、基本管理制度的议案，由总裁负责拟订并向董事会提出。</w:t>
      </w:r>
    </w:p>
    <w:p w14:paraId="0D332544">
      <w:pPr>
        <w:numPr>
          <w:ilvl w:val="0"/>
          <w:numId w:val="2"/>
        </w:numPr>
        <w:spacing w:before="156" w:beforeLines="50" w:after="156" w:afterLines="50" w:line="400" w:lineRule="exact"/>
        <w:jc w:val="center"/>
        <w:outlineLvl w:val="0"/>
        <w:rPr>
          <w:rFonts w:ascii="宋体" w:hAnsi="宋体" w:eastAsia="宋体" w:cs="Arial"/>
          <w:b/>
          <w:kern w:val="0"/>
          <w:sz w:val="28"/>
          <w:szCs w:val="28"/>
        </w:rPr>
      </w:pPr>
      <w:bookmarkStart w:id="15" w:name="_Toc293244260"/>
      <w:r>
        <w:rPr>
          <w:rFonts w:hint="eastAsia" w:ascii="宋体" w:hAnsi="宋体" w:eastAsia="宋体" w:cs="Arial"/>
          <w:b/>
          <w:kern w:val="0"/>
          <w:sz w:val="28"/>
          <w:szCs w:val="28"/>
        </w:rPr>
        <w:t xml:space="preserve">  </w:t>
      </w:r>
      <w:r>
        <w:rPr>
          <w:rFonts w:ascii="宋体" w:hAnsi="宋体" w:eastAsia="宋体" w:cs="Arial"/>
          <w:b/>
          <w:kern w:val="0"/>
          <w:sz w:val="28"/>
          <w:szCs w:val="28"/>
        </w:rPr>
        <w:t>董事会会议通知</w:t>
      </w:r>
      <w:bookmarkEnd w:id="15"/>
    </w:p>
    <w:p w14:paraId="55735993">
      <w:pPr>
        <w:numPr>
          <w:ilvl w:val="0"/>
          <w:numId w:val="3"/>
        </w:numPr>
        <w:tabs>
          <w:tab w:val="left" w:pos="1694"/>
        </w:tabs>
        <w:spacing w:before="312" w:beforeLines="100" w:after="156" w:afterLines="50" w:line="440" w:lineRule="exact"/>
        <w:ind w:firstLine="480" w:firstLineChars="200"/>
        <w:rPr>
          <w:rFonts w:ascii="宋体" w:hAnsi="宋体" w:eastAsia="宋体" w:cs="Arial"/>
          <w:sz w:val="24"/>
        </w:rPr>
      </w:pPr>
      <w:r>
        <w:rPr>
          <w:rFonts w:hint="eastAsia" w:ascii="宋体" w:hAnsi="宋体" w:eastAsia="宋体" w:cs="Arial"/>
          <w:sz w:val="24"/>
        </w:rPr>
        <w:t xml:space="preserve"> </w:t>
      </w:r>
      <w:r>
        <w:rPr>
          <w:rFonts w:ascii="宋体" w:hAnsi="宋体" w:eastAsia="宋体" w:cs="Arial"/>
          <w:sz w:val="24"/>
        </w:rPr>
        <w:t>董事会召开定期会议，应于会议召开10日前将书面会议通知通过专人送出、传真或邮件（包括电子邮件）的方式提交全体董事。</w:t>
      </w:r>
    </w:p>
    <w:p w14:paraId="31EDE5EC">
      <w:pPr>
        <w:tabs>
          <w:tab w:val="left" w:pos="1694"/>
        </w:tabs>
        <w:spacing w:after="156" w:afterLines="50" w:line="440" w:lineRule="exact"/>
        <w:ind w:firstLine="480" w:firstLineChars="200"/>
        <w:jc w:val="left"/>
        <w:rPr>
          <w:rFonts w:ascii="宋体" w:hAnsi="宋体" w:eastAsia="宋体" w:cs="Arial"/>
          <w:sz w:val="24"/>
        </w:rPr>
      </w:pPr>
      <w:r>
        <w:rPr>
          <w:rFonts w:ascii="宋体" w:hAnsi="宋体" w:eastAsia="宋体" w:cs="Arial"/>
          <w:sz w:val="24"/>
        </w:rPr>
        <w:t>董事会召开临时会议，应于会议召开</w:t>
      </w:r>
      <w:r>
        <w:rPr>
          <w:rFonts w:hint="eastAsia" w:ascii="宋体" w:hAnsi="宋体" w:eastAsia="宋体" w:cs="Arial"/>
          <w:sz w:val="24"/>
        </w:rPr>
        <w:t>2</w:t>
      </w:r>
      <w:r>
        <w:rPr>
          <w:rFonts w:ascii="宋体" w:hAnsi="宋体" w:eastAsia="宋体" w:cs="Arial"/>
          <w:sz w:val="24"/>
        </w:rPr>
        <w:t>日前将书面会议通知通过专人送出、传真或邮件（包括电子邮件）的方式提交全体董事。出现特别紧急事由需召开董事会临时会议的，可不受上述通知形式和通知时限的限制。</w:t>
      </w:r>
    </w:p>
    <w:p w14:paraId="382262D5">
      <w:pPr>
        <w:numPr>
          <w:ilvl w:val="0"/>
          <w:numId w:val="3"/>
        </w:numPr>
        <w:spacing w:before="156" w:beforeLines="50" w:after="156" w:afterLines="50" w:line="400" w:lineRule="exact"/>
        <w:rPr>
          <w:rFonts w:ascii="宋体" w:hAnsi="宋体" w:eastAsia="宋体" w:cs="Arial"/>
          <w:color w:val="000000"/>
          <w:sz w:val="24"/>
        </w:rPr>
      </w:pPr>
      <w:r>
        <w:rPr>
          <w:rFonts w:ascii="宋体" w:hAnsi="宋体" w:eastAsia="宋体" w:cs="Arial"/>
          <w:sz w:val="24"/>
        </w:rPr>
        <w:t>董事会会议通知由董事长或代为召集的董事签发。上述人士因故不能签发董事会会议通知时，可授权董事会秘书代为签发。</w:t>
      </w:r>
    </w:p>
    <w:p w14:paraId="5DFC4830">
      <w:pPr>
        <w:numPr>
          <w:ilvl w:val="0"/>
          <w:numId w:val="3"/>
        </w:numPr>
        <w:tabs>
          <w:tab w:val="left" w:pos="1260"/>
        </w:tabs>
        <w:spacing w:before="156" w:beforeLines="50" w:after="156" w:afterLines="50" w:line="400" w:lineRule="exact"/>
        <w:rPr>
          <w:rFonts w:ascii="宋体" w:hAnsi="宋体" w:eastAsia="宋体" w:cs="Arial"/>
          <w:color w:val="000000"/>
          <w:sz w:val="24"/>
        </w:rPr>
      </w:pPr>
      <w:r>
        <w:rPr>
          <w:rFonts w:hint="eastAsia" w:ascii="宋体" w:hAnsi="宋体" w:eastAsia="宋体" w:cs="Arial"/>
          <w:color w:val="000000"/>
          <w:sz w:val="24"/>
        </w:rPr>
        <w:t xml:space="preserve"> </w:t>
      </w:r>
      <w:r>
        <w:rPr>
          <w:rFonts w:ascii="宋体" w:hAnsi="宋体" w:eastAsia="宋体" w:cs="Arial"/>
          <w:color w:val="000000"/>
          <w:sz w:val="24"/>
        </w:rPr>
        <w:t>书面会议通知应当至少包括以下内容：</w:t>
      </w:r>
    </w:p>
    <w:p w14:paraId="5E8F61D8">
      <w:pPr>
        <w:numPr>
          <w:ilvl w:val="0"/>
          <w:numId w:val="4"/>
        </w:numPr>
        <w:spacing w:before="156" w:beforeLines="50" w:after="156" w:afterLines="50" w:line="400" w:lineRule="atLeast"/>
        <w:ind w:firstLine="480" w:firstLineChars="200"/>
        <w:rPr>
          <w:rFonts w:ascii="宋体" w:hAnsi="宋体" w:eastAsia="宋体" w:cs="Arial"/>
          <w:color w:val="000000"/>
          <w:sz w:val="24"/>
        </w:rPr>
      </w:pPr>
      <w:r>
        <w:rPr>
          <w:rFonts w:ascii="宋体" w:hAnsi="宋体" w:eastAsia="宋体" w:cs="Arial"/>
          <w:color w:val="000000"/>
          <w:sz w:val="24"/>
        </w:rPr>
        <w:t>会议日期和地点；</w:t>
      </w:r>
    </w:p>
    <w:p w14:paraId="26DE9C67">
      <w:pPr>
        <w:numPr>
          <w:ilvl w:val="0"/>
          <w:numId w:val="4"/>
        </w:numPr>
        <w:spacing w:before="156" w:beforeLines="50" w:after="156" w:afterLines="50" w:line="400" w:lineRule="atLeast"/>
        <w:ind w:firstLine="480" w:firstLineChars="200"/>
        <w:rPr>
          <w:rFonts w:ascii="宋体" w:hAnsi="宋体" w:eastAsia="宋体" w:cs="Arial"/>
          <w:color w:val="000000"/>
          <w:sz w:val="24"/>
        </w:rPr>
      </w:pPr>
      <w:r>
        <w:rPr>
          <w:rFonts w:ascii="宋体" w:hAnsi="宋体" w:eastAsia="宋体" w:cs="Arial"/>
          <w:color w:val="000000"/>
          <w:sz w:val="24"/>
        </w:rPr>
        <w:t>会议期限；</w:t>
      </w:r>
    </w:p>
    <w:p w14:paraId="4596B780">
      <w:pPr>
        <w:numPr>
          <w:ilvl w:val="0"/>
          <w:numId w:val="4"/>
        </w:numPr>
        <w:spacing w:before="156" w:beforeLines="50" w:after="156" w:afterLines="50" w:line="400" w:lineRule="atLeast"/>
        <w:ind w:firstLine="480" w:firstLineChars="200"/>
        <w:rPr>
          <w:rFonts w:ascii="宋体" w:hAnsi="宋体" w:eastAsia="宋体" w:cs="Arial"/>
          <w:color w:val="000000"/>
          <w:sz w:val="24"/>
        </w:rPr>
      </w:pPr>
      <w:r>
        <w:rPr>
          <w:rFonts w:ascii="宋体" w:hAnsi="宋体" w:eastAsia="宋体" w:cs="Arial"/>
          <w:color w:val="000000"/>
          <w:sz w:val="24"/>
        </w:rPr>
        <w:t>事由及议题；</w:t>
      </w:r>
    </w:p>
    <w:p w14:paraId="253C5F7A">
      <w:pPr>
        <w:numPr>
          <w:ilvl w:val="0"/>
          <w:numId w:val="4"/>
        </w:numPr>
        <w:spacing w:before="156" w:beforeLines="50" w:after="156" w:afterLines="50" w:line="400" w:lineRule="atLeast"/>
        <w:ind w:firstLine="480" w:firstLineChars="200"/>
        <w:rPr>
          <w:rFonts w:ascii="宋体" w:hAnsi="宋体" w:eastAsia="宋体" w:cs="Arial"/>
          <w:color w:val="000000"/>
          <w:sz w:val="24"/>
        </w:rPr>
      </w:pPr>
      <w:r>
        <w:rPr>
          <w:rFonts w:ascii="宋体" w:hAnsi="宋体" w:eastAsia="宋体" w:cs="Arial"/>
          <w:color w:val="000000"/>
          <w:sz w:val="24"/>
        </w:rPr>
        <w:t>发出通知的日期。</w:t>
      </w:r>
    </w:p>
    <w:p w14:paraId="363F1056">
      <w:pPr>
        <w:numPr>
          <w:ilvl w:val="0"/>
          <w:numId w:val="3"/>
        </w:numPr>
        <w:spacing w:before="156" w:beforeLines="50" w:after="156" w:afterLines="50" w:line="400" w:lineRule="exact"/>
        <w:rPr>
          <w:rFonts w:hint="eastAsia" w:ascii="宋体" w:hAnsi="宋体" w:eastAsia="宋体" w:cs="Arial"/>
          <w:sz w:val="24"/>
        </w:rPr>
      </w:pPr>
      <w:r>
        <w:rPr>
          <w:rFonts w:ascii="宋体" w:hAnsi="宋体" w:eastAsia="宋体" w:cs="Arial"/>
          <w:sz w:val="24"/>
        </w:rPr>
        <w:t>口头会议通知至少应包括上述第（一）、（二）项内容，以及情况紧急需要尽快召开董事会临时会议的说明。</w:t>
      </w:r>
      <w:r>
        <w:rPr>
          <w:rFonts w:hint="eastAsia" w:ascii="宋体" w:hAnsi="宋体" w:eastAsia="宋体" w:cs="Arial"/>
          <w:sz w:val="24"/>
        </w:rPr>
        <w:t>采用电子通信方式召开董事会会议的，其会议通知中还应当包括：（1）告知本次董事会会议以电子通信方式进行表决；（2）董事填制完毕的表决票的送达方式、地址及截止期限。</w:t>
      </w:r>
    </w:p>
    <w:p w14:paraId="58144DA7">
      <w:pPr>
        <w:numPr>
          <w:ilvl w:val="0"/>
          <w:numId w:val="3"/>
        </w:numPr>
        <w:spacing w:before="156" w:beforeLines="50" w:after="156" w:afterLines="50" w:line="400" w:lineRule="exact"/>
        <w:rPr>
          <w:rFonts w:ascii="宋体" w:hAnsi="宋体" w:eastAsia="宋体" w:cs="Arial"/>
          <w:color w:val="000000"/>
          <w:sz w:val="24"/>
        </w:rPr>
      </w:pPr>
      <w:r>
        <w:rPr>
          <w:rFonts w:hint="eastAsia" w:ascii="宋体" w:hAnsi="宋体" w:eastAsia="宋体" w:cs="Arial"/>
          <w:color w:val="000000"/>
          <w:sz w:val="24"/>
        </w:rPr>
        <w:t xml:space="preserve"> </w:t>
      </w:r>
      <w:r>
        <w:rPr>
          <w:rFonts w:ascii="宋体" w:hAnsi="宋体" w:eastAsia="宋体" w:cs="Arial"/>
          <w:color w:val="000000"/>
          <w:sz w:val="24"/>
        </w:rPr>
        <w:t>董事会定期会议的书面会议通知发出后，如果需要变更会议的时间、地点等事项或者增加、变更、取消会议提案的，应当在原定会议召开日之前</w:t>
      </w:r>
      <w:r>
        <w:rPr>
          <w:rFonts w:hint="eastAsia" w:ascii="宋体" w:hAnsi="宋体" w:eastAsia="宋体" w:cs="Arial"/>
          <w:color w:val="000000"/>
          <w:sz w:val="24"/>
        </w:rPr>
        <w:t>2</w:t>
      </w:r>
      <w:r>
        <w:rPr>
          <w:rFonts w:ascii="宋体" w:hAnsi="宋体" w:eastAsia="宋体" w:cs="Arial"/>
          <w:color w:val="000000"/>
          <w:sz w:val="24"/>
        </w:rPr>
        <w:t>日发出书面变更通知，说明情况和新提案的有关内容及相关材料。不足</w:t>
      </w:r>
      <w:r>
        <w:rPr>
          <w:rFonts w:hint="eastAsia" w:ascii="宋体" w:hAnsi="宋体" w:eastAsia="宋体" w:cs="Arial"/>
          <w:color w:val="000000"/>
          <w:sz w:val="24"/>
        </w:rPr>
        <w:t>2</w:t>
      </w:r>
      <w:r>
        <w:rPr>
          <w:rFonts w:ascii="宋体" w:hAnsi="宋体" w:eastAsia="宋体" w:cs="Arial"/>
          <w:color w:val="000000"/>
          <w:sz w:val="24"/>
        </w:rPr>
        <w:t>日的，会议日期应当相应顺延或者在取得全体与会董事的认可后按期召开。</w:t>
      </w:r>
    </w:p>
    <w:p w14:paraId="29A800D5">
      <w:pPr>
        <w:pStyle w:val="8"/>
        <w:spacing w:before="156" w:beforeLines="50" w:after="156" w:afterLines="50" w:line="480" w:lineRule="atLeast"/>
        <w:rPr>
          <w:rFonts w:hint="eastAsia" w:eastAsia="宋体" w:cs="Arial"/>
          <w:color w:val="000000"/>
          <w:szCs w:val="24"/>
          <w:u w:val="none"/>
        </w:rPr>
      </w:pPr>
      <w:r>
        <w:rPr>
          <w:rFonts w:eastAsia="宋体" w:cs="Arial"/>
          <w:color w:val="000000"/>
          <w:szCs w:val="24"/>
          <w:u w:val="none"/>
        </w:rPr>
        <w:t>董事会临时会议的会议通知发出后，如果需要变更会议的时间、地点等事项或者增加、变更、取消会议提案的，应当事先取得全体与会董事的认可并做好相应记录。</w:t>
      </w:r>
    </w:p>
    <w:p w14:paraId="15928C53">
      <w:pPr>
        <w:numPr>
          <w:ilvl w:val="0"/>
          <w:numId w:val="2"/>
        </w:numPr>
        <w:spacing w:before="156" w:beforeLines="50" w:after="156" w:afterLines="50" w:line="400" w:lineRule="exact"/>
        <w:jc w:val="center"/>
        <w:outlineLvl w:val="0"/>
        <w:rPr>
          <w:rFonts w:ascii="宋体" w:hAnsi="宋体" w:eastAsia="宋体" w:cs="Arial"/>
          <w:b/>
          <w:kern w:val="0"/>
          <w:sz w:val="28"/>
          <w:szCs w:val="28"/>
        </w:rPr>
      </w:pPr>
      <w:bookmarkStart w:id="16" w:name="_Toc293244261"/>
      <w:r>
        <w:rPr>
          <w:rFonts w:hint="eastAsia" w:ascii="宋体" w:hAnsi="宋体" w:eastAsia="宋体" w:cs="Arial"/>
          <w:b/>
          <w:kern w:val="0"/>
          <w:sz w:val="28"/>
          <w:szCs w:val="28"/>
        </w:rPr>
        <w:t xml:space="preserve">  </w:t>
      </w:r>
      <w:r>
        <w:rPr>
          <w:rFonts w:ascii="宋体" w:hAnsi="宋体" w:eastAsia="宋体" w:cs="Arial"/>
          <w:b/>
          <w:kern w:val="0"/>
          <w:sz w:val="28"/>
          <w:szCs w:val="28"/>
        </w:rPr>
        <w:t>董事会会议的召开</w:t>
      </w:r>
      <w:bookmarkEnd w:id="16"/>
    </w:p>
    <w:p w14:paraId="4DA8935C">
      <w:pPr>
        <w:numPr>
          <w:ilvl w:val="0"/>
          <w:numId w:val="3"/>
        </w:numPr>
        <w:spacing w:before="156" w:beforeLines="50" w:after="156" w:afterLines="50" w:line="400" w:lineRule="exact"/>
        <w:rPr>
          <w:rFonts w:ascii="宋体" w:hAnsi="宋体" w:eastAsia="宋体" w:cs="Arial"/>
          <w:color w:val="000000"/>
          <w:sz w:val="24"/>
          <w:szCs w:val="24"/>
        </w:rPr>
      </w:pPr>
      <w:r>
        <w:rPr>
          <w:rFonts w:ascii="宋体" w:hAnsi="宋体" w:eastAsia="宋体" w:cs="Arial"/>
          <w:color w:val="000000"/>
          <w:sz w:val="24"/>
          <w:szCs w:val="24"/>
        </w:rPr>
        <w:t>董事会会议应当有过半数的董事出席方可举行。</w:t>
      </w:r>
    </w:p>
    <w:p w14:paraId="1A32E488">
      <w:pPr>
        <w:spacing w:before="156" w:beforeLines="50" w:after="156" w:afterLines="50" w:line="400" w:lineRule="exact"/>
        <w:ind w:firstLine="480" w:firstLineChars="200"/>
        <w:rPr>
          <w:rFonts w:ascii="宋体" w:hAnsi="宋体" w:eastAsia="宋体" w:cs="Arial"/>
          <w:color w:val="000000"/>
          <w:sz w:val="24"/>
          <w:szCs w:val="24"/>
        </w:rPr>
      </w:pPr>
      <w:r>
        <w:rPr>
          <w:rFonts w:ascii="宋体" w:hAnsi="宋体" w:eastAsia="宋体" w:cs="Arial"/>
          <w:color w:val="000000"/>
          <w:kern w:val="0"/>
          <w:sz w:val="24"/>
          <w:szCs w:val="24"/>
        </w:rPr>
        <w:t>如果出席董事人数无法满足会议召开的最低人数要求时，会议召集人应当宣布另行召开董事会会议，同时确定召开的时间。</w:t>
      </w:r>
    </w:p>
    <w:p w14:paraId="41A84011">
      <w:pPr>
        <w:numPr>
          <w:ilvl w:val="0"/>
          <w:numId w:val="3"/>
        </w:numPr>
        <w:spacing w:before="156" w:beforeLines="50" w:after="156" w:afterLines="50" w:line="400" w:lineRule="exact"/>
        <w:rPr>
          <w:rFonts w:ascii="宋体" w:hAnsi="宋体" w:eastAsia="宋体" w:cs="Arial"/>
          <w:color w:val="000000"/>
          <w:sz w:val="24"/>
          <w:szCs w:val="24"/>
        </w:rPr>
      </w:pPr>
      <w:r>
        <w:rPr>
          <w:rFonts w:ascii="宋体" w:hAnsi="宋体" w:eastAsia="宋体" w:cs="Arial"/>
          <w:color w:val="000000"/>
          <w:sz w:val="24"/>
          <w:szCs w:val="24"/>
        </w:rPr>
        <w:t>董事应当亲自出席董事会会议。因故不能出席会议的，应当事先审阅会议材料，形成明确的意见，书面委托其他董事代为出席。委托书应当载明</w:t>
      </w:r>
      <w:r>
        <w:rPr>
          <w:rFonts w:hint="eastAsia" w:ascii="宋体" w:hAnsi="宋体" w:eastAsia="宋体" w:cs="Arial"/>
          <w:color w:val="000000"/>
          <w:sz w:val="24"/>
          <w:szCs w:val="24"/>
        </w:rPr>
        <w:t>代理人的姓名，代理事项、授权范围和有效期限，并由委托人签名或者盖章。</w:t>
      </w:r>
    </w:p>
    <w:p w14:paraId="262D19E8">
      <w:pPr>
        <w:spacing w:before="156" w:beforeLines="50" w:after="156" w:afterLines="50" w:line="400" w:lineRule="exact"/>
        <w:ind w:firstLine="480" w:firstLineChars="200"/>
        <w:rPr>
          <w:rFonts w:ascii="宋体" w:hAnsi="宋体" w:eastAsia="宋体" w:cs="Arial"/>
          <w:color w:val="000000"/>
          <w:sz w:val="24"/>
          <w:szCs w:val="24"/>
        </w:rPr>
      </w:pPr>
      <w:r>
        <w:rPr>
          <w:rFonts w:ascii="宋体" w:hAnsi="宋体" w:eastAsia="宋体" w:cs="Arial"/>
          <w:color w:val="000000"/>
          <w:sz w:val="24"/>
          <w:szCs w:val="24"/>
        </w:rPr>
        <w:t>受托董事应当向会议主持人提交</w:t>
      </w:r>
      <w:bookmarkStart w:id="17" w:name="OLE_LINK1"/>
      <w:r>
        <w:rPr>
          <w:rFonts w:ascii="宋体" w:hAnsi="宋体" w:eastAsia="宋体" w:cs="Arial"/>
          <w:color w:val="000000"/>
          <w:sz w:val="24"/>
          <w:szCs w:val="24"/>
        </w:rPr>
        <w:t>书面委托书，在会议签到簿</w:t>
      </w:r>
      <w:bookmarkEnd w:id="17"/>
      <w:r>
        <w:rPr>
          <w:rFonts w:ascii="宋体" w:hAnsi="宋体" w:eastAsia="宋体" w:cs="Arial"/>
          <w:color w:val="000000"/>
          <w:sz w:val="24"/>
          <w:szCs w:val="24"/>
        </w:rPr>
        <w:t>上说明受托出席的情况。</w:t>
      </w:r>
    </w:p>
    <w:p w14:paraId="42D0AB95">
      <w:pPr>
        <w:spacing w:before="156" w:beforeLines="50" w:after="156" w:afterLines="50" w:line="400" w:lineRule="exact"/>
        <w:ind w:firstLine="480" w:firstLineChars="200"/>
        <w:rPr>
          <w:rFonts w:ascii="宋体" w:hAnsi="宋体" w:eastAsia="宋体" w:cs="Arial"/>
          <w:color w:val="000000"/>
          <w:sz w:val="24"/>
          <w:szCs w:val="24"/>
        </w:rPr>
      </w:pPr>
      <w:r>
        <w:rPr>
          <w:rFonts w:ascii="宋体" w:hAnsi="宋体" w:eastAsia="宋体" w:cs="Arial"/>
          <w:color w:val="000000"/>
          <w:sz w:val="24"/>
          <w:szCs w:val="24"/>
        </w:rPr>
        <w:t>代为出席会议的董事应于授权范围内行使董事的权利。董事未出席董事会会议，亦未委托其他董事代为出席的，视为其放弃在该次会议上的投票表决权。</w:t>
      </w:r>
    </w:p>
    <w:p w14:paraId="2D55ACDA">
      <w:pPr>
        <w:numPr>
          <w:ilvl w:val="0"/>
          <w:numId w:val="3"/>
        </w:numPr>
        <w:spacing w:before="156" w:beforeLines="50" w:after="156" w:afterLines="50" w:line="400" w:lineRule="exact"/>
        <w:rPr>
          <w:rFonts w:ascii="宋体" w:hAnsi="宋体" w:eastAsia="宋体" w:cs="Arial"/>
          <w:color w:val="000000"/>
          <w:sz w:val="24"/>
          <w:szCs w:val="24"/>
        </w:rPr>
      </w:pPr>
      <w:r>
        <w:rPr>
          <w:rFonts w:hint="eastAsia" w:ascii="宋体" w:hAnsi="宋体" w:eastAsia="宋体" w:cs="Arial"/>
          <w:color w:val="000000"/>
          <w:sz w:val="24"/>
          <w:szCs w:val="24"/>
        </w:rPr>
        <w:t xml:space="preserve"> </w:t>
      </w:r>
      <w:r>
        <w:rPr>
          <w:rFonts w:ascii="宋体" w:hAnsi="宋体" w:eastAsia="宋体" w:cs="Arial"/>
          <w:color w:val="000000"/>
          <w:sz w:val="24"/>
          <w:szCs w:val="24"/>
        </w:rPr>
        <w:t>委托和受托出席董事会会议应当遵循以下原则：</w:t>
      </w:r>
    </w:p>
    <w:p w14:paraId="7A18B7D4">
      <w:pPr>
        <w:numPr>
          <w:ilvl w:val="0"/>
          <w:numId w:val="5"/>
        </w:numPr>
        <w:spacing w:before="156" w:beforeLines="50" w:after="156" w:afterLines="50" w:line="400" w:lineRule="exact"/>
        <w:ind w:firstLine="480" w:firstLineChars="200"/>
        <w:rPr>
          <w:rFonts w:hint="eastAsia" w:ascii="宋体" w:hAnsi="宋体" w:eastAsia="宋体" w:cs="Arial"/>
          <w:color w:val="000000"/>
          <w:sz w:val="24"/>
          <w:szCs w:val="24"/>
        </w:rPr>
      </w:pPr>
      <w:r>
        <w:rPr>
          <w:rFonts w:ascii="宋体" w:hAnsi="宋体" w:eastAsia="宋体" w:cs="Arial"/>
          <w:kern w:val="0"/>
          <w:sz w:val="24"/>
        </w:rPr>
        <w:t>董事不得委托董事以外的其他人士出席董事会会议；</w:t>
      </w:r>
    </w:p>
    <w:p w14:paraId="7D97B795">
      <w:pPr>
        <w:numPr>
          <w:ilvl w:val="0"/>
          <w:numId w:val="5"/>
        </w:numPr>
        <w:spacing w:before="156" w:beforeLines="50" w:after="156" w:afterLines="50" w:line="400" w:lineRule="exact"/>
        <w:ind w:firstLine="480" w:firstLineChars="200"/>
        <w:rPr>
          <w:rFonts w:ascii="宋体" w:hAnsi="宋体" w:eastAsia="宋体" w:cs="Arial"/>
          <w:color w:val="000000"/>
          <w:sz w:val="24"/>
          <w:szCs w:val="24"/>
        </w:rPr>
      </w:pPr>
      <w:r>
        <w:rPr>
          <w:rFonts w:hint="eastAsia" w:ascii="宋体" w:hAnsi="宋体" w:eastAsia="宋体" w:cs="Arial"/>
          <w:kern w:val="0"/>
          <w:sz w:val="24"/>
        </w:rPr>
        <w:t>独立董事不得委托非独立董事代为出席；</w:t>
      </w:r>
    </w:p>
    <w:p w14:paraId="39629C11">
      <w:pPr>
        <w:numPr>
          <w:ilvl w:val="0"/>
          <w:numId w:val="5"/>
        </w:numPr>
        <w:spacing w:before="156" w:beforeLines="50" w:after="156" w:afterLines="50" w:line="400" w:lineRule="exact"/>
        <w:ind w:firstLine="480" w:firstLineChars="200"/>
        <w:rPr>
          <w:rFonts w:ascii="宋体" w:hAnsi="宋体" w:eastAsia="宋体" w:cs="Arial"/>
          <w:color w:val="000000"/>
          <w:sz w:val="24"/>
          <w:szCs w:val="24"/>
        </w:rPr>
      </w:pPr>
      <w:r>
        <w:rPr>
          <w:rFonts w:ascii="宋体" w:hAnsi="宋体" w:eastAsia="宋体" w:cs="Arial"/>
          <w:color w:val="000000"/>
          <w:sz w:val="24"/>
          <w:szCs w:val="24"/>
        </w:rPr>
        <w:t>在审议关联交易事项时，非关联董事不得委托关联董事代为出席；</w:t>
      </w:r>
    </w:p>
    <w:p w14:paraId="43760EBC">
      <w:pPr>
        <w:numPr>
          <w:ilvl w:val="0"/>
          <w:numId w:val="5"/>
        </w:numPr>
        <w:spacing w:before="156" w:beforeLines="50" w:after="156" w:afterLines="50" w:line="400" w:lineRule="exact"/>
        <w:ind w:firstLine="480" w:firstLineChars="200"/>
        <w:rPr>
          <w:rFonts w:ascii="宋体" w:hAnsi="宋体" w:eastAsia="宋体" w:cs="Arial"/>
          <w:color w:val="000000"/>
          <w:sz w:val="24"/>
          <w:szCs w:val="24"/>
        </w:rPr>
      </w:pPr>
      <w:r>
        <w:rPr>
          <w:rFonts w:ascii="宋体" w:hAnsi="宋体" w:eastAsia="宋体" w:cs="Arial"/>
          <w:color w:val="000000"/>
          <w:sz w:val="24"/>
          <w:szCs w:val="24"/>
        </w:rPr>
        <w:t>董事不得</w:t>
      </w:r>
      <w:r>
        <w:rPr>
          <w:rFonts w:hint="eastAsia" w:ascii="宋体" w:hAnsi="宋体" w:eastAsia="宋体" w:cs="Arial"/>
          <w:color w:val="000000"/>
          <w:sz w:val="24"/>
          <w:szCs w:val="24"/>
        </w:rPr>
        <w:t>作出或者接受无</w:t>
      </w:r>
      <w:r>
        <w:rPr>
          <w:rFonts w:ascii="宋体" w:hAnsi="宋体" w:eastAsia="宋体" w:cs="Arial"/>
          <w:color w:val="000000"/>
          <w:sz w:val="24"/>
          <w:szCs w:val="24"/>
        </w:rPr>
        <w:t>表决意向的</w:t>
      </w:r>
      <w:r>
        <w:rPr>
          <w:rFonts w:hint="eastAsia" w:ascii="宋体" w:hAnsi="宋体" w:eastAsia="宋体" w:cs="Arial"/>
          <w:color w:val="000000"/>
          <w:sz w:val="24"/>
          <w:szCs w:val="24"/>
        </w:rPr>
        <w:t>委托、</w:t>
      </w:r>
      <w:r>
        <w:rPr>
          <w:rFonts w:ascii="宋体" w:hAnsi="宋体" w:eastAsia="宋体" w:cs="Arial"/>
          <w:color w:val="000000"/>
          <w:sz w:val="24"/>
          <w:szCs w:val="24"/>
        </w:rPr>
        <w:t>全权委托和授权</w:t>
      </w:r>
      <w:r>
        <w:rPr>
          <w:rFonts w:hint="eastAsia" w:ascii="宋体" w:hAnsi="宋体" w:eastAsia="宋体" w:cs="Arial"/>
          <w:color w:val="000000"/>
          <w:sz w:val="24"/>
          <w:szCs w:val="24"/>
        </w:rPr>
        <w:t>范围</w:t>
      </w:r>
      <w:r>
        <w:rPr>
          <w:rFonts w:ascii="宋体" w:hAnsi="宋体" w:eastAsia="宋体" w:cs="Arial"/>
          <w:color w:val="000000"/>
          <w:sz w:val="24"/>
          <w:szCs w:val="24"/>
        </w:rPr>
        <w:t>不明确的委托；</w:t>
      </w:r>
    </w:p>
    <w:p w14:paraId="25EFA917">
      <w:pPr>
        <w:numPr>
          <w:ilvl w:val="0"/>
          <w:numId w:val="5"/>
        </w:numPr>
        <w:spacing w:before="156" w:beforeLines="50" w:after="156" w:afterLines="50" w:line="400" w:lineRule="exact"/>
        <w:ind w:firstLine="480" w:firstLineChars="200"/>
        <w:rPr>
          <w:rFonts w:ascii="宋体" w:hAnsi="宋体" w:eastAsia="宋体" w:cs="Arial"/>
          <w:color w:val="000000"/>
          <w:sz w:val="24"/>
          <w:szCs w:val="24"/>
        </w:rPr>
      </w:pPr>
      <w:r>
        <w:rPr>
          <w:rFonts w:ascii="宋体" w:hAnsi="宋体" w:eastAsia="宋体" w:cs="Arial"/>
          <w:color w:val="000000"/>
          <w:sz w:val="24"/>
          <w:szCs w:val="24"/>
        </w:rPr>
        <w:t>一名董事</w:t>
      </w:r>
      <w:r>
        <w:rPr>
          <w:rFonts w:hint="eastAsia" w:ascii="宋体" w:hAnsi="宋体" w:eastAsia="宋体" w:cs="Arial"/>
          <w:color w:val="000000"/>
          <w:sz w:val="24"/>
          <w:szCs w:val="24"/>
        </w:rPr>
        <w:t>在一次董事会会议上</w:t>
      </w:r>
      <w:r>
        <w:rPr>
          <w:rFonts w:ascii="宋体" w:hAnsi="宋体" w:eastAsia="宋体" w:cs="Arial"/>
          <w:color w:val="000000"/>
          <w:sz w:val="24"/>
          <w:szCs w:val="24"/>
        </w:rPr>
        <w:t>不得接受超过两名董事的委托。</w:t>
      </w:r>
    </w:p>
    <w:p w14:paraId="3ACEBB7B">
      <w:pPr>
        <w:numPr>
          <w:ilvl w:val="0"/>
          <w:numId w:val="3"/>
        </w:numPr>
        <w:spacing w:before="156" w:beforeLines="50" w:after="156" w:afterLines="50" w:line="400" w:lineRule="exact"/>
        <w:ind w:firstLine="480" w:firstLineChars="200"/>
        <w:rPr>
          <w:rFonts w:ascii="宋体" w:hAnsi="宋体" w:eastAsia="宋体" w:cs="Arial"/>
          <w:color w:val="000000"/>
          <w:kern w:val="0"/>
          <w:sz w:val="24"/>
          <w:szCs w:val="24"/>
        </w:rPr>
      </w:pPr>
      <w:r>
        <w:rPr>
          <w:rFonts w:ascii="宋体" w:hAnsi="宋体" w:eastAsia="宋体" w:cs="Arial"/>
          <w:color w:val="000000"/>
          <w:kern w:val="0"/>
          <w:sz w:val="24"/>
          <w:szCs w:val="24"/>
        </w:rPr>
        <w:t>会议审议事项涉及其职权范围之内事项时，经董事会要求，公司高级管理人员可以列席董事会会议。</w:t>
      </w:r>
    </w:p>
    <w:p w14:paraId="4A126E28">
      <w:pPr>
        <w:numPr>
          <w:ilvl w:val="0"/>
          <w:numId w:val="3"/>
        </w:numPr>
        <w:spacing w:before="156" w:beforeLines="50" w:after="156" w:afterLines="50" w:line="400" w:lineRule="exact"/>
        <w:rPr>
          <w:rFonts w:ascii="宋体" w:hAnsi="宋体" w:eastAsia="宋体" w:cs="Arial"/>
          <w:color w:val="000000"/>
          <w:kern w:val="0"/>
          <w:sz w:val="24"/>
          <w:szCs w:val="24"/>
        </w:rPr>
      </w:pPr>
      <w:r>
        <w:rPr>
          <w:rFonts w:hint="eastAsia" w:ascii="宋体" w:hAnsi="宋体" w:eastAsia="宋体" w:cs="Arial"/>
          <w:color w:val="000000"/>
          <w:kern w:val="0"/>
          <w:sz w:val="24"/>
          <w:szCs w:val="24"/>
        </w:rPr>
        <w:t xml:space="preserve"> </w:t>
      </w:r>
      <w:r>
        <w:rPr>
          <w:rFonts w:ascii="宋体" w:hAnsi="宋体" w:eastAsia="宋体" w:cs="Arial"/>
          <w:color w:val="000000"/>
          <w:kern w:val="0"/>
          <w:sz w:val="24"/>
          <w:szCs w:val="24"/>
        </w:rPr>
        <w:t>董事会会议应当严格按照本规则召集和召开，并提供充分的会议材料，包括会议议题的相关背景材料、</w:t>
      </w:r>
      <w:r>
        <w:rPr>
          <w:rFonts w:hint="eastAsia" w:ascii="宋体" w:hAnsi="宋体" w:eastAsia="宋体" w:cs="Arial"/>
          <w:color w:val="000000"/>
          <w:kern w:val="0"/>
          <w:sz w:val="24"/>
          <w:szCs w:val="24"/>
        </w:rPr>
        <w:t>董事会专门委员会意见（如有）、独立董事专门会议审议情况（如有）等</w:t>
      </w:r>
      <w:r>
        <w:rPr>
          <w:rFonts w:ascii="宋体" w:hAnsi="宋体" w:eastAsia="宋体" w:cs="Arial"/>
          <w:color w:val="000000"/>
          <w:kern w:val="0"/>
          <w:sz w:val="24"/>
          <w:szCs w:val="24"/>
        </w:rPr>
        <w:t>董事对议案进行表决所需的所有信息、数据和资料，及时答复董事提出的问询，在会议召开前根据董事的要求补充相关会议材料。</w:t>
      </w:r>
    </w:p>
    <w:p w14:paraId="5492518B">
      <w:pPr>
        <w:numPr>
          <w:ilvl w:val="0"/>
          <w:numId w:val="3"/>
        </w:numPr>
        <w:spacing w:before="156" w:beforeLines="50" w:after="156" w:afterLines="50" w:line="400" w:lineRule="exact"/>
        <w:rPr>
          <w:rFonts w:ascii="宋体" w:hAnsi="宋体" w:eastAsia="宋体" w:cs="Arial"/>
          <w:color w:val="000000"/>
          <w:kern w:val="0"/>
          <w:sz w:val="24"/>
          <w:szCs w:val="24"/>
        </w:rPr>
      </w:pPr>
      <w:r>
        <w:rPr>
          <w:rFonts w:hint="eastAsia" w:ascii="宋体" w:hAnsi="宋体" w:eastAsia="宋体" w:cs="Arial"/>
          <w:color w:val="000000"/>
          <w:sz w:val="24"/>
          <w:szCs w:val="24"/>
        </w:rPr>
        <w:t xml:space="preserve"> </w:t>
      </w:r>
      <w:r>
        <w:rPr>
          <w:rFonts w:ascii="宋体" w:hAnsi="宋体" w:eastAsia="宋体" w:cs="Arial"/>
          <w:color w:val="000000"/>
          <w:sz w:val="24"/>
          <w:szCs w:val="24"/>
        </w:rPr>
        <w:t>董事会会议以现场召开为原则。在保</w:t>
      </w:r>
      <w:r>
        <w:rPr>
          <w:rFonts w:hint="eastAsia" w:ascii="宋体" w:hAnsi="宋体" w:eastAsia="宋体" w:cs="Arial"/>
          <w:color w:val="000000"/>
          <w:sz w:val="24"/>
          <w:szCs w:val="24"/>
        </w:rPr>
        <w:t>证全体参会</w:t>
      </w:r>
      <w:r>
        <w:rPr>
          <w:rFonts w:ascii="宋体" w:hAnsi="宋体" w:eastAsia="宋体" w:cs="Arial"/>
          <w:color w:val="000000"/>
          <w:sz w:val="24"/>
          <w:szCs w:val="24"/>
        </w:rPr>
        <w:t>董事</w:t>
      </w:r>
      <w:r>
        <w:rPr>
          <w:rFonts w:hint="eastAsia" w:ascii="宋体" w:hAnsi="宋体" w:eastAsia="宋体" w:cs="Arial"/>
          <w:color w:val="000000"/>
          <w:sz w:val="24"/>
          <w:szCs w:val="24"/>
        </w:rPr>
        <w:t>能够充分沟通并</w:t>
      </w:r>
      <w:r>
        <w:rPr>
          <w:rFonts w:ascii="宋体" w:hAnsi="宋体" w:eastAsia="宋体" w:cs="Arial"/>
          <w:color w:val="000000"/>
          <w:sz w:val="24"/>
          <w:szCs w:val="24"/>
        </w:rPr>
        <w:t>表达意见的前提下，</w:t>
      </w:r>
      <w:r>
        <w:rPr>
          <w:rFonts w:hint="eastAsia" w:ascii="宋体" w:hAnsi="宋体" w:eastAsia="宋体" w:cs="Arial"/>
          <w:color w:val="000000"/>
          <w:sz w:val="24"/>
          <w:szCs w:val="24"/>
        </w:rPr>
        <w:t>必要时</w:t>
      </w:r>
      <w:r>
        <w:rPr>
          <w:rFonts w:ascii="宋体" w:hAnsi="宋体" w:eastAsia="宋体" w:cs="Arial"/>
          <w:color w:val="000000"/>
          <w:sz w:val="24"/>
          <w:szCs w:val="24"/>
        </w:rPr>
        <w:t>可以</w:t>
      </w:r>
      <w:r>
        <w:rPr>
          <w:rFonts w:hint="eastAsia" w:ascii="宋体" w:hAnsi="宋体" w:eastAsia="宋体" w:cs="Arial"/>
          <w:color w:val="000000"/>
          <w:sz w:val="24"/>
          <w:szCs w:val="24"/>
        </w:rPr>
        <w:t>依照程序采用电子通信</w:t>
      </w:r>
      <w:r>
        <w:rPr>
          <w:rFonts w:ascii="宋体" w:hAnsi="宋体" w:eastAsia="宋体" w:cs="Arial"/>
          <w:color w:val="000000"/>
          <w:sz w:val="24"/>
          <w:szCs w:val="24"/>
        </w:rPr>
        <w:t>方式召开。董事会会议也可以采取现场与其他方式同时进行的方式召开。</w:t>
      </w:r>
    </w:p>
    <w:p w14:paraId="20FE94BF">
      <w:pPr>
        <w:numPr>
          <w:ilvl w:val="0"/>
          <w:numId w:val="3"/>
        </w:numPr>
        <w:spacing w:before="156" w:beforeLines="50" w:after="156" w:afterLines="50" w:line="400" w:lineRule="exact"/>
        <w:rPr>
          <w:rFonts w:ascii="宋体" w:hAnsi="宋体" w:eastAsia="宋体" w:cs="Arial"/>
          <w:color w:val="000000"/>
          <w:sz w:val="24"/>
        </w:rPr>
      </w:pPr>
      <w:r>
        <w:rPr>
          <w:rFonts w:ascii="宋体" w:hAnsi="宋体" w:eastAsia="宋体" w:cs="Arial"/>
          <w:color w:val="000000"/>
          <w:sz w:val="24"/>
        </w:rPr>
        <w:t>会议主持人应当提请出席董事会会议的董事对各项提案发表明确的意见。</w:t>
      </w:r>
    </w:p>
    <w:p w14:paraId="7D800420">
      <w:pPr>
        <w:spacing w:before="156" w:beforeLines="50" w:after="156" w:afterLines="50" w:line="400" w:lineRule="exact"/>
        <w:ind w:firstLine="480" w:firstLineChars="200"/>
        <w:rPr>
          <w:rFonts w:ascii="宋体" w:hAnsi="宋体" w:eastAsia="宋体" w:cs="Arial"/>
          <w:color w:val="000000"/>
          <w:sz w:val="24"/>
        </w:rPr>
      </w:pPr>
      <w:r>
        <w:rPr>
          <w:rFonts w:ascii="宋体" w:hAnsi="宋体" w:eastAsia="宋体" w:cs="Arial"/>
          <w:color w:val="000000"/>
          <w:sz w:val="24"/>
        </w:rPr>
        <w:t>董事阻碍会议正常进行或者影响其他董事发言的，会议主持人应当及时制止。</w:t>
      </w:r>
    </w:p>
    <w:p w14:paraId="5C272AF4">
      <w:pPr>
        <w:numPr>
          <w:ilvl w:val="0"/>
          <w:numId w:val="3"/>
        </w:numPr>
        <w:spacing w:before="156" w:beforeLines="50" w:after="156" w:afterLines="50" w:line="400" w:lineRule="exact"/>
        <w:rPr>
          <w:rFonts w:ascii="宋体" w:hAnsi="宋体" w:eastAsia="宋体" w:cs="Arial"/>
          <w:color w:val="000000"/>
          <w:sz w:val="24"/>
        </w:rPr>
      </w:pPr>
      <w:r>
        <w:rPr>
          <w:rFonts w:hint="eastAsia" w:ascii="宋体" w:hAnsi="宋体" w:eastAsia="宋体" w:cs="Arial"/>
          <w:color w:val="000000"/>
          <w:sz w:val="24"/>
        </w:rPr>
        <w:t xml:space="preserve"> </w:t>
      </w:r>
      <w:r>
        <w:rPr>
          <w:rFonts w:ascii="宋体" w:hAnsi="宋体" w:eastAsia="宋体" w:cs="Arial"/>
          <w:color w:val="000000"/>
          <w:sz w:val="24"/>
        </w:rPr>
        <w:t>除征得全体与会董事的一致同意外，董事会会议不得就未包括在会议通知中的提案进行表决。董事接受其他董事委托代为出席董事会会议的，不得代表其他董事对未包括在会议通知中的提案进行表决。</w:t>
      </w:r>
    </w:p>
    <w:p w14:paraId="6FBFF39E">
      <w:pPr>
        <w:numPr>
          <w:ilvl w:val="0"/>
          <w:numId w:val="3"/>
        </w:numPr>
        <w:spacing w:before="156" w:beforeLines="50" w:after="156" w:afterLines="50" w:line="400" w:lineRule="exact"/>
        <w:rPr>
          <w:rFonts w:ascii="宋体" w:hAnsi="宋体" w:eastAsia="宋体" w:cs="Arial"/>
          <w:color w:val="000000"/>
          <w:sz w:val="24"/>
        </w:rPr>
      </w:pPr>
      <w:r>
        <w:rPr>
          <w:rFonts w:hint="eastAsia" w:ascii="宋体" w:hAnsi="宋体" w:eastAsia="宋体" w:cs="Arial"/>
          <w:color w:val="000000"/>
          <w:sz w:val="24"/>
        </w:rPr>
        <w:t xml:space="preserve"> </w:t>
      </w:r>
      <w:r>
        <w:rPr>
          <w:rFonts w:ascii="宋体" w:hAnsi="宋体" w:eastAsia="宋体" w:cs="Arial"/>
          <w:color w:val="000000"/>
          <w:sz w:val="24"/>
        </w:rPr>
        <w:t>董事应当认真阅读有关会议材料，在充分了解情况的基础上独立、审慎地发表意见。</w:t>
      </w:r>
    </w:p>
    <w:p w14:paraId="67C92ECD">
      <w:pPr>
        <w:numPr>
          <w:ilvl w:val="0"/>
          <w:numId w:val="3"/>
        </w:numPr>
        <w:spacing w:before="156" w:beforeLines="50" w:after="156" w:afterLines="50" w:line="400" w:lineRule="exact"/>
        <w:rPr>
          <w:rFonts w:ascii="宋体" w:hAnsi="宋体" w:eastAsia="宋体" w:cs="Arial"/>
          <w:color w:val="000000"/>
          <w:sz w:val="24"/>
        </w:rPr>
      </w:pPr>
      <w:r>
        <w:rPr>
          <w:rFonts w:ascii="宋体" w:hAnsi="宋体" w:eastAsia="宋体" w:cs="Arial"/>
          <w:color w:val="000000"/>
          <w:sz w:val="24"/>
        </w:rPr>
        <w:t>董事可以在会前向会议召集人、总裁和其他高级管理人员、</w:t>
      </w:r>
      <w:r>
        <w:rPr>
          <w:rFonts w:hint="eastAsia" w:ascii="宋体" w:hAnsi="宋体" w:eastAsia="宋体" w:cs="Arial"/>
          <w:color w:val="000000"/>
          <w:sz w:val="24"/>
        </w:rPr>
        <w:t>各专门委员会、</w:t>
      </w:r>
      <w:r>
        <w:rPr>
          <w:rFonts w:ascii="宋体" w:hAnsi="宋体" w:eastAsia="宋体" w:cs="Arial"/>
          <w:color w:val="000000"/>
          <w:sz w:val="24"/>
        </w:rPr>
        <w:t>会计师事务所和律师事务所等有关人员和机构了解决策所需要的信息，也可以在会议进行中向主持人建议请上述人员和机构代表与会解释有关情况。</w:t>
      </w:r>
    </w:p>
    <w:p w14:paraId="5732E920">
      <w:pPr>
        <w:numPr>
          <w:ilvl w:val="0"/>
          <w:numId w:val="2"/>
        </w:numPr>
        <w:spacing w:before="156" w:beforeLines="50" w:after="156" w:afterLines="50" w:line="400" w:lineRule="exact"/>
        <w:jc w:val="center"/>
        <w:outlineLvl w:val="0"/>
        <w:rPr>
          <w:rFonts w:ascii="宋体" w:hAnsi="宋体" w:eastAsia="宋体" w:cs="Arial"/>
          <w:b/>
          <w:kern w:val="0"/>
          <w:sz w:val="28"/>
          <w:szCs w:val="28"/>
        </w:rPr>
      </w:pPr>
      <w:bookmarkStart w:id="18" w:name="_Toc232921063"/>
      <w:bookmarkStart w:id="19" w:name="_Toc293244262"/>
      <w:r>
        <w:rPr>
          <w:rFonts w:hint="eastAsia" w:ascii="宋体" w:hAnsi="宋体" w:eastAsia="宋体" w:cs="Arial"/>
          <w:b/>
          <w:kern w:val="0"/>
          <w:sz w:val="28"/>
          <w:szCs w:val="28"/>
        </w:rPr>
        <w:t xml:space="preserve">  </w:t>
      </w:r>
      <w:r>
        <w:rPr>
          <w:rFonts w:ascii="宋体" w:hAnsi="宋体" w:eastAsia="宋体" w:cs="Arial"/>
          <w:b/>
          <w:kern w:val="0"/>
          <w:sz w:val="28"/>
          <w:szCs w:val="28"/>
        </w:rPr>
        <w:t>董事会会议的表决</w:t>
      </w:r>
      <w:bookmarkEnd w:id="18"/>
      <w:bookmarkEnd w:id="19"/>
    </w:p>
    <w:p w14:paraId="2306B480">
      <w:pPr>
        <w:numPr>
          <w:ilvl w:val="0"/>
          <w:numId w:val="3"/>
        </w:numPr>
        <w:spacing w:before="156" w:beforeLines="50" w:after="156" w:afterLines="50" w:line="400" w:lineRule="exact"/>
        <w:rPr>
          <w:rFonts w:ascii="宋体" w:hAnsi="宋体" w:eastAsia="宋体" w:cs="Arial"/>
          <w:color w:val="000000"/>
          <w:sz w:val="24"/>
          <w:szCs w:val="24"/>
        </w:rPr>
      </w:pPr>
      <w:bookmarkStart w:id="20" w:name="_Ref255301522"/>
      <w:r>
        <w:rPr>
          <w:rFonts w:hint="eastAsia" w:ascii="宋体" w:hAnsi="宋体" w:eastAsia="宋体" w:cs="Arial"/>
          <w:color w:val="000000"/>
          <w:sz w:val="24"/>
          <w:szCs w:val="24"/>
        </w:rPr>
        <w:t xml:space="preserve"> </w:t>
      </w:r>
      <w:r>
        <w:rPr>
          <w:rFonts w:ascii="宋体" w:hAnsi="宋体" w:eastAsia="宋体" w:cs="Arial"/>
          <w:color w:val="000000"/>
          <w:sz w:val="24"/>
          <w:szCs w:val="24"/>
        </w:rPr>
        <w:t>提案经过充分讨论后，主持人应当适时提请与会董事对提案逐一分别进行表决。</w:t>
      </w:r>
      <w:bookmarkEnd w:id="20"/>
    </w:p>
    <w:p w14:paraId="034DBF67">
      <w:pPr>
        <w:pStyle w:val="8"/>
        <w:spacing w:before="156" w:beforeLines="50" w:after="156" w:afterLines="50" w:line="400" w:lineRule="exact"/>
        <w:rPr>
          <w:rFonts w:hint="eastAsia" w:eastAsia="宋体" w:cs="Arial"/>
          <w:u w:val="none"/>
        </w:rPr>
      </w:pPr>
      <w:r>
        <w:rPr>
          <w:rFonts w:eastAsia="宋体" w:cs="Arial"/>
          <w:u w:val="none"/>
        </w:rPr>
        <w:t>会议表决实行一人一票，以记名投票表决方式进行。</w:t>
      </w:r>
    </w:p>
    <w:p w14:paraId="2583EFBA">
      <w:pPr>
        <w:pStyle w:val="8"/>
        <w:spacing w:before="156" w:beforeLines="50" w:after="156" w:afterLines="50" w:line="400" w:lineRule="exact"/>
        <w:rPr>
          <w:rFonts w:eastAsia="宋体" w:cs="Arial"/>
          <w:u w:val="none"/>
        </w:rPr>
      </w:pPr>
      <w:r>
        <w:rPr>
          <w:rFonts w:hint="eastAsia" w:eastAsia="宋体" w:cs="Arial"/>
          <w:u w:val="none"/>
        </w:rPr>
        <w:t>对于公司以电子通信方式召开的临时董事会会议，应由董事会秘书于会前或会后制作表决票并提供给全体董事；董事应依照本规则的规定填写和送达表决票。各董事表决票上的记载与电子通信方式召开时所表达的意见及态度应一致，否则以表决票上的记载为准。</w:t>
      </w:r>
    </w:p>
    <w:p w14:paraId="2841C965">
      <w:pPr>
        <w:numPr>
          <w:ilvl w:val="0"/>
          <w:numId w:val="3"/>
        </w:numPr>
        <w:spacing w:before="156" w:beforeLines="50" w:after="156" w:afterLines="50" w:line="400" w:lineRule="exact"/>
        <w:rPr>
          <w:rFonts w:hint="eastAsia" w:ascii="宋体" w:hAnsi="宋体" w:eastAsia="宋体" w:cs="Arial"/>
          <w:color w:val="000000"/>
          <w:sz w:val="24"/>
          <w:szCs w:val="24"/>
        </w:rPr>
      </w:pPr>
      <w:r>
        <w:rPr>
          <w:rFonts w:hint="eastAsia" w:ascii="宋体" w:hAnsi="宋体" w:eastAsia="宋体" w:cs="Arial"/>
          <w:color w:val="000000"/>
          <w:sz w:val="24"/>
          <w:szCs w:val="24"/>
        </w:rPr>
        <w:t xml:space="preserve"> </w:t>
      </w:r>
      <w:r>
        <w:rPr>
          <w:rFonts w:ascii="宋体" w:hAnsi="宋体" w:eastAsia="宋体" w:cs="Arial"/>
          <w:color w:val="000000"/>
          <w:sz w:val="24"/>
          <w:szCs w:val="24"/>
        </w:rPr>
        <w:t>董事的表决意向分为同意、反对和弃权，与会董事应当从上述意向中选择其一，未做选择或者同时选择两个以上意向的，会议主持人应当要求有关董事重新选择，拒不选择的，视为弃权；中途离开会场不回而未做选择的</w:t>
      </w:r>
      <w:r>
        <w:rPr>
          <w:rFonts w:hint="eastAsia" w:ascii="宋体" w:hAnsi="宋体" w:eastAsia="宋体" w:cs="Arial"/>
          <w:color w:val="000000"/>
          <w:sz w:val="24"/>
          <w:szCs w:val="24"/>
        </w:rPr>
        <w:t>，视为弃权。以非现场会议形式召开会议时出现上述情形的，会议召集人或董事会秘书可要求相关董事在合理期限内重新选择，未在合理期限内重新选择的，视为弃权。</w:t>
      </w:r>
    </w:p>
    <w:p w14:paraId="726BDB90">
      <w:pPr>
        <w:numPr>
          <w:ilvl w:val="0"/>
          <w:numId w:val="3"/>
        </w:numPr>
        <w:spacing w:before="156" w:beforeLines="50" w:after="156" w:afterLines="50" w:line="400" w:lineRule="exact"/>
        <w:rPr>
          <w:rFonts w:hint="eastAsia" w:ascii="宋体" w:hAnsi="宋体" w:eastAsia="宋体" w:cs="Arial"/>
          <w:color w:val="000000"/>
          <w:sz w:val="24"/>
          <w:szCs w:val="24"/>
        </w:rPr>
      </w:pPr>
      <w:r>
        <w:rPr>
          <w:rFonts w:hint="eastAsia" w:ascii="宋体" w:hAnsi="宋体" w:eastAsia="宋体" w:cs="Arial"/>
          <w:color w:val="000000"/>
          <w:sz w:val="24"/>
          <w:szCs w:val="24"/>
        </w:rPr>
        <w:t xml:space="preserve"> </w:t>
      </w:r>
      <w:r>
        <w:rPr>
          <w:rFonts w:ascii="宋体" w:hAnsi="宋体" w:eastAsia="宋体" w:cs="Arial"/>
          <w:color w:val="000000"/>
          <w:sz w:val="24"/>
          <w:szCs w:val="24"/>
        </w:rPr>
        <w:t>与会董事表决完成后，有关工作人员应当及时收集董事的表决票，</w:t>
      </w:r>
      <w:r>
        <w:rPr>
          <w:rFonts w:ascii="宋体" w:hAnsi="宋体" w:eastAsia="宋体" w:cs="Arial"/>
          <w:kern w:val="0"/>
          <w:sz w:val="24"/>
        </w:rPr>
        <w:t>交董事会秘书在独立董事的监督下进行统计</w:t>
      </w:r>
      <w:r>
        <w:rPr>
          <w:rFonts w:ascii="宋体" w:hAnsi="宋体" w:eastAsia="宋体" w:cs="Arial"/>
          <w:color w:val="000000"/>
          <w:sz w:val="24"/>
          <w:szCs w:val="24"/>
        </w:rPr>
        <w:t>。</w:t>
      </w:r>
    </w:p>
    <w:p w14:paraId="2D3E54A2">
      <w:pPr>
        <w:numPr>
          <w:ilvl w:val="0"/>
          <w:numId w:val="3"/>
        </w:numPr>
        <w:spacing w:before="156" w:beforeLines="50" w:after="156" w:afterLines="50" w:line="400" w:lineRule="exact"/>
        <w:rPr>
          <w:rFonts w:hint="eastAsia" w:ascii="宋体" w:hAnsi="宋体" w:eastAsia="宋体" w:cs="Arial"/>
          <w:color w:val="000000"/>
          <w:sz w:val="24"/>
          <w:szCs w:val="24"/>
        </w:rPr>
      </w:pPr>
      <w:r>
        <w:rPr>
          <w:rFonts w:hint="eastAsia" w:ascii="宋体" w:hAnsi="宋体" w:eastAsia="宋体" w:cs="Arial"/>
          <w:color w:val="000000"/>
          <w:sz w:val="24"/>
          <w:szCs w:val="24"/>
        </w:rPr>
        <w:t>以电子通信方式召开会议时，经董事签署的表决票，应当在董事会会议通知中指定的截止期限之前以邮件、传真或专人等形式送达公司董事会秘书，送达的上述文件非为原件时，应尽快将原件送达公司归档。</w:t>
      </w:r>
    </w:p>
    <w:p w14:paraId="7EAD3360">
      <w:pPr>
        <w:numPr>
          <w:ilvl w:val="0"/>
          <w:numId w:val="3"/>
        </w:numPr>
        <w:spacing w:before="156" w:beforeLines="50" w:after="156" w:afterLines="50" w:line="400" w:lineRule="exact"/>
        <w:rPr>
          <w:rFonts w:hint="eastAsia" w:ascii="宋体" w:hAnsi="宋体" w:eastAsia="宋体" w:cs="Arial"/>
          <w:color w:val="000000"/>
          <w:sz w:val="24"/>
          <w:szCs w:val="24"/>
        </w:rPr>
      </w:pPr>
      <w:r>
        <w:rPr>
          <w:rFonts w:hint="eastAsia" w:ascii="宋体" w:hAnsi="宋体" w:eastAsia="宋体" w:cs="Arial"/>
          <w:color w:val="000000"/>
          <w:sz w:val="24"/>
          <w:szCs w:val="24"/>
        </w:rPr>
        <w:t>董事会会议以传签书面决议方式召开时，应将决议的草稿及与之相关的议案、说明性文件及其他相关文件资料以专人送达、邮寄、传真中之一种方式依次送交每一位董事。如果在董事会决议草案上签字同意的董事已达到作出决议的法定人数，并以本条上述方式送交董事长或其他负责召集董事会会议的董事后，该决议草稿即成为董事会决议，毋须再召开董事会会议。</w:t>
      </w:r>
    </w:p>
    <w:p w14:paraId="27311CD2">
      <w:pPr>
        <w:pStyle w:val="8"/>
        <w:spacing w:before="156" w:beforeLines="50" w:after="156" w:afterLines="50" w:line="400" w:lineRule="exact"/>
        <w:rPr>
          <w:rFonts w:hint="eastAsia" w:eastAsia="宋体" w:cs="Arial"/>
          <w:u w:val="none"/>
        </w:rPr>
      </w:pPr>
      <w:r>
        <w:rPr>
          <w:rFonts w:hint="eastAsia" w:eastAsia="宋体" w:cs="Arial"/>
          <w:u w:val="none"/>
        </w:rPr>
        <w:t>在经传签书面决议方式表决并作出决议后，董事长或其他负责召集董事会会议的董事应及时将决议以书面方式通知全体董事。</w:t>
      </w:r>
    </w:p>
    <w:p w14:paraId="10A2D50C">
      <w:pPr>
        <w:numPr>
          <w:ilvl w:val="0"/>
          <w:numId w:val="3"/>
        </w:numPr>
        <w:spacing w:before="156" w:beforeLines="50" w:after="156" w:afterLines="50" w:line="400" w:lineRule="exact"/>
        <w:rPr>
          <w:rFonts w:ascii="宋体" w:hAnsi="宋体" w:eastAsia="宋体" w:cs="Arial"/>
          <w:color w:val="000000"/>
          <w:sz w:val="24"/>
          <w:szCs w:val="24"/>
        </w:rPr>
      </w:pPr>
      <w:r>
        <w:rPr>
          <w:rFonts w:ascii="宋体" w:hAnsi="宋体" w:eastAsia="宋体" w:cs="Arial"/>
          <w:color w:val="000000"/>
          <w:sz w:val="24"/>
          <w:szCs w:val="24"/>
        </w:rPr>
        <w:t>现场召开会议的，会议主持人应当当场宣布统计结果；其他情况下，会议主持人应当要求董事会秘书在规定的表决时限结束后，通知董事表决结果。</w:t>
      </w:r>
    </w:p>
    <w:p w14:paraId="21EE9890">
      <w:pPr>
        <w:spacing w:before="156" w:beforeLines="50" w:after="156" w:afterLines="50" w:line="400" w:lineRule="exact"/>
        <w:ind w:firstLine="480" w:firstLineChars="200"/>
        <w:rPr>
          <w:rFonts w:ascii="宋体" w:hAnsi="宋体" w:eastAsia="宋体" w:cs="Arial"/>
          <w:color w:val="000000"/>
          <w:sz w:val="24"/>
          <w:szCs w:val="24"/>
        </w:rPr>
      </w:pPr>
      <w:r>
        <w:rPr>
          <w:rFonts w:ascii="宋体" w:hAnsi="宋体" w:eastAsia="宋体" w:cs="Arial"/>
          <w:color w:val="000000"/>
          <w:sz w:val="24"/>
          <w:szCs w:val="24"/>
        </w:rPr>
        <w:t>董事在会议主持人宣布表决结果后或者规定的表决时限结束后进行表决的，其表决情况不予统计。</w:t>
      </w:r>
    </w:p>
    <w:p w14:paraId="3B42FF9B">
      <w:pPr>
        <w:numPr>
          <w:ilvl w:val="0"/>
          <w:numId w:val="3"/>
        </w:numPr>
        <w:spacing w:before="156" w:beforeLines="50" w:after="156" w:afterLines="50" w:line="400" w:lineRule="exact"/>
        <w:rPr>
          <w:rFonts w:ascii="宋体" w:hAnsi="宋体" w:eastAsia="宋体" w:cs="Arial"/>
          <w:color w:val="000000"/>
          <w:sz w:val="24"/>
          <w:szCs w:val="24"/>
        </w:rPr>
      </w:pPr>
      <w:r>
        <w:rPr>
          <w:rFonts w:hint="eastAsia" w:ascii="宋体" w:hAnsi="宋体" w:eastAsia="宋体" w:cs="Arial"/>
          <w:color w:val="000000"/>
          <w:sz w:val="24"/>
          <w:szCs w:val="24"/>
        </w:rPr>
        <w:t xml:space="preserve"> </w:t>
      </w:r>
      <w:r>
        <w:rPr>
          <w:rFonts w:ascii="宋体" w:hAnsi="宋体" w:eastAsia="宋体" w:cs="Arial"/>
          <w:color w:val="000000"/>
          <w:sz w:val="24"/>
          <w:szCs w:val="24"/>
        </w:rPr>
        <w:t>董事会审议通过会议提案并形成相关决议，必须有公司全体董事人数过半数的董事对该提案投赞成票。</w:t>
      </w:r>
    </w:p>
    <w:p w14:paraId="0B1C3097">
      <w:pPr>
        <w:spacing w:before="156" w:beforeLines="50" w:after="156" w:afterLines="50" w:line="400" w:lineRule="exact"/>
        <w:ind w:firstLine="480" w:firstLineChars="200"/>
        <w:rPr>
          <w:rFonts w:ascii="宋体" w:hAnsi="宋体" w:eastAsia="宋体" w:cs="Arial"/>
          <w:color w:val="000000"/>
          <w:sz w:val="24"/>
          <w:szCs w:val="24"/>
        </w:rPr>
      </w:pPr>
      <w:r>
        <w:rPr>
          <w:rFonts w:ascii="宋体" w:hAnsi="宋体" w:eastAsia="宋体" w:cs="Arial"/>
          <w:color w:val="000000"/>
          <w:sz w:val="24"/>
          <w:szCs w:val="24"/>
        </w:rPr>
        <w:t>董事会根据《公司章程》的规定，在其权限范围内对</w:t>
      </w:r>
      <w:r>
        <w:rPr>
          <w:rFonts w:hint="eastAsia" w:ascii="宋体" w:hAnsi="宋体" w:eastAsia="宋体" w:cs="Arial"/>
          <w:color w:val="000000"/>
          <w:sz w:val="24"/>
          <w:szCs w:val="24"/>
        </w:rPr>
        <w:t>对外</w:t>
      </w:r>
      <w:r>
        <w:rPr>
          <w:rFonts w:ascii="宋体" w:hAnsi="宋体" w:eastAsia="宋体" w:cs="Arial"/>
          <w:color w:val="000000"/>
          <w:sz w:val="24"/>
          <w:szCs w:val="24"/>
        </w:rPr>
        <w:t>担保事项作出决议，除需取得公司全体董事过半数同意外，还必须经出席会议的</w:t>
      </w:r>
      <w:r>
        <w:rPr>
          <w:rFonts w:hint="eastAsia" w:ascii="宋体" w:hAnsi="宋体" w:eastAsia="宋体" w:cs="Arial"/>
          <w:color w:val="000000"/>
          <w:sz w:val="24"/>
          <w:szCs w:val="24"/>
        </w:rPr>
        <w:t>三分之二</w:t>
      </w:r>
      <w:r>
        <w:rPr>
          <w:rFonts w:ascii="宋体" w:hAnsi="宋体" w:eastAsia="宋体" w:cs="Arial"/>
          <w:color w:val="000000"/>
          <w:sz w:val="24"/>
          <w:szCs w:val="24"/>
        </w:rPr>
        <w:t>以上董事的同意</w:t>
      </w:r>
      <w:r>
        <w:rPr>
          <w:rFonts w:hint="eastAsia" w:ascii="宋体" w:hAnsi="宋体" w:eastAsia="宋体" w:cs="Arial"/>
          <w:sz w:val="24"/>
        </w:rPr>
        <w:t>。</w:t>
      </w:r>
    </w:p>
    <w:p w14:paraId="6E5702CA">
      <w:pPr>
        <w:spacing w:before="156" w:beforeLines="50" w:after="156" w:afterLines="50" w:line="400" w:lineRule="exact"/>
        <w:ind w:firstLine="480" w:firstLineChars="200"/>
        <w:rPr>
          <w:rFonts w:ascii="宋体" w:hAnsi="宋体" w:eastAsia="宋体" w:cs="Arial"/>
          <w:color w:val="000000"/>
          <w:sz w:val="24"/>
          <w:szCs w:val="24"/>
        </w:rPr>
      </w:pPr>
      <w:r>
        <w:rPr>
          <w:rFonts w:ascii="宋体" w:hAnsi="宋体" w:eastAsia="宋体" w:cs="Arial"/>
          <w:color w:val="000000"/>
          <w:sz w:val="24"/>
          <w:szCs w:val="24"/>
        </w:rPr>
        <w:t>不同决议在内容和含义上出现矛盾的，以形成时间在后的决议为准。</w:t>
      </w:r>
    </w:p>
    <w:p w14:paraId="15883530">
      <w:pPr>
        <w:numPr>
          <w:ilvl w:val="0"/>
          <w:numId w:val="3"/>
        </w:numPr>
        <w:spacing w:before="156" w:beforeLines="50" w:after="156" w:afterLines="50" w:line="400" w:lineRule="exact"/>
        <w:rPr>
          <w:rFonts w:ascii="宋体" w:hAnsi="宋体" w:eastAsia="宋体" w:cs="Arial"/>
          <w:color w:val="000000"/>
          <w:sz w:val="24"/>
          <w:szCs w:val="24"/>
        </w:rPr>
      </w:pPr>
      <w:bookmarkStart w:id="21" w:name="_Ref225830469"/>
      <w:r>
        <w:rPr>
          <w:rFonts w:hint="eastAsia" w:ascii="宋体" w:hAnsi="宋体" w:eastAsia="宋体" w:cs="Arial"/>
          <w:color w:val="000000"/>
          <w:sz w:val="24"/>
          <w:szCs w:val="24"/>
        </w:rPr>
        <w:t xml:space="preserve"> </w:t>
      </w:r>
      <w:r>
        <w:rPr>
          <w:rFonts w:ascii="宋体" w:hAnsi="宋体" w:eastAsia="宋体" w:cs="Arial"/>
          <w:color w:val="000000"/>
          <w:sz w:val="24"/>
          <w:szCs w:val="24"/>
        </w:rPr>
        <w:t>就拟表决事项具有以下关联关系的董事，应当对有关提案回避表决：</w:t>
      </w:r>
      <w:bookmarkEnd w:id="21"/>
    </w:p>
    <w:p w14:paraId="1FB45B8B">
      <w:pPr>
        <w:numPr>
          <w:ilvl w:val="0"/>
          <w:numId w:val="6"/>
        </w:numPr>
        <w:spacing w:before="156" w:beforeLines="50" w:after="156" w:afterLines="50" w:line="400" w:lineRule="exact"/>
        <w:ind w:firstLine="480" w:firstLineChars="200"/>
        <w:rPr>
          <w:rFonts w:ascii="宋体" w:hAnsi="宋体" w:eastAsia="宋体" w:cs="Arial"/>
          <w:sz w:val="24"/>
          <w:szCs w:val="24"/>
        </w:rPr>
      </w:pPr>
      <w:r>
        <w:rPr>
          <w:rFonts w:ascii="宋体" w:hAnsi="宋体" w:eastAsia="宋体" w:cs="Arial"/>
          <w:sz w:val="24"/>
          <w:szCs w:val="24"/>
        </w:rPr>
        <w:t>交易对方；</w:t>
      </w:r>
    </w:p>
    <w:p w14:paraId="2B45ED7B">
      <w:pPr>
        <w:numPr>
          <w:ilvl w:val="0"/>
          <w:numId w:val="6"/>
        </w:numPr>
        <w:spacing w:before="156" w:beforeLines="50" w:after="156" w:afterLines="50" w:line="400" w:lineRule="exact"/>
        <w:ind w:firstLine="480" w:firstLineChars="200"/>
        <w:rPr>
          <w:rFonts w:ascii="宋体" w:hAnsi="宋体" w:eastAsia="宋体" w:cs="Arial"/>
          <w:sz w:val="24"/>
          <w:szCs w:val="24"/>
        </w:rPr>
      </w:pPr>
      <w:r>
        <w:rPr>
          <w:rFonts w:ascii="宋体" w:hAnsi="宋体" w:eastAsia="宋体" w:cs="Arial"/>
          <w:sz w:val="24"/>
          <w:szCs w:val="24"/>
        </w:rPr>
        <w:t>在交易对方任职，或</w:t>
      </w:r>
      <w:r>
        <w:rPr>
          <w:rFonts w:hint="eastAsia" w:ascii="宋体" w:hAnsi="宋体" w:eastAsia="宋体" w:cs="Arial"/>
          <w:sz w:val="24"/>
          <w:szCs w:val="24"/>
        </w:rPr>
        <w:t>者</w:t>
      </w:r>
      <w:r>
        <w:rPr>
          <w:rFonts w:ascii="宋体" w:hAnsi="宋体" w:eastAsia="宋体" w:cs="Arial"/>
          <w:sz w:val="24"/>
          <w:szCs w:val="24"/>
        </w:rPr>
        <w:t>在能直接或</w:t>
      </w:r>
      <w:r>
        <w:rPr>
          <w:rFonts w:hint="eastAsia" w:ascii="宋体" w:hAnsi="宋体" w:eastAsia="宋体" w:cs="Arial"/>
          <w:sz w:val="24"/>
          <w:szCs w:val="24"/>
        </w:rPr>
        <w:t>者</w:t>
      </w:r>
      <w:r>
        <w:rPr>
          <w:rFonts w:ascii="宋体" w:hAnsi="宋体" w:eastAsia="宋体" w:cs="Arial"/>
          <w:sz w:val="24"/>
          <w:szCs w:val="24"/>
        </w:rPr>
        <w:t>间接控制该交易对方的法人</w:t>
      </w:r>
      <w:r>
        <w:rPr>
          <w:rFonts w:hint="eastAsia" w:ascii="宋体" w:hAnsi="宋体" w:eastAsia="宋体" w:cs="Arial"/>
          <w:sz w:val="24"/>
          <w:szCs w:val="24"/>
        </w:rPr>
        <w:t>（</w:t>
      </w:r>
      <w:r>
        <w:rPr>
          <w:rFonts w:ascii="宋体" w:hAnsi="宋体" w:eastAsia="宋体" w:cs="Arial"/>
          <w:sz w:val="24"/>
          <w:szCs w:val="24"/>
        </w:rPr>
        <w:t>或</w:t>
      </w:r>
      <w:r>
        <w:rPr>
          <w:rFonts w:hint="eastAsia" w:ascii="宋体" w:hAnsi="宋体" w:eastAsia="宋体" w:cs="Arial"/>
          <w:sz w:val="24"/>
          <w:szCs w:val="24"/>
        </w:rPr>
        <w:t>者</w:t>
      </w:r>
      <w:r>
        <w:rPr>
          <w:rFonts w:ascii="宋体" w:hAnsi="宋体" w:eastAsia="宋体" w:cs="Arial"/>
          <w:sz w:val="24"/>
          <w:szCs w:val="24"/>
        </w:rPr>
        <w:t>其他组织</w:t>
      </w:r>
      <w:r>
        <w:rPr>
          <w:rFonts w:hint="eastAsia" w:ascii="宋体" w:hAnsi="宋体" w:eastAsia="宋体" w:cs="Arial"/>
          <w:sz w:val="24"/>
          <w:szCs w:val="24"/>
        </w:rPr>
        <w:t>）</w:t>
      </w:r>
      <w:r>
        <w:rPr>
          <w:rFonts w:ascii="宋体" w:hAnsi="宋体" w:eastAsia="宋体" w:cs="Arial"/>
          <w:sz w:val="24"/>
          <w:szCs w:val="24"/>
        </w:rPr>
        <w:t>、该交易对方能直接或</w:t>
      </w:r>
      <w:r>
        <w:rPr>
          <w:rFonts w:hint="eastAsia" w:ascii="宋体" w:hAnsi="宋体" w:eastAsia="宋体" w:cs="Arial"/>
          <w:sz w:val="24"/>
          <w:szCs w:val="24"/>
        </w:rPr>
        <w:t>者</w:t>
      </w:r>
      <w:r>
        <w:rPr>
          <w:rFonts w:ascii="宋体" w:hAnsi="宋体" w:eastAsia="宋体" w:cs="Arial"/>
          <w:sz w:val="24"/>
          <w:szCs w:val="24"/>
        </w:rPr>
        <w:t>间接控制的法人</w:t>
      </w:r>
      <w:r>
        <w:rPr>
          <w:rFonts w:hint="eastAsia" w:ascii="宋体" w:hAnsi="宋体" w:eastAsia="宋体" w:cs="Arial"/>
          <w:sz w:val="24"/>
          <w:szCs w:val="24"/>
        </w:rPr>
        <w:t>（</w:t>
      </w:r>
      <w:r>
        <w:rPr>
          <w:rFonts w:ascii="宋体" w:hAnsi="宋体" w:eastAsia="宋体" w:cs="Arial"/>
          <w:sz w:val="24"/>
          <w:szCs w:val="24"/>
        </w:rPr>
        <w:t>或</w:t>
      </w:r>
      <w:r>
        <w:rPr>
          <w:rFonts w:hint="eastAsia" w:ascii="宋体" w:hAnsi="宋体" w:eastAsia="宋体" w:cs="Arial"/>
          <w:sz w:val="24"/>
          <w:szCs w:val="24"/>
        </w:rPr>
        <w:t>者</w:t>
      </w:r>
      <w:r>
        <w:rPr>
          <w:rFonts w:ascii="宋体" w:hAnsi="宋体" w:eastAsia="宋体" w:cs="Arial"/>
          <w:sz w:val="24"/>
          <w:szCs w:val="24"/>
        </w:rPr>
        <w:t>其他组织</w:t>
      </w:r>
      <w:r>
        <w:rPr>
          <w:rFonts w:hint="eastAsia" w:ascii="宋体" w:hAnsi="宋体" w:eastAsia="宋体" w:cs="Arial"/>
          <w:sz w:val="24"/>
          <w:szCs w:val="24"/>
        </w:rPr>
        <w:t>）</w:t>
      </w:r>
      <w:r>
        <w:rPr>
          <w:rFonts w:ascii="宋体" w:hAnsi="宋体" w:eastAsia="宋体" w:cs="Arial"/>
          <w:sz w:val="24"/>
          <w:szCs w:val="24"/>
        </w:rPr>
        <w:t>任职</w:t>
      </w:r>
      <w:r>
        <w:rPr>
          <w:rFonts w:hint="eastAsia" w:ascii="宋体" w:hAnsi="宋体" w:eastAsia="宋体" w:cs="Arial"/>
          <w:sz w:val="24"/>
          <w:szCs w:val="24"/>
        </w:rPr>
        <w:t>；</w:t>
      </w:r>
    </w:p>
    <w:p w14:paraId="399DD14B">
      <w:pPr>
        <w:numPr>
          <w:ilvl w:val="0"/>
          <w:numId w:val="6"/>
        </w:numPr>
        <w:spacing w:before="156" w:beforeLines="50" w:after="156" w:afterLines="50" w:line="400" w:lineRule="exact"/>
        <w:ind w:firstLine="480" w:firstLineChars="200"/>
        <w:rPr>
          <w:rFonts w:ascii="宋体" w:hAnsi="宋体" w:eastAsia="宋体" w:cs="Arial"/>
          <w:sz w:val="24"/>
          <w:szCs w:val="24"/>
        </w:rPr>
      </w:pPr>
      <w:r>
        <w:rPr>
          <w:rFonts w:ascii="宋体" w:hAnsi="宋体" w:eastAsia="宋体" w:cs="Arial"/>
          <w:sz w:val="24"/>
          <w:szCs w:val="24"/>
        </w:rPr>
        <w:t>拥有交易对方的直接或</w:t>
      </w:r>
      <w:r>
        <w:rPr>
          <w:rFonts w:hint="eastAsia" w:ascii="宋体" w:hAnsi="宋体" w:eastAsia="宋体" w:cs="Arial"/>
          <w:sz w:val="24"/>
          <w:szCs w:val="24"/>
        </w:rPr>
        <w:t>者</w:t>
      </w:r>
      <w:r>
        <w:rPr>
          <w:rFonts w:ascii="宋体" w:hAnsi="宋体" w:eastAsia="宋体" w:cs="Arial"/>
          <w:sz w:val="24"/>
          <w:szCs w:val="24"/>
        </w:rPr>
        <w:t>间接控制权的；</w:t>
      </w:r>
    </w:p>
    <w:p w14:paraId="55638E80">
      <w:pPr>
        <w:numPr>
          <w:ilvl w:val="0"/>
          <w:numId w:val="6"/>
        </w:numPr>
        <w:spacing w:before="156" w:beforeLines="50" w:after="156" w:afterLines="50" w:line="400" w:lineRule="exact"/>
        <w:ind w:firstLine="480" w:firstLineChars="200"/>
        <w:rPr>
          <w:rFonts w:ascii="宋体" w:hAnsi="宋体" w:eastAsia="宋体" w:cs="Arial"/>
          <w:sz w:val="24"/>
          <w:szCs w:val="24"/>
        </w:rPr>
      </w:pPr>
      <w:r>
        <w:rPr>
          <w:rFonts w:ascii="宋体" w:hAnsi="宋体" w:eastAsia="宋体" w:cs="Arial"/>
          <w:color w:val="000000"/>
          <w:sz w:val="24"/>
          <w:szCs w:val="24"/>
        </w:rPr>
        <w:t>交易</w:t>
      </w:r>
      <w:r>
        <w:rPr>
          <w:rFonts w:ascii="宋体" w:hAnsi="宋体" w:eastAsia="宋体" w:cs="Arial"/>
          <w:sz w:val="24"/>
          <w:szCs w:val="24"/>
        </w:rPr>
        <w:t>对方或者其直接</w:t>
      </w:r>
      <w:r>
        <w:rPr>
          <w:rFonts w:hint="eastAsia" w:ascii="宋体" w:hAnsi="宋体" w:eastAsia="宋体" w:cs="Arial"/>
          <w:sz w:val="24"/>
          <w:szCs w:val="24"/>
        </w:rPr>
        <w:t>、</w:t>
      </w:r>
      <w:r>
        <w:rPr>
          <w:rFonts w:ascii="宋体" w:hAnsi="宋体" w:eastAsia="宋体" w:cs="Arial"/>
          <w:sz w:val="24"/>
          <w:szCs w:val="24"/>
        </w:rPr>
        <w:t>间接控制人的关系密切的家庭成员；</w:t>
      </w:r>
    </w:p>
    <w:p w14:paraId="43ED0147">
      <w:pPr>
        <w:numPr>
          <w:ilvl w:val="0"/>
          <w:numId w:val="6"/>
        </w:numPr>
        <w:spacing w:before="156" w:beforeLines="50" w:after="156" w:afterLines="50" w:line="400" w:lineRule="exact"/>
        <w:ind w:firstLine="480" w:firstLineChars="200"/>
        <w:rPr>
          <w:rFonts w:ascii="宋体" w:hAnsi="宋体" w:eastAsia="宋体" w:cs="Arial"/>
          <w:sz w:val="24"/>
          <w:szCs w:val="24"/>
        </w:rPr>
      </w:pPr>
      <w:r>
        <w:rPr>
          <w:rFonts w:ascii="宋体" w:hAnsi="宋体" w:eastAsia="宋体" w:cs="Arial"/>
          <w:color w:val="000000"/>
          <w:sz w:val="24"/>
          <w:szCs w:val="24"/>
        </w:rPr>
        <w:t>交易</w:t>
      </w:r>
      <w:r>
        <w:rPr>
          <w:rFonts w:ascii="宋体" w:hAnsi="宋体" w:eastAsia="宋体" w:cs="Arial"/>
          <w:sz w:val="24"/>
          <w:szCs w:val="24"/>
        </w:rPr>
        <w:t>对方或者其直接</w:t>
      </w:r>
      <w:r>
        <w:rPr>
          <w:rFonts w:hint="eastAsia" w:ascii="宋体" w:hAnsi="宋体" w:eastAsia="宋体" w:cs="Arial"/>
          <w:sz w:val="24"/>
          <w:szCs w:val="24"/>
        </w:rPr>
        <w:t>、</w:t>
      </w:r>
      <w:r>
        <w:rPr>
          <w:rFonts w:ascii="宋体" w:hAnsi="宋体" w:eastAsia="宋体" w:cs="Arial"/>
          <w:sz w:val="24"/>
          <w:szCs w:val="24"/>
        </w:rPr>
        <w:t>间接控制人的董事、监事和高级管理人员的关系密切的家庭成员；</w:t>
      </w:r>
    </w:p>
    <w:p w14:paraId="50AAC8B8">
      <w:pPr>
        <w:numPr>
          <w:ilvl w:val="0"/>
          <w:numId w:val="6"/>
        </w:numPr>
        <w:spacing w:before="156" w:beforeLines="50" w:after="156" w:afterLines="50" w:line="400" w:lineRule="exact"/>
        <w:ind w:firstLine="480" w:firstLineChars="200"/>
        <w:rPr>
          <w:rFonts w:ascii="宋体" w:hAnsi="宋体" w:eastAsia="宋体" w:cs="Arial"/>
          <w:szCs w:val="21"/>
        </w:rPr>
      </w:pPr>
      <w:r>
        <w:rPr>
          <w:rFonts w:hint="eastAsia" w:ascii="宋体" w:hAnsi="宋体" w:eastAsia="宋体" w:cs="Arial"/>
          <w:color w:val="000000"/>
          <w:sz w:val="24"/>
          <w:szCs w:val="24"/>
        </w:rPr>
        <w:t>中国证监会、证券交易所或者</w:t>
      </w:r>
      <w:r>
        <w:rPr>
          <w:rFonts w:ascii="宋体" w:hAnsi="宋体" w:eastAsia="宋体" w:cs="Arial"/>
          <w:color w:val="000000"/>
          <w:sz w:val="24"/>
          <w:szCs w:val="24"/>
        </w:rPr>
        <w:t>公司</w:t>
      </w:r>
      <w:r>
        <w:rPr>
          <w:rFonts w:ascii="宋体" w:hAnsi="宋体" w:eastAsia="宋体" w:cs="Arial"/>
          <w:sz w:val="24"/>
          <w:szCs w:val="24"/>
        </w:rPr>
        <w:t>认定的因其他原因使其独立的商业判断可能受到影响的</w:t>
      </w:r>
      <w:r>
        <w:rPr>
          <w:rFonts w:hint="eastAsia" w:ascii="宋体" w:hAnsi="宋体" w:eastAsia="宋体" w:cs="Arial"/>
          <w:sz w:val="24"/>
          <w:szCs w:val="24"/>
        </w:rPr>
        <w:t>董事</w:t>
      </w:r>
      <w:r>
        <w:rPr>
          <w:rFonts w:ascii="宋体" w:hAnsi="宋体" w:eastAsia="宋体" w:cs="Arial"/>
          <w:sz w:val="24"/>
          <w:szCs w:val="24"/>
        </w:rPr>
        <w:t>。</w:t>
      </w:r>
    </w:p>
    <w:p w14:paraId="67F3440E">
      <w:pPr>
        <w:spacing w:before="156" w:beforeLines="50" w:after="156" w:afterLines="50" w:line="480" w:lineRule="exact"/>
        <w:ind w:firstLine="480" w:firstLineChars="200"/>
        <w:rPr>
          <w:rFonts w:ascii="宋体" w:hAnsi="宋体" w:eastAsia="宋体" w:cs="Arial"/>
          <w:color w:val="000000"/>
          <w:sz w:val="24"/>
          <w:szCs w:val="24"/>
        </w:rPr>
      </w:pPr>
      <w:r>
        <w:rPr>
          <w:rFonts w:ascii="宋体" w:hAnsi="宋体" w:eastAsia="宋体" w:cs="Arial"/>
          <w:sz w:val="24"/>
        </w:rPr>
        <w:t>董事与董事会会议决议事项所涉及的企业</w:t>
      </w:r>
      <w:r>
        <w:rPr>
          <w:rFonts w:hint="eastAsia" w:ascii="宋体" w:hAnsi="宋体" w:eastAsia="宋体" w:cs="Arial"/>
          <w:sz w:val="24"/>
        </w:rPr>
        <w:t>或者个人</w:t>
      </w:r>
      <w:r>
        <w:rPr>
          <w:rFonts w:ascii="宋体" w:hAnsi="宋体" w:eastAsia="宋体" w:cs="Arial"/>
          <w:sz w:val="24"/>
        </w:rPr>
        <w:t>有关联关系的，</w:t>
      </w:r>
      <w:r>
        <w:rPr>
          <w:rFonts w:hint="eastAsia" w:ascii="宋体" w:hAnsi="宋体" w:eastAsia="宋体" w:cs="Arial"/>
          <w:sz w:val="24"/>
        </w:rPr>
        <w:t>该董事应当及时向董事会书面报告。有关联关系的董事</w:t>
      </w:r>
      <w:r>
        <w:rPr>
          <w:rFonts w:ascii="宋体" w:hAnsi="宋体" w:eastAsia="宋体" w:cs="Arial"/>
          <w:sz w:val="24"/>
        </w:rPr>
        <w:t>不得对该项决议行使表决权，也不得代理其他董事行使表决权。</w:t>
      </w:r>
      <w:r>
        <w:rPr>
          <w:rFonts w:ascii="宋体" w:hAnsi="宋体" w:eastAsia="宋体" w:cs="Arial"/>
          <w:color w:val="000000"/>
          <w:sz w:val="24"/>
          <w:szCs w:val="24"/>
        </w:rPr>
        <w:t>在董事回避表决的情况下，有关董事会会议由过半数的无关联关系董事出席即可举行，形成决议须经无关联关系董事过半数通过，</w:t>
      </w:r>
      <w:r>
        <w:rPr>
          <w:rFonts w:ascii="宋体" w:hAnsi="宋体" w:eastAsia="宋体" w:cs="Arial"/>
          <w:kern w:val="0"/>
          <w:sz w:val="24"/>
        </w:rPr>
        <w:t>其中对外担保事项须经</w:t>
      </w:r>
      <w:r>
        <w:rPr>
          <w:rFonts w:ascii="宋体" w:hAnsi="宋体" w:eastAsia="宋体" w:cs="Arial"/>
          <w:color w:val="000000"/>
          <w:sz w:val="24"/>
          <w:szCs w:val="24"/>
        </w:rPr>
        <w:t>出席会议</w:t>
      </w:r>
      <w:r>
        <w:rPr>
          <w:rFonts w:hint="eastAsia" w:ascii="宋体" w:hAnsi="宋体" w:eastAsia="宋体" w:cs="Arial"/>
          <w:color w:val="000000"/>
          <w:sz w:val="24"/>
          <w:szCs w:val="24"/>
        </w:rPr>
        <w:t>的</w:t>
      </w:r>
      <w:r>
        <w:rPr>
          <w:rFonts w:ascii="宋体" w:hAnsi="宋体" w:eastAsia="宋体" w:cs="Arial"/>
          <w:kern w:val="0"/>
          <w:sz w:val="24"/>
        </w:rPr>
        <w:t>无关联关系董事三分之二以上通过</w:t>
      </w:r>
      <w:r>
        <w:rPr>
          <w:rFonts w:ascii="宋体" w:hAnsi="宋体" w:eastAsia="宋体" w:cs="Arial"/>
          <w:color w:val="000000"/>
          <w:sz w:val="24"/>
          <w:szCs w:val="24"/>
        </w:rPr>
        <w:t>。出席</w:t>
      </w:r>
      <w:r>
        <w:rPr>
          <w:rFonts w:hint="eastAsia" w:ascii="宋体" w:hAnsi="宋体" w:eastAsia="宋体" w:cs="Arial"/>
          <w:color w:val="000000"/>
          <w:sz w:val="24"/>
          <w:szCs w:val="24"/>
        </w:rPr>
        <w:t>董事会</w:t>
      </w:r>
      <w:r>
        <w:rPr>
          <w:rFonts w:ascii="宋体" w:hAnsi="宋体" w:eastAsia="宋体" w:cs="Arial"/>
          <w:color w:val="000000"/>
          <w:sz w:val="24"/>
          <w:szCs w:val="24"/>
        </w:rPr>
        <w:t>会议的无关联关系董事人数不足3人的，不得对有关提案进行表决，而应当将该事项提交股东会审议。</w:t>
      </w:r>
    </w:p>
    <w:p w14:paraId="7AC97FDD">
      <w:pPr>
        <w:numPr>
          <w:ilvl w:val="0"/>
          <w:numId w:val="3"/>
        </w:numPr>
        <w:spacing w:before="156" w:beforeLines="50" w:after="156" w:afterLines="50" w:line="400" w:lineRule="exact"/>
        <w:rPr>
          <w:rFonts w:ascii="宋体" w:hAnsi="宋体" w:eastAsia="宋体" w:cs="Arial"/>
          <w:color w:val="000000"/>
          <w:sz w:val="24"/>
          <w:szCs w:val="24"/>
        </w:rPr>
      </w:pPr>
      <w:r>
        <w:rPr>
          <w:rFonts w:ascii="宋体" w:hAnsi="宋体" w:eastAsia="宋体" w:cs="Arial"/>
          <w:color w:val="000000"/>
          <w:sz w:val="24"/>
          <w:szCs w:val="24"/>
        </w:rPr>
        <w:t>董事会应当严格按照股东会和《公司章程》的授权行事，不得越权形成决议。</w:t>
      </w:r>
    </w:p>
    <w:p w14:paraId="0DAD4D41">
      <w:pPr>
        <w:numPr>
          <w:ilvl w:val="0"/>
          <w:numId w:val="3"/>
        </w:numPr>
        <w:spacing w:before="156" w:beforeLines="50" w:after="156" w:afterLines="50" w:line="400" w:lineRule="exact"/>
        <w:rPr>
          <w:rFonts w:ascii="宋体" w:hAnsi="宋体" w:eastAsia="宋体" w:cs="Arial"/>
          <w:color w:val="000000"/>
          <w:sz w:val="24"/>
          <w:szCs w:val="24"/>
        </w:rPr>
      </w:pPr>
      <w:r>
        <w:rPr>
          <w:rFonts w:hint="eastAsia" w:ascii="宋体" w:hAnsi="宋体" w:eastAsia="宋体" w:cs="Arial"/>
          <w:color w:val="000000"/>
          <w:sz w:val="24"/>
          <w:szCs w:val="24"/>
        </w:rPr>
        <w:t xml:space="preserve"> </w:t>
      </w:r>
      <w:r>
        <w:rPr>
          <w:rFonts w:ascii="宋体" w:hAnsi="宋体" w:eastAsia="宋体" w:cs="Arial"/>
          <w:color w:val="000000"/>
          <w:sz w:val="24"/>
          <w:szCs w:val="24"/>
        </w:rPr>
        <w:t>现场召开和</w:t>
      </w:r>
      <w:r>
        <w:rPr>
          <w:rFonts w:hint="eastAsia" w:ascii="宋体" w:hAnsi="宋体" w:eastAsia="宋体" w:cs="Arial"/>
          <w:color w:val="000000"/>
          <w:sz w:val="24"/>
          <w:szCs w:val="24"/>
        </w:rPr>
        <w:t>以电子通信</w:t>
      </w:r>
      <w:r>
        <w:rPr>
          <w:rFonts w:ascii="宋体" w:hAnsi="宋体" w:eastAsia="宋体" w:cs="Arial"/>
          <w:color w:val="000000"/>
          <w:sz w:val="24"/>
          <w:szCs w:val="24"/>
        </w:rPr>
        <w:t>方式召开的董事会会议可以视需求进行全程录音。</w:t>
      </w:r>
    </w:p>
    <w:p w14:paraId="21810734">
      <w:pPr>
        <w:numPr>
          <w:ilvl w:val="0"/>
          <w:numId w:val="3"/>
        </w:numPr>
        <w:spacing w:before="156" w:beforeLines="50" w:after="156" w:afterLines="50" w:line="400" w:lineRule="exact"/>
        <w:rPr>
          <w:rFonts w:ascii="宋体" w:hAnsi="宋体" w:eastAsia="宋体" w:cs="Arial"/>
          <w:color w:val="000000"/>
          <w:sz w:val="24"/>
          <w:szCs w:val="24"/>
        </w:rPr>
      </w:pPr>
      <w:r>
        <w:rPr>
          <w:rFonts w:hint="eastAsia" w:ascii="宋体" w:hAnsi="宋体" w:eastAsia="宋体" w:cs="Arial"/>
          <w:color w:val="000000"/>
          <w:kern w:val="0"/>
          <w:sz w:val="24"/>
          <w:szCs w:val="24"/>
        </w:rPr>
        <w:t xml:space="preserve"> </w:t>
      </w:r>
      <w:r>
        <w:rPr>
          <w:rFonts w:ascii="宋体" w:hAnsi="宋体" w:eastAsia="宋体" w:cs="Arial"/>
          <w:color w:val="000000"/>
          <w:kern w:val="0"/>
          <w:sz w:val="24"/>
          <w:szCs w:val="24"/>
        </w:rPr>
        <w:t>董事会秘书应当对董事会会议做好记录。</w:t>
      </w:r>
      <w:r>
        <w:rPr>
          <w:rFonts w:ascii="宋体" w:hAnsi="宋体" w:eastAsia="宋体" w:cs="Arial"/>
          <w:color w:val="000000"/>
          <w:sz w:val="24"/>
          <w:szCs w:val="24"/>
        </w:rPr>
        <w:t>会议记录应当包括以下内容：</w:t>
      </w:r>
    </w:p>
    <w:p w14:paraId="26A33B5D">
      <w:pPr>
        <w:numPr>
          <w:ilvl w:val="0"/>
          <w:numId w:val="7"/>
        </w:numPr>
        <w:spacing w:before="156" w:beforeLines="50" w:after="156" w:afterLines="50" w:line="400" w:lineRule="exact"/>
        <w:ind w:firstLine="480" w:firstLineChars="200"/>
        <w:rPr>
          <w:rFonts w:ascii="宋体" w:hAnsi="宋体" w:eastAsia="宋体" w:cs="Arial"/>
          <w:color w:val="000000"/>
          <w:sz w:val="24"/>
          <w:szCs w:val="24"/>
        </w:rPr>
      </w:pPr>
      <w:r>
        <w:rPr>
          <w:rFonts w:ascii="宋体" w:hAnsi="宋体" w:eastAsia="宋体" w:cs="Arial"/>
          <w:color w:val="000000"/>
          <w:sz w:val="24"/>
          <w:szCs w:val="24"/>
        </w:rPr>
        <w:t>会议召开的日期、地点和召集人姓名；</w:t>
      </w:r>
    </w:p>
    <w:p w14:paraId="445E44BA">
      <w:pPr>
        <w:numPr>
          <w:ilvl w:val="0"/>
          <w:numId w:val="7"/>
        </w:numPr>
        <w:spacing w:before="156" w:beforeLines="50" w:after="156" w:afterLines="50" w:line="400" w:lineRule="exact"/>
        <w:ind w:firstLine="480" w:firstLineChars="200"/>
        <w:rPr>
          <w:rFonts w:ascii="宋体" w:hAnsi="宋体" w:eastAsia="宋体" w:cs="Arial"/>
          <w:color w:val="000000"/>
          <w:sz w:val="24"/>
          <w:szCs w:val="24"/>
        </w:rPr>
      </w:pPr>
      <w:r>
        <w:rPr>
          <w:rFonts w:ascii="宋体" w:hAnsi="宋体" w:eastAsia="宋体" w:cs="Arial"/>
          <w:color w:val="000000"/>
          <w:sz w:val="24"/>
          <w:szCs w:val="24"/>
        </w:rPr>
        <w:t>出席董事的姓名以及受他人委托出席董事会的董事（代理人）姓名；</w:t>
      </w:r>
    </w:p>
    <w:p w14:paraId="7B1968DB">
      <w:pPr>
        <w:numPr>
          <w:ilvl w:val="0"/>
          <w:numId w:val="7"/>
        </w:numPr>
        <w:spacing w:before="156" w:beforeLines="50" w:after="156" w:afterLines="50" w:line="400" w:lineRule="exact"/>
        <w:ind w:firstLine="480" w:firstLineChars="200"/>
        <w:rPr>
          <w:rFonts w:ascii="宋体" w:hAnsi="宋体" w:eastAsia="宋体" w:cs="Arial"/>
          <w:color w:val="000000"/>
          <w:sz w:val="24"/>
          <w:szCs w:val="24"/>
        </w:rPr>
      </w:pPr>
      <w:r>
        <w:rPr>
          <w:rFonts w:ascii="宋体" w:hAnsi="宋体" w:eastAsia="宋体" w:cs="Arial"/>
          <w:color w:val="000000"/>
          <w:sz w:val="24"/>
          <w:szCs w:val="24"/>
        </w:rPr>
        <w:t>会议议程；</w:t>
      </w:r>
    </w:p>
    <w:p w14:paraId="7EE1758F">
      <w:pPr>
        <w:numPr>
          <w:ilvl w:val="0"/>
          <w:numId w:val="7"/>
        </w:numPr>
        <w:spacing w:before="156" w:beforeLines="50" w:after="156" w:afterLines="50" w:line="400" w:lineRule="exact"/>
        <w:ind w:firstLine="480" w:firstLineChars="200"/>
        <w:rPr>
          <w:rFonts w:ascii="宋体" w:hAnsi="宋体" w:eastAsia="宋体" w:cs="Arial"/>
          <w:color w:val="000000"/>
          <w:sz w:val="24"/>
          <w:szCs w:val="24"/>
        </w:rPr>
      </w:pPr>
      <w:r>
        <w:rPr>
          <w:rFonts w:ascii="宋体" w:hAnsi="宋体" w:eastAsia="宋体" w:cs="Arial"/>
          <w:kern w:val="0"/>
          <w:sz w:val="24"/>
        </w:rPr>
        <w:t>董事</w:t>
      </w:r>
      <w:r>
        <w:rPr>
          <w:rFonts w:ascii="宋体" w:hAnsi="宋体" w:eastAsia="宋体" w:cs="Arial"/>
          <w:color w:val="000000"/>
          <w:sz w:val="24"/>
          <w:szCs w:val="24"/>
        </w:rPr>
        <w:t>发言</w:t>
      </w:r>
      <w:r>
        <w:rPr>
          <w:rFonts w:ascii="宋体" w:hAnsi="宋体" w:eastAsia="宋体" w:cs="Arial"/>
          <w:kern w:val="0"/>
          <w:sz w:val="24"/>
        </w:rPr>
        <w:t>要点</w:t>
      </w:r>
      <w:r>
        <w:rPr>
          <w:rFonts w:ascii="宋体" w:hAnsi="宋体" w:eastAsia="宋体" w:cs="Arial"/>
          <w:color w:val="000000"/>
          <w:sz w:val="24"/>
          <w:szCs w:val="24"/>
        </w:rPr>
        <w:t>；</w:t>
      </w:r>
    </w:p>
    <w:p w14:paraId="76EAD43F">
      <w:pPr>
        <w:numPr>
          <w:ilvl w:val="0"/>
          <w:numId w:val="7"/>
        </w:numPr>
        <w:spacing w:before="156" w:beforeLines="50" w:after="156" w:afterLines="50" w:line="400" w:lineRule="exact"/>
        <w:ind w:firstLine="480" w:firstLineChars="200"/>
        <w:rPr>
          <w:rFonts w:ascii="宋体" w:hAnsi="宋体" w:eastAsia="宋体" w:cs="Arial"/>
          <w:color w:val="000000"/>
          <w:sz w:val="24"/>
          <w:szCs w:val="24"/>
        </w:rPr>
      </w:pPr>
      <w:r>
        <w:rPr>
          <w:rFonts w:ascii="宋体" w:hAnsi="宋体" w:eastAsia="宋体" w:cs="Arial"/>
          <w:color w:val="000000"/>
          <w:sz w:val="24"/>
          <w:szCs w:val="24"/>
        </w:rPr>
        <w:t>每一决议事项的表决方式和结果（表决结果应载明赞成、反对或</w:t>
      </w:r>
      <w:r>
        <w:rPr>
          <w:rFonts w:hint="eastAsia" w:ascii="宋体" w:hAnsi="宋体" w:eastAsia="宋体" w:cs="Arial"/>
          <w:color w:val="000000"/>
          <w:sz w:val="24"/>
          <w:szCs w:val="24"/>
        </w:rPr>
        <w:t>者</w:t>
      </w:r>
      <w:r>
        <w:rPr>
          <w:rFonts w:ascii="宋体" w:hAnsi="宋体" w:eastAsia="宋体" w:cs="Arial"/>
          <w:color w:val="000000"/>
          <w:sz w:val="24"/>
          <w:szCs w:val="24"/>
        </w:rPr>
        <w:t>弃权的票数）</w:t>
      </w:r>
      <w:r>
        <w:rPr>
          <w:rFonts w:hint="eastAsia" w:ascii="宋体" w:hAnsi="宋体" w:eastAsia="宋体" w:cs="Arial"/>
          <w:color w:val="000000"/>
          <w:sz w:val="24"/>
          <w:szCs w:val="24"/>
        </w:rPr>
        <w:t>。</w:t>
      </w:r>
    </w:p>
    <w:p w14:paraId="7ED771B9">
      <w:pPr>
        <w:numPr>
          <w:ilvl w:val="0"/>
          <w:numId w:val="3"/>
        </w:numPr>
        <w:spacing w:before="156" w:beforeLines="50" w:after="156" w:afterLines="50" w:line="400" w:lineRule="exact"/>
        <w:rPr>
          <w:rFonts w:ascii="宋体" w:hAnsi="宋体" w:eastAsia="宋体" w:cs="Arial"/>
          <w:color w:val="000000"/>
          <w:sz w:val="24"/>
          <w:szCs w:val="24"/>
        </w:rPr>
      </w:pPr>
      <w:r>
        <w:rPr>
          <w:rFonts w:ascii="宋体" w:hAnsi="宋体" w:eastAsia="宋体" w:cs="Arial"/>
          <w:color w:val="000000"/>
          <w:sz w:val="24"/>
          <w:szCs w:val="24"/>
        </w:rPr>
        <w:t>出席会议的董事应在会议记录上签名。董事对会议记录或者决议有不同意见的，可以在签字时做出书面说明。</w:t>
      </w:r>
    </w:p>
    <w:p w14:paraId="7557504D">
      <w:pPr>
        <w:spacing w:before="156" w:beforeLines="50" w:after="156" w:afterLines="50" w:line="400" w:lineRule="exact"/>
        <w:ind w:firstLine="480" w:firstLineChars="200"/>
        <w:rPr>
          <w:rFonts w:ascii="宋体" w:hAnsi="宋体" w:eastAsia="宋体" w:cs="Arial"/>
          <w:color w:val="000000"/>
          <w:sz w:val="24"/>
          <w:szCs w:val="24"/>
        </w:rPr>
      </w:pPr>
      <w:r>
        <w:rPr>
          <w:rFonts w:ascii="宋体" w:hAnsi="宋体" w:eastAsia="宋体" w:cs="Arial"/>
          <w:color w:val="000000"/>
          <w:sz w:val="24"/>
          <w:szCs w:val="24"/>
        </w:rPr>
        <w:t>董事既不按前款规定进行签字确认，又不对其不同意见做出书面说明的，视为完全同意会议决议和会议记录的内容。</w:t>
      </w:r>
    </w:p>
    <w:p w14:paraId="1DE7C816">
      <w:pPr>
        <w:numPr>
          <w:ilvl w:val="0"/>
          <w:numId w:val="3"/>
        </w:numPr>
        <w:spacing w:before="156" w:beforeLines="50" w:after="156" w:afterLines="50" w:line="400" w:lineRule="exact"/>
        <w:rPr>
          <w:rFonts w:ascii="宋体" w:hAnsi="宋体" w:eastAsia="宋体" w:cs="Arial"/>
          <w:color w:val="000000"/>
          <w:sz w:val="24"/>
          <w:szCs w:val="24"/>
        </w:rPr>
      </w:pPr>
      <w:r>
        <w:rPr>
          <w:rFonts w:ascii="宋体" w:hAnsi="宋体" w:eastAsia="宋体" w:cs="Arial"/>
          <w:color w:val="000000"/>
          <w:sz w:val="24"/>
          <w:szCs w:val="24"/>
        </w:rPr>
        <w:t>董事应当对董事会的决议承担责任。董事会的决议违反法律、行政法规或者《公司章程》、股东会决议，</w:t>
      </w:r>
      <w:r>
        <w:rPr>
          <w:rFonts w:hint="eastAsia" w:ascii="宋体" w:hAnsi="宋体" w:eastAsia="宋体" w:cs="Arial"/>
          <w:color w:val="000000"/>
          <w:sz w:val="24"/>
          <w:szCs w:val="24"/>
        </w:rPr>
        <w:t>给</w:t>
      </w:r>
      <w:r>
        <w:rPr>
          <w:rFonts w:ascii="宋体" w:hAnsi="宋体" w:eastAsia="宋体" w:cs="Arial"/>
          <w:color w:val="000000"/>
          <w:sz w:val="24"/>
          <w:szCs w:val="24"/>
        </w:rPr>
        <w:t>公司</w:t>
      </w:r>
      <w:r>
        <w:rPr>
          <w:rFonts w:hint="eastAsia" w:ascii="宋体" w:hAnsi="宋体" w:eastAsia="宋体" w:cs="Arial"/>
          <w:color w:val="000000"/>
          <w:sz w:val="24"/>
          <w:szCs w:val="24"/>
        </w:rPr>
        <w:t>造成</w:t>
      </w:r>
      <w:r>
        <w:rPr>
          <w:rFonts w:ascii="宋体" w:hAnsi="宋体" w:eastAsia="宋体" w:cs="Arial"/>
          <w:color w:val="000000"/>
          <w:sz w:val="24"/>
          <w:szCs w:val="24"/>
        </w:rPr>
        <w:t>严重损失的，参与决议的董事对公司负赔偿责任。经证明在表决时曾表明异议并记载于会议记录的，该董事可以免除责任。</w:t>
      </w:r>
    </w:p>
    <w:p w14:paraId="62FE845E">
      <w:pPr>
        <w:spacing w:before="156" w:beforeLines="50" w:after="156" w:afterLines="50" w:line="400" w:lineRule="exact"/>
        <w:ind w:firstLine="480" w:firstLineChars="200"/>
        <w:rPr>
          <w:rFonts w:ascii="宋体" w:hAnsi="宋体" w:eastAsia="宋体" w:cs="Arial"/>
          <w:color w:val="000000"/>
          <w:sz w:val="24"/>
          <w:szCs w:val="24"/>
        </w:rPr>
      </w:pPr>
      <w:r>
        <w:rPr>
          <w:rFonts w:ascii="宋体" w:hAnsi="宋体" w:eastAsia="宋体" w:cs="Arial"/>
          <w:color w:val="000000"/>
          <w:sz w:val="24"/>
          <w:szCs w:val="24"/>
        </w:rPr>
        <w:t>如无故既不出席会议，也不委托其他董事代为出席、未于董事会召开之时或之前提供对所议事项的书面意见的董事应视作其未表示异议，不得免除责任。</w:t>
      </w:r>
    </w:p>
    <w:p w14:paraId="2ABADEDF">
      <w:pPr>
        <w:numPr>
          <w:ilvl w:val="0"/>
          <w:numId w:val="3"/>
        </w:numPr>
        <w:spacing w:before="156" w:beforeLines="50" w:after="156" w:afterLines="50" w:line="400" w:lineRule="exact"/>
        <w:ind w:firstLine="426"/>
        <w:rPr>
          <w:rFonts w:hint="eastAsia" w:ascii="宋体" w:hAnsi="宋体" w:eastAsia="宋体" w:cs="Arial"/>
          <w:color w:val="000000"/>
          <w:sz w:val="24"/>
          <w:szCs w:val="24"/>
        </w:rPr>
      </w:pPr>
      <w:r>
        <w:rPr>
          <w:rFonts w:hint="eastAsia" w:ascii="宋体" w:hAnsi="宋体" w:eastAsia="宋体" w:cs="Arial"/>
          <w:color w:val="000000"/>
          <w:sz w:val="24"/>
          <w:szCs w:val="24"/>
        </w:rPr>
        <w:t>提案未获通过的，在有关条件和因素未发生重大变化的情况下，董事会会议在一个月内不应当再审议内容相同的提案。</w:t>
      </w:r>
    </w:p>
    <w:p w14:paraId="5380D89C">
      <w:pPr>
        <w:numPr>
          <w:ilvl w:val="0"/>
          <w:numId w:val="3"/>
        </w:numPr>
        <w:spacing w:before="156" w:beforeLines="50" w:after="156" w:afterLines="50" w:line="400" w:lineRule="exact"/>
        <w:rPr>
          <w:rFonts w:hint="eastAsia" w:ascii="宋体" w:hAnsi="宋体" w:eastAsia="宋体" w:cs="Arial"/>
          <w:color w:val="000000"/>
          <w:sz w:val="24"/>
          <w:szCs w:val="24"/>
        </w:rPr>
      </w:pPr>
      <w:r>
        <w:rPr>
          <w:rFonts w:hint="eastAsia" w:ascii="宋体" w:hAnsi="宋体" w:eastAsia="宋体" w:cs="Arial"/>
          <w:color w:val="000000"/>
          <w:sz w:val="24"/>
          <w:szCs w:val="24"/>
        </w:rPr>
        <w:t>对在董事会审议过程中发现情况不明或方案可行性存在疑问的议题或方案，董事会应要求承办部门予以说明，并退回重新办理，不予表决。</w:t>
      </w:r>
    </w:p>
    <w:p w14:paraId="427DC0C1">
      <w:pPr>
        <w:numPr>
          <w:ilvl w:val="0"/>
          <w:numId w:val="3"/>
        </w:numPr>
        <w:spacing w:before="156" w:beforeLines="50" w:after="156" w:afterLines="50" w:line="400" w:lineRule="exact"/>
        <w:rPr>
          <w:rFonts w:ascii="宋体" w:hAnsi="宋体" w:eastAsia="宋体" w:cs="Arial"/>
          <w:color w:val="000000"/>
          <w:sz w:val="24"/>
          <w:szCs w:val="24"/>
        </w:rPr>
      </w:pPr>
      <w:r>
        <w:rPr>
          <w:rFonts w:hint="eastAsia" w:ascii="宋体" w:hAnsi="宋体" w:eastAsia="宋体" w:cs="Arial"/>
          <w:color w:val="000000"/>
          <w:kern w:val="0"/>
          <w:sz w:val="24"/>
          <w:szCs w:val="24"/>
        </w:rPr>
        <w:t xml:space="preserve"> </w:t>
      </w:r>
      <w:r>
        <w:rPr>
          <w:rFonts w:ascii="宋体" w:hAnsi="宋体" w:eastAsia="宋体" w:cs="Arial"/>
          <w:color w:val="000000"/>
          <w:kern w:val="0"/>
          <w:sz w:val="24"/>
          <w:szCs w:val="24"/>
        </w:rPr>
        <w:t>对董事会决议通过的有关计划、实施方案和董事会对</w:t>
      </w:r>
      <w:r>
        <w:rPr>
          <w:rFonts w:hint="eastAsia" w:ascii="宋体" w:hAnsi="宋体" w:eastAsia="宋体" w:cs="Arial"/>
          <w:color w:val="000000"/>
          <w:kern w:val="0"/>
          <w:sz w:val="24"/>
          <w:szCs w:val="24"/>
        </w:rPr>
        <w:t>高级</w:t>
      </w:r>
      <w:r>
        <w:rPr>
          <w:rFonts w:ascii="宋体" w:hAnsi="宋体" w:eastAsia="宋体" w:cs="Arial"/>
          <w:color w:val="000000"/>
          <w:kern w:val="0"/>
          <w:sz w:val="24"/>
          <w:szCs w:val="24"/>
        </w:rPr>
        <w:t>管理人员的聘任文件，一律由董事长签发下达和上报。</w:t>
      </w:r>
    </w:p>
    <w:p w14:paraId="1B3B13E7">
      <w:pPr>
        <w:numPr>
          <w:ilvl w:val="0"/>
          <w:numId w:val="3"/>
        </w:numPr>
        <w:spacing w:before="156" w:beforeLines="50" w:after="156" w:afterLines="50" w:line="400" w:lineRule="exact"/>
        <w:rPr>
          <w:rFonts w:hint="eastAsia" w:ascii="宋体" w:hAnsi="宋体" w:eastAsia="宋体" w:cs="Arial"/>
          <w:color w:val="000000"/>
          <w:sz w:val="24"/>
          <w:szCs w:val="24"/>
        </w:rPr>
      </w:pPr>
      <w:r>
        <w:rPr>
          <w:rFonts w:ascii="宋体" w:hAnsi="宋体" w:eastAsia="宋体" w:cs="Arial"/>
          <w:color w:val="000000"/>
          <w:kern w:val="0"/>
          <w:sz w:val="24"/>
          <w:szCs w:val="24"/>
        </w:rPr>
        <w:t>董事会的决议内容违反法律、行政法规的无效。</w:t>
      </w:r>
    </w:p>
    <w:p w14:paraId="3F800773">
      <w:pPr>
        <w:numPr>
          <w:ilvl w:val="0"/>
          <w:numId w:val="3"/>
        </w:numPr>
        <w:spacing w:before="156" w:beforeLines="50" w:after="156" w:afterLines="50" w:line="400" w:lineRule="exact"/>
        <w:rPr>
          <w:rFonts w:ascii="宋体" w:hAnsi="宋体" w:eastAsia="宋体" w:cs="Arial"/>
          <w:color w:val="000000"/>
          <w:sz w:val="24"/>
          <w:szCs w:val="24"/>
        </w:rPr>
      </w:pPr>
      <w:r>
        <w:rPr>
          <w:rFonts w:hint="eastAsia" w:ascii="宋体" w:hAnsi="宋体" w:eastAsia="宋体" w:cs="Arial"/>
          <w:color w:val="000000"/>
          <w:sz w:val="24"/>
          <w:szCs w:val="24"/>
        </w:rPr>
        <w:t xml:space="preserve"> </w:t>
      </w:r>
      <w:r>
        <w:rPr>
          <w:rFonts w:ascii="宋体" w:hAnsi="宋体" w:eastAsia="宋体" w:cs="Arial"/>
          <w:color w:val="000000"/>
          <w:kern w:val="0"/>
          <w:sz w:val="24"/>
          <w:szCs w:val="24"/>
        </w:rPr>
        <w:t>董事会的会议召集程序、表决方式违反法律、行政法规或者《公司章程》的有关规定，或者决议内容违反《公司章程》的，股东自决议作出之日起六十日内，</w:t>
      </w:r>
      <w:r>
        <w:rPr>
          <w:rFonts w:hint="eastAsia" w:ascii="宋体" w:hAnsi="宋体" w:eastAsia="宋体" w:cs="Arial"/>
          <w:color w:val="000000"/>
          <w:kern w:val="0"/>
          <w:sz w:val="24"/>
          <w:szCs w:val="24"/>
        </w:rPr>
        <w:t>可以</w:t>
      </w:r>
      <w:r>
        <w:rPr>
          <w:rFonts w:ascii="宋体" w:hAnsi="宋体" w:eastAsia="宋体" w:cs="Arial"/>
          <w:color w:val="000000"/>
          <w:kern w:val="0"/>
          <w:sz w:val="24"/>
          <w:szCs w:val="24"/>
        </w:rPr>
        <w:t>请求人民法院撤销。</w:t>
      </w:r>
      <w:r>
        <w:rPr>
          <w:rFonts w:hint="eastAsia" w:ascii="宋体" w:hAnsi="宋体" w:eastAsia="宋体" w:cs="Arial"/>
          <w:color w:val="000000"/>
          <w:kern w:val="0"/>
          <w:sz w:val="24"/>
          <w:szCs w:val="24"/>
        </w:rPr>
        <w:t>但是，董事会的会议召集程序或者表决方式仅有轻微瑕疵，对决议未产生实质影响的除外。</w:t>
      </w:r>
    </w:p>
    <w:p w14:paraId="4AF9FF86">
      <w:pPr>
        <w:numPr>
          <w:ilvl w:val="0"/>
          <w:numId w:val="3"/>
        </w:numPr>
        <w:spacing w:before="156" w:beforeLines="50" w:after="156" w:afterLines="50" w:line="400" w:lineRule="exact"/>
        <w:rPr>
          <w:rFonts w:hint="eastAsia" w:ascii="宋体" w:hAnsi="宋体" w:eastAsia="宋体" w:cs="Arial"/>
          <w:color w:val="000000"/>
          <w:sz w:val="24"/>
          <w:szCs w:val="24"/>
        </w:rPr>
      </w:pPr>
      <w:r>
        <w:rPr>
          <w:rFonts w:ascii="宋体" w:hAnsi="宋体" w:eastAsia="宋体" w:cs="Arial"/>
          <w:color w:val="000000"/>
          <w:sz w:val="24"/>
          <w:szCs w:val="24"/>
        </w:rPr>
        <w:t>董事会会议档案，包括会议通知和会议材料、会议签到簿、董事代为出席的授权委托书、会议录音资料、表决票、经与会董事签字确认的会议记录、决议记录等，由董事会秘书负责保存，保存期限不少于10年。</w:t>
      </w:r>
    </w:p>
    <w:p w14:paraId="3B09EC5D">
      <w:pPr>
        <w:pStyle w:val="2"/>
        <w:numPr>
          <w:ilvl w:val="0"/>
          <w:numId w:val="0"/>
        </w:numPr>
        <w:spacing w:before="156" w:beforeLines="50" w:after="156" w:afterLines="50"/>
        <w:jc w:val="center"/>
        <w:rPr>
          <w:rFonts w:hint="eastAsia" w:ascii="宋体" w:hAnsi="宋体" w:eastAsia="宋体" w:cs="楷体"/>
        </w:rPr>
      </w:pPr>
      <w:r>
        <w:rPr>
          <w:rFonts w:hint="eastAsia" w:ascii="宋体" w:hAnsi="宋体" w:eastAsia="宋体" w:cs="楷体"/>
          <w:sz w:val="28"/>
          <w:szCs w:val="28"/>
        </w:rPr>
        <w:t>第九章  董事会决议的执行</w:t>
      </w:r>
    </w:p>
    <w:p w14:paraId="65EFF53F">
      <w:pPr>
        <w:numPr>
          <w:ilvl w:val="0"/>
          <w:numId w:val="3"/>
        </w:numPr>
        <w:spacing w:before="156" w:beforeLines="50" w:after="156" w:afterLines="50" w:line="400" w:lineRule="exact"/>
        <w:rPr>
          <w:rFonts w:hint="eastAsia" w:ascii="宋体" w:hAnsi="宋体" w:eastAsia="宋体" w:cs="Arial"/>
          <w:color w:val="000000"/>
          <w:kern w:val="0"/>
          <w:sz w:val="24"/>
          <w:szCs w:val="24"/>
        </w:rPr>
      </w:pPr>
      <w:r>
        <w:rPr>
          <w:rFonts w:hint="eastAsia" w:ascii="宋体" w:hAnsi="宋体" w:eastAsia="宋体" w:cs="Arial"/>
          <w:color w:val="000000"/>
          <w:kern w:val="0"/>
          <w:sz w:val="24"/>
          <w:szCs w:val="24"/>
        </w:rPr>
        <w:t>董事会做出决议后，由董事会区分不同情况，或将有关事项提请股东会审议批准，或将有关决议交由总裁组织有关部门和人员贯彻执行。总裁应将执行情况向董事会报告。董事会闭会期间总裁可直接向董事长报告，并由董事会秘书负责向董事传送书面报告材料。</w:t>
      </w:r>
    </w:p>
    <w:p w14:paraId="7272678A">
      <w:pPr>
        <w:numPr>
          <w:ilvl w:val="0"/>
          <w:numId w:val="3"/>
        </w:numPr>
        <w:spacing w:before="156" w:beforeLines="50" w:after="156" w:afterLines="50" w:line="400" w:lineRule="exact"/>
        <w:rPr>
          <w:rFonts w:hint="eastAsia" w:ascii="宋体" w:hAnsi="宋体" w:eastAsia="宋体" w:cs="Arial"/>
          <w:color w:val="000000"/>
          <w:kern w:val="0"/>
          <w:sz w:val="24"/>
          <w:szCs w:val="24"/>
        </w:rPr>
      </w:pPr>
      <w:r>
        <w:rPr>
          <w:rFonts w:hint="eastAsia" w:ascii="宋体" w:hAnsi="宋体" w:eastAsia="宋体" w:cs="Arial"/>
          <w:color w:val="000000"/>
          <w:kern w:val="0"/>
          <w:sz w:val="24"/>
          <w:szCs w:val="24"/>
        </w:rPr>
        <w:t>董事长应当督促有关人员落实董事会决议，检查决议的实施情况，并在以后的董事会会议上通报已经形成的决议的执行情况。</w:t>
      </w:r>
    </w:p>
    <w:p w14:paraId="7E432BB9">
      <w:pPr>
        <w:spacing w:before="156" w:beforeLines="50" w:after="156" w:afterLines="50" w:line="400" w:lineRule="exact"/>
        <w:ind w:left="480"/>
        <w:rPr>
          <w:rFonts w:hint="eastAsia" w:ascii="宋体" w:hAnsi="宋体" w:eastAsia="宋体" w:cs="楷体"/>
          <w:sz w:val="24"/>
        </w:rPr>
      </w:pPr>
    </w:p>
    <w:p w14:paraId="019FD91A">
      <w:pPr>
        <w:numPr>
          <w:ilvl w:val="0"/>
          <w:numId w:val="2"/>
        </w:numPr>
        <w:spacing w:before="156" w:beforeLines="50" w:after="156" w:afterLines="50" w:line="400" w:lineRule="exact"/>
        <w:jc w:val="center"/>
        <w:outlineLvl w:val="0"/>
        <w:rPr>
          <w:rFonts w:ascii="宋体" w:hAnsi="宋体" w:eastAsia="宋体" w:cs="Arial"/>
          <w:b/>
          <w:kern w:val="0"/>
          <w:sz w:val="28"/>
          <w:szCs w:val="28"/>
        </w:rPr>
      </w:pPr>
      <w:bookmarkStart w:id="22" w:name="_Toc232921064"/>
      <w:bookmarkStart w:id="23" w:name="_Toc293244263"/>
      <w:r>
        <w:rPr>
          <w:rFonts w:hint="eastAsia" w:ascii="宋体" w:hAnsi="宋体" w:eastAsia="宋体" w:cs="Arial"/>
          <w:b/>
          <w:kern w:val="0"/>
          <w:sz w:val="28"/>
          <w:szCs w:val="28"/>
        </w:rPr>
        <w:t xml:space="preserve">  </w:t>
      </w:r>
      <w:r>
        <w:rPr>
          <w:rFonts w:ascii="宋体" w:hAnsi="宋体" w:eastAsia="宋体" w:cs="Arial"/>
          <w:b/>
          <w:kern w:val="0"/>
          <w:sz w:val="28"/>
          <w:szCs w:val="28"/>
        </w:rPr>
        <w:t>附</w:t>
      </w:r>
      <w:r>
        <w:rPr>
          <w:rFonts w:hint="eastAsia" w:ascii="宋体" w:hAnsi="宋体" w:eastAsia="宋体" w:cs="Arial"/>
          <w:b/>
          <w:kern w:val="0"/>
          <w:sz w:val="28"/>
          <w:szCs w:val="28"/>
        </w:rPr>
        <w:t xml:space="preserve"> </w:t>
      </w:r>
      <w:r>
        <w:rPr>
          <w:rFonts w:ascii="宋体" w:hAnsi="宋体" w:eastAsia="宋体" w:cs="Arial"/>
          <w:b/>
          <w:kern w:val="0"/>
          <w:sz w:val="28"/>
          <w:szCs w:val="28"/>
        </w:rPr>
        <w:t>则</w:t>
      </w:r>
      <w:bookmarkEnd w:id="22"/>
      <w:bookmarkEnd w:id="23"/>
    </w:p>
    <w:p w14:paraId="59245A45">
      <w:pPr>
        <w:numPr>
          <w:ilvl w:val="0"/>
          <w:numId w:val="3"/>
        </w:numPr>
        <w:spacing w:before="156" w:beforeLines="50" w:after="156" w:afterLines="50" w:line="400" w:lineRule="exact"/>
        <w:rPr>
          <w:rFonts w:ascii="宋体" w:hAnsi="宋体" w:eastAsia="宋体" w:cs="Arial"/>
          <w:color w:val="000000"/>
          <w:kern w:val="0"/>
          <w:sz w:val="24"/>
          <w:szCs w:val="24"/>
        </w:rPr>
      </w:pPr>
      <w:r>
        <w:rPr>
          <w:rFonts w:ascii="宋体" w:hAnsi="宋体" w:eastAsia="宋体" w:cs="Arial"/>
          <w:color w:val="000000"/>
          <w:kern w:val="0"/>
          <w:sz w:val="24"/>
          <w:szCs w:val="24"/>
        </w:rPr>
        <w:t>本规则所称“以上”、“内”、“以下”都含本数；“</w:t>
      </w:r>
      <w:r>
        <w:rPr>
          <w:rFonts w:hint="eastAsia" w:ascii="宋体" w:hAnsi="宋体" w:eastAsia="宋体" w:cs="Arial"/>
          <w:color w:val="000000"/>
          <w:kern w:val="0"/>
          <w:sz w:val="24"/>
          <w:szCs w:val="24"/>
        </w:rPr>
        <w:t>过</w:t>
      </w:r>
      <w:r>
        <w:rPr>
          <w:rFonts w:ascii="宋体" w:hAnsi="宋体" w:eastAsia="宋体" w:cs="Arial"/>
          <w:color w:val="000000"/>
          <w:kern w:val="0"/>
          <w:sz w:val="24"/>
          <w:szCs w:val="24"/>
        </w:rPr>
        <w:t>”、“以外”、“低于”不含本数。</w:t>
      </w:r>
    </w:p>
    <w:p w14:paraId="792C3B9B">
      <w:pPr>
        <w:numPr>
          <w:ilvl w:val="0"/>
          <w:numId w:val="3"/>
        </w:numPr>
        <w:spacing w:before="156" w:beforeLines="50" w:after="156" w:afterLines="50" w:line="400" w:lineRule="exact"/>
        <w:rPr>
          <w:rFonts w:ascii="宋体" w:hAnsi="宋体" w:eastAsia="宋体" w:cs="Arial"/>
          <w:color w:val="000000"/>
          <w:kern w:val="0"/>
          <w:sz w:val="24"/>
          <w:szCs w:val="24"/>
        </w:rPr>
      </w:pPr>
      <w:r>
        <w:rPr>
          <w:rFonts w:ascii="宋体" w:hAnsi="宋体" w:eastAsia="宋体" w:cs="Arial"/>
          <w:sz w:val="24"/>
        </w:rPr>
        <w:t>本规则未尽事宜，依照国家有关法律、行政法规、部门规章、其他</w:t>
      </w:r>
      <w:r>
        <w:rPr>
          <w:rFonts w:ascii="宋体" w:hAnsi="宋体" w:eastAsia="宋体" w:cs="Arial"/>
          <w:color w:val="000000"/>
          <w:kern w:val="0"/>
          <w:sz w:val="24"/>
          <w:szCs w:val="24"/>
        </w:rPr>
        <w:t>规范性文件及《公司章程》的有关规定执行。</w:t>
      </w:r>
    </w:p>
    <w:p w14:paraId="6E607E86">
      <w:pPr>
        <w:numPr>
          <w:ilvl w:val="0"/>
          <w:numId w:val="3"/>
        </w:numPr>
        <w:spacing w:before="156" w:beforeLines="50" w:after="156" w:afterLines="50" w:line="400" w:lineRule="exact"/>
        <w:rPr>
          <w:rFonts w:ascii="宋体" w:hAnsi="宋体" w:eastAsia="宋体" w:cs="Arial"/>
          <w:color w:val="000000"/>
          <w:sz w:val="24"/>
          <w:szCs w:val="24"/>
        </w:rPr>
      </w:pPr>
      <w:r>
        <w:rPr>
          <w:rFonts w:ascii="宋体" w:hAnsi="宋体" w:eastAsia="宋体" w:cs="Arial"/>
          <w:color w:val="000000"/>
          <w:kern w:val="0"/>
          <w:sz w:val="24"/>
          <w:szCs w:val="24"/>
        </w:rPr>
        <w:t>本规则由董事会负责解释</w:t>
      </w:r>
      <w:r>
        <w:rPr>
          <w:rFonts w:ascii="宋体" w:hAnsi="宋体" w:eastAsia="宋体" w:cs="Arial"/>
          <w:sz w:val="24"/>
        </w:rPr>
        <w:t>。</w:t>
      </w:r>
      <w:r>
        <w:rPr>
          <w:rFonts w:ascii="宋体" w:hAnsi="宋体" w:eastAsia="宋体" w:cs="Arial"/>
          <w:color w:val="000000"/>
          <w:kern w:val="0"/>
          <w:sz w:val="24"/>
          <w:szCs w:val="24"/>
        </w:rPr>
        <w:t xml:space="preserve"> </w:t>
      </w:r>
    </w:p>
    <w:p w14:paraId="533F9962">
      <w:pPr>
        <w:numPr>
          <w:ilvl w:val="0"/>
          <w:numId w:val="3"/>
        </w:numPr>
        <w:spacing w:before="156" w:beforeLines="50" w:after="156" w:afterLines="50" w:line="400" w:lineRule="exact"/>
        <w:rPr>
          <w:rFonts w:hint="eastAsia" w:ascii="宋体" w:hAnsi="宋体" w:eastAsia="宋体" w:cs="Arial"/>
          <w:color w:val="000000"/>
          <w:sz w:val="24"/>
          <w:szCs w:val="24"/>
        </w:rPr>
      </w:pPr>
      <w:r>
        <w:rPr>
          <w:rFonts w:ascii="宋体" w:hAnsi="宋体" w:eastAsia="宋体" w:cs="Arial"/>
          <w:sz w:val="24"/>
        </w:rPr>
        <w:t>本规则经股东会</w:t>
      </w:r>
      <w:r>
        <w:rPr>
          <w:rFonts w:hint="eastAsia" w:ascii="宋体" w:hAnsi="宋体" w:eastAsia="宋体" w:cs="Arial"/>
          <w:sz w:val="24"/>
        </w:rPr>
        <w:t>审议</w:t>
      </w:r>
      <w:r>
        <w:rPr>
          <w:rFonts w:ascii="宋体" w:hAnsi="宋体" w:eastAsia="宋体" w:cs="Arial"/>
          <w:sz w:val="24"/>
        </w:rPr>
        <w:t>通过</w:t>
      </w:r>
      <w:bookmarkStart w:id="24" w:name="_DV_C917"/>
      <w:r>
        <w:rPr>
          <w:rFonts w:hint="eastAsia" w:ascii="宋体" w:hAnsi="宋体" w:eastAsia="宋体" w:cs="Arial"/>
          <w:sz w:val="24"/>
        </w:rPr>
        <w:t>之日起生效</w:t>
      </w:r>
      <w:bookmarkEnd w:id="24"/>
      <w:r>
        <w:rPr>
          <w:rFonts w:hint="eastAsia" w:ascii="宋体" w:hAnsi="宋体" w:eastAsia="宋体" w:cs="Arial"/>
          <w:sz w:val="24"/>
        </w:rPr>
        <w:t>实施</w:t>
      </w:r>
      <w:r>
        <w:rPr>
          <w:rFonts w:ascii="宋体" w:hAnsi="宋体" w:eastAsia="宋体" w:cs="Arial"/>
          <w:sz w:val="24"/>
        </w:rPr>
        <w:t>。</w:t>
      </w:r>
    </w:p>
    <w:p w14:paraId="10081805">
      <w:pPr>
        <w:spacing w:before="156" w:beforeLines="50" w:after="156" w:afterLines="50" w:line="360" w:lineRule="auto"/>
        <w:ind w:right="960"/>
        <w:rPr>
          <w:rFonts w:hint="eastAsia" w:ascii="Arial" w:hAnsi="Arial" w:eastAsia="楷体_GB2312" w:cs="Arial"/>
          <w:color w:val="000000"/>
          <w:kern w:val="0"/>
          <w:sz w:val="24"/>
          <w:szCs w:val="24"/>
        </w:rPr>
      </w:pPr>
    </w:p>
    <w:p w14:paraId="04D79126">
      <w:pPr>
        <w:wordWrap w:val="0"/>
        <w:spacing w:line="400" w:lineRule="exact"/>
        <w:ind w:right="36" w:firstLine="480" w:firstLineChars="200"/>
        <w:jc w:val="right"/>
        <w:rPr>
          <w:rFonts w:hint="eastAsia" w:ascii="宋体" w:hAnsi="宋体" w:cs="Arial"/>
          <w:color w:val="000000"/>
          <w:sz w:val="24"/>
          <w:szCs w:val="24"/>
        </w:rPr>
      </w:pPr>
      <w:r>
        <w:rPr>
          <w:rFonts w:ascii="宋体" w:hAnsi="宋体" w:cs="Arial"/>
          <w:color w:val="000000"/>
          <w:sz w:val="24"/>
          <w:szCs w:val="24"/>
        </w:rPr>
        <w:t>华孚时尚股份有限公司董事会</w:t>
      </w:r>
    </w:p>
    <w:p w14:paraId="351FCA50">
      <w:pPr>
        <w:spacing w:line="400" w:lineRule="exact"/>
        <w:ind w:right="36" w:firstLine="480" w:firstLineChars="200"/>
        <w:jc w:val="right"/>
        <w:rPr>
          <w:rFonts w:ascii="宋体" w:hAnsi="宋体" w:cs="Arial"/>
          <w:color w:val="000000"/>
          <w:sz w:val="24"/>
          <w:szCs w:val="24"/>
        </w:rPr>
      </w:pPr>
      <w:r>
        <w:rPr>
          <w:rFonts w:hint="eastAsia" w:ascii="宋体" w:hAnsi="宋体" w:cs="Arial"/>
          <w:color w:val="000000"/>
          <w:sz w:val="24"/>
          <w:szCs w:val="24"/>
        </w:rPr>
        <w:t>二〇二五年六月</w:t>
      </w:r>
    </w:p>
    <w:p w14:paraId="7D3B3A19">
      <w:pPr>
        <w:spacing w:before="156" w:beforeLines="50" w:after="156" w:afterLines="50" w:line="360" w:lineRule="auto"/>
        <w:ind w:right="960"/>
        <w:rPr>
          <w:rFonts w:hint="eastAsia" w:ascii="Arial" w:hAnsi="Arial" w:eastAsia="楷体_GB2312" w:cs="Arial"/>
          <w:color w:val="000000"/>
          <w:kern w:val="0"/>
          <w:sz w:val="24"/>
          <w:szCs w:val="24"/>
        </w:rPr>
      </w:pPr>
    </w:p>
    <w:sectPr>
      <w:footerReference r:id="rId5" w:type="default"/>
      <w:pgSz w:w="11906" w:h="16838"/>
      <w:pgMar w:top="1418" w:right="1418" w:bottom="1418" w:left="1418"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8A141">
    <w:pPr>
      <w:pStyle w:val="10"/>
      <w:jc w:val="center"/>
      <w:rPr>
        <w:rFonts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12</w:t>
    </w:r>
    <w:r>
      <w:rPr>
        <w:rFonts w:ascii="宋体" w:hAnsi="宋体"/>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lvlText w:val="（%1）"/>
      <w:lvlJc w:val="left"/>
      <w:pPr>
        <w:tabs>
          <w:tab w:val="left" w:pos="0"/>
        </w:tabs>
        <w:ind w:left="0" w:firstLine="400"/>
      </w:pPr>
      <w:rPr>
        <w:rFonts w:hint="eastAsia"/>
      </w:rPr>
    </w:lvl>
    <w:lvl w:ilvl="1" w:tentative="0">
      <w:start w:val="0"/>
      <w:numFmt w:val="decimal"/>
      <w:lvlText w:val=""/>
      <w:lvlJc w:val="left"/>
      <w:pPr>
        <w:tabs>
          <w:tab w:val="left" w:pos="360"/>
        </w:tabs>
        <w:ind w:left="0" w:firstLine="0"/>
      </w:pPr>
      <w:rPr>
        <w:rFonts w:hint="eastAsia"/>
      </w:rPr>
    </w:lvl>
    <w:lvl w:ilvl="2" w:tentative="0">
      <w:start w:val="0"/>
      <w:numFmt w:val="decimal"/>
      <w:lvlText w:val=""/>
      <w:lvlJc w:val="left"/>
      <w:pPr>
        <w:tabs>
          <w:tab w:val="left" w:pos="360"/>
        </w:tabs>
        <w:ind w:left="0" w:firstLine="0"/>
      </w:pPr>
      <w:rPr>
        <w:rFonts w:hint="eastAsia"/>
      </w:rPr>
    </w:lvl>
    <w:lvl w:ilvl="3" w:tentative="0">
      <w:start w:val="0"/>
      <w:numFmt w:val="decimal"/>
      <w:lvlText w:val=""/>
      <w:lvlJc w:val="left"/>
      <w:pPr>
        <w:tabs>
          <w:tab w:val="left" w:pos="360"/>
        </w:tabs>
        <w:ind w:left="0" w:firstLine="0"/>
      </w:pPr>
      <w:rPr>
        <w:rFonts w:hint="eastAsia"/>
      </w:rPr>
    </w:lvl>
    <w:lvl w:ilvl="4" w:tentative="0">
      <w:start w:val="0"/>
      <w:numFmt w:val="decimal"/>
      <w:lvlText w:val=""/>
      <w:lvlJc w:val="left"/>
      <w:pPr>
        <w:tabs>
          <w:tab w:val="left" w:pos="360"/>
        </w:tabs>
        <w:ind w:left="0" w:firstLine="0"/>
      </w:pPr>
      <w:rPr>
        <w:rFonts w:hint="eastAsia"/>
      </w:rPr>
    </w:lvl>
    <w:lvl w:ilvl="5" w:tentative="0">
      <w:start w:val="0"/>
      <w:numFmt w:val="decimal"/>
      <w:lvlText w:val=""/>
      <w:lvlJc w:val="left"/>
      <w:pPr>
        <w:tabs>
          <w:tab w:val="left" w:pos="360"/>
        </w:tabs>
        <w:ind w:left="0" w:firstLine="0"/>
      </w:pPr>
      <w:rPr>
        <w:rFonts w:hint="eastAsia"/>
      </w:rPr>
    </w:lvl>
    <w:lvl w:ilvl="6" w:tentative="0">
      <w:start w:val="0"/>
      <w:numFmt w:val="decimal"/>
      <w:lvlText w:val=""/>
      <w:lvlJc w:val="left"/>
      <w:pPr>
        <w:tabs>
          <w:tab w:val="left" w:pos="360"/>
        </w:tabs>
        <w:ind w:left="0" w:firstLine="0"/>
      </w:pPr>
      <w:rPr>
        <w:rFonts w:hint="eastAsia"/>
      </w:rPr>
    </w:lvl>
    <w:lvl w:ilvl="7" w:tentative="0">
      <w:start w:val="0"/>
      <w:numFmt w:val="decimal"/>
      <w:lvlText w:val=""/>
      <w:lvlJc w:val="left"/>
      <w:pPr>
        <w:tabs>
          <w:tab w:val="left" w:pos="360"/>
        </w:tabs>
        <w:ind w:left="0" w:firstLine="0"/>
      </w:pPr>
      <w:rPr>
        <w:rFonts w:hint="eastAsia"/>
      </w:rPr>
    </w:lvl>
    <w:lvl w:ilvl="8" w:tentative="0">
      <w:start w:val="0"/>
      <w:numFmt w:val="decimal"/>
      <w:lvlText w:val=""/>
      <w:lvlJc w:val="left"/>
      <w:pPr>
        <w:tabs>
          <w:tab w:val="left" w:pos="360"/>
        </w:tabs>
        <w:ind w:left="0" w:firstLine="0"/>
      </w:pPr>
      <w:rPr>
        <w:rFonts w:hint="eastAsia"/>
      </w:rPr>
    </w:lvl>
  </w:abstractNum>
  <w:abstractNum w:abstractNumId="1">
    <w:nsid w:val="00000003"/>
    <w:multiLevelType w:val="multilevel"/>
    <w:tmpl w:val="00000003"/>
    <w:lvl w:ilvl="0" w:tentative="0">
      <w:start w:val="1"/>
      <w:numFmt w:val="chineseCountingThousand"/>
      <w:lvlText w:val="（%1）"/>
      <w:lvlJc w:val="left"/>
      <w:pPr>
        <w:tabs>
          <w:tab w:val="left" w:pos="0"/>
        </w:tabs>
        <w:ind w:left="0" w:firstLine="400"/>
      </w:pPr>
      <w:rPr>
        <w:rFonts w:hint="eastAsia"/>
        <w:sz w:val="24"/>
        <w:szCs w:val="24"/>
      </w:rPr>
    </w:lvl>
    <w:lvl w:ilvl="1" w:tentative="0">
      <w:start w:val="0"/>
      <w:numFmt w:val="decimal"/>
      <w:lvlText w:val=""/>
      <w:lvlJc w:val="left"/>
      <w:pPr>
        <w:tabs>
          <w:tab w:val="left" w:pos="360"/>
        </w:tabs>
        <w:ind w:left="0" w:firstLine="0"/>
      </w:pPr>
      <w:rPr>
        <w:rFonts w:hint="eastAsia"/>
      </w:rPr>
    </w:lvl>
    <w:lvl w:ilvl="2" w:tentative="0">
      <w:start w:val="0"/>
      <w:numFmt w:val="decimal"/>
      <w:lvlText w:val=""/>
      <w:lvlJc w:val="left"/>
      <w:pPr>
        <w:tabs>
          <w:tab w:val="left" w:pos="360"/>
        </w:tabs>
        <w:ind w:left="0" w:firstLine="0"/>
      </w:pPr>
      <w:rPr>
        <w:rFonts w:hint="eastAsia"/>
      </w:rPr>
    </w:lvl>
    <w:lvl w:ilvl="3" w:tentative="0">
      <w:start w:val="0"/>
      <w:numFmt w:val="decimal"/>
      <w:lvlText w:val=""/>
      <w:lvlJc w:val="left"/>
      <w:pPr>
        <w:tabs>
          <w:tab w:val="left" w:pos="360"/>
        </w:tabs>
        <w:ind w:left="0" w:firstLine="0"/>
      </w:pPr>
      <w:rPr>
        <w:rFonts w:hint="eastAsia"/>
      </w:rPr>
    </w:lvl>
    <w:lvl w:ilvl="4" w:tentative="0">
      <w:start w:val="0"/>
      <w:numFmt w:val="decimal"/>
      <w:lvlText w:val=""/>
      <w:lvlJc w:val="left"/>
      <w:pPr>
        <w:tabs>
          <w:tab w:val="left" w:pos="360"/>
        </w:tabs>
        <w:ind w:left="0" w:firstLine="0"/>
      </w:pPr>
      <w:rPr>
        <w:rFonts w:hint="eastAsia"/>
      </w:rPr>
    </w:lvl>
    <w:lvl w:ilvl="5" w:tentative="0">
      <w:start w:val="0"/>
      <w:numFmt w:val="decimal"/>
      <w:lvlText w:val=""/>
      <w:lvlJc w:val="left"/>
      <w:pPr>
        <w:tabs>
          <w:tab w:val="left" w:pos="360"/>
        </w:tabs>
        <w:ind w:left="0" w:firstLine="0"/>
      </w:pPr>
      <w:rPr>
        <w:rFonts w:hint="eastAsia"/>
      </w:rPr>
    </w:lvl>
    <w:lvl w:ilvl="6" w:tentative="0">
      <w:start w:val="0"/>
      <w:numFmt w:val="decimal"/>
      <w:lvlText w:val=""/>
      <w:lvlJc w:val="left"/>
      <w:pPr>
        <w:tabs>
          <w:tab w:val="left" w:pos="360"/>
        </w:tabs>
        <w:ind w:left="0" w:firstLine="0"/>
      </w:pPr>
      <w:rPr>
        <w:rFonts w:hint="eastAsia"/>
      </w:rPr>
    </w:lvl>
    <w:lvl w:ilvl="7" w:tentative="0">
      <w:start w:val="0"/>
      <w:numFmt w:val="decimal"/>
      <w:lvlText w:val=""/>
      <w:lvlJc w:val="left"/>
      <w:pPr>
        <w:tabs>
          <w:tab w:val="left" w:pos="360"/>
        </w:tabs>
        <w:ind w:left="0" w:firstLine="0"/>
      </w:pPr>
      <w:rPr>
        <w:rFonts w:hint="eastAsia"/>
      </w:rPr>
    </w:lvl>
    <w:lvl w:ilvl="8" w:tentative="0">
      <w:start w:val="0"/>
      <w:numFmt w:val="decimal"/>
      <w:lvlText w:val=""/>
      <w:lvlJc w:val="left"/>
      <w:pPr>
        <w:tabs>
          <w:tab w:val="left" w:pos="360"/>
        </w:tabs>
        <w:ind w:left="0" w:firstLine="0"/>
      </w:pPr>
      <w:rPr>
        <w:rFonts w:hint="eastAsia"/>
      </w:rPr>
    </w:lvl>
  </w:abstractNum>
  <w:abstractNum w:abstractNumId="2">
    <w:nsid w:val="00000005"/>
    <w:multiLevelType w:val="multilevel"/>
    <w:tmpl w:val="00000005"/>
    <w:lvl w:ilvl="0" w:tentative="0">
      <w:start w:val="1"/>
      <w:numFmt w:val="chineseCountingThousand"/>
      <w:lvlText w:val="（%1）"/>
      <w:lvlJc w:val="left"/>
      <w:pPr>
        <w:tabs>
          <w:tab w:val="left" w:pos="0"/>
        </w:tabs>
        <w:ind w:left="0" w:firstLine="400"/>
      </w:pPr>
      <w:rPr>
        <w:rFonts w:hint="eastAsia"/>
      </w:rPr>
    </w:lvl>
    <w:lvl w:ilvl="1" w:tentative="0">
      <w:start w:val="0"/>
      <w:numFmt w:val="decimal"/>
      <w:lvlText w:val=""/>
      <w:lvlJc w:val="left"/>
      <w:pPr>
        <w:tabs>
          <w:tab w:val="left" w:pos="360"/>
        </w:tabs>
        <w:ind w:left="0" w:firstLine="0"/>
      </w:pPr>
      <w:rPr>
        <w:rFonts w:hint="eastAsia"/>
      </w:rPr>
    </w:lvl>
    <w:lvl w:ilvl="2" w:tentative="0">
      <w:start w:val="0"/>
      <w:numFmt w:val="decimal"/>
      <w:lvlText w:val=""/>
      <w:lvlJc w:val="left"/>
      <w:pPr>
        <w:tabs>
          <w:tab w:val="left" w:pos="360"/>
        </w:tabs>
        <w:ind w:left="0" w:firstLine="0"/>
      </w:pPr>
      <w:rPr>
        <w:rFonts w:hint="eastAsia"/>
      </w:rPr>
    </w:lvl>
    <w:lvl w:ilvl="3" w:tentative="0">
      <w:start w:val="0"/>
      <w:numFmt w:val="decimal"/>
      <w:lvlText w:val=""/>
      <w:lvlJc w:val="left"/>
      <w:pPr>
        <w:tabs>
          <w:tab w:val="left" w:pos="360"/>
        </w:tabs>
        <w:ind w:left="0" w:firstLine="0"/>
      </w:pPr>
      <w:rPr>
        <w:rFonts w:hint="eastAsia"/>
      </w:rPr>
    </w:lvl>
    <w:lvl w:ilvl="4" w:tentative="0">
      <w:start w:val="0"/>
      <w:numFmt w:val="decimal"/>
      <w:lvlText w:val=""/>
      <w:lvlJc w:val="left"/>
      <w:pPr>
        <w:tabs>
          <w:tab w:val="left" w:pos="360"/>
        </w:tabs>
        <w:ind w:left="0" w:firstLine="0"/>
      </w:pPr>
      <w:rPr>
        <w:rFonts w:hint="eastAsia"/>
      </w:rPr>
    </w:lvl>
    <w:lvl w:ilvl="5" w:tentative="0">
      <w:start w:val="0"/>
      <w:numFmt w:val="decimal"/>
      <w:lvlText w:val=""/>
      <w:lvlJc w:val="left"/>
      <w:pPr>
        <w:tabs>
          <w:tab w:val="left" w:pos="360"/>
        </w:tabs>
        <w:ind w:left="0" w:firstLine="0"/>
      </w:pPr>
      <w:rPr>
        <w:rFonts w:hint="eastAsia"/>
      </w:rPr>
    </w:lvl>
    <w:lvl w:ilvl="6" w:tentative="0">
      <w:start w:val="0"/>
      <w:numFmt w:val="decimal"/>
      <w:lvlText w:val=""/>
      <w:lvlJc w:val="left"/>
      <w:pPr>
        <w:tabs>
          <w:tab w:val="left" w:pos="360"/>
        </w:tabs>
        <w:ind w:left="0" w:firstLine="0"/>
      </w:pPr>
      <w:rPr>
        <w:rFonts w:hint="eastAsia"/>
      </w:rPr>
    </w:lvl>
    <w:lvl w:ilvl="7" w:tentative="0">
      <w:start w:val="0"/>
      <w:numFmt w:val="decimal"/>
      <w:lvlText w:val=""/>
      <w:lvlJc w:val="left"/>
      <w:pPr>
        <w:tabs>
          <w:tab w:val="left" w:pos="360"/>
        </w:tabs>
        <w:ind w:left="0" w:firstLine="0"/>
      </w:pPr>
      <w:rPr>
        <w:rFonts w:hint="eastAsia"/>
      </w:rPr>
    </w:lvl>
    <w:lvl w:ilvl="8" w:tentative="0">
      <w:start w:val="0"/>
      <w:numFmt w:val="decimal"/>
      <w:lvlText w:val=""/>
      <w:lvlJc w:val="left"/>
      <w:pPr>
        <w:tabs>
          <w:tab w:val="left" w:pos="360"/>
        </w:tabs>
        <w:ind w:left="0" w:firstLine="0"/>
      </w:pPr>
      <w:rPr>
        <w:rFonts w:hint="eastAsia"/>
      </w:rPr>
    </w:lvl>
  </w:abstractNum>
  <w:abstractNum w:abstractNumId="3">
    <w:nsid w:val="00000006"/>
    <w:multiLevelType w:val="singleLevel"/>
    <w:tmpl w:val="00000006"/>
    <w:lvl w:ilvl="0" w:tentative="0">
      <w:start w:val="1"/>
      <w:numFmt w:val="chineseCounting"/>
      <w:suff w:val="nothing"/>
      <w:lvlText w:val="（%1）"/>
      <w:lvlJc w:val="left"/>
      <w:pPr>
        <w:ind w:left="0" w:firstLine="420"/>
      </w:pPr>
      <w:rPr>
        <w:rFonts w:hint="eastAsia"/>
      </w:rPr>
    </w:lvl>
  </w:abstractNum>
  <w:abstractNum w:abstractNumId="4">
    <w:nsid w:val="0000000F"/>
    <w:multiLevelType w:val="multilevel"/>
    <w:tmpl w:val="0000000F"/>
    <w:lvl w:ilvl="0" w:tentative="0">
      <w:start w:val="1"/>
      <w:numFmt w:val="chineseCountingThousand"/>
      <w:lvlText w:val="第%1条"/>
      <w:lvlJc w:val="left"/>
      <w:pPr>
        <w:tabs>
          <w:tab w:val="left" w:pos="0"/>
        </w:tabs>
        <w:ind w:left="0" w:firstLine="400"/>
      </w:pPr>
      <w:rPr>
        <w:rFonts w:hint="eastAsia" w:ascii="宋体" w:hAnsi="宋体" w:eastAsia="宋体"/>
        <w:b/>
        <w:sz w:val="24"/>
        <w:szCs w:val="24"/>
        <w:lang w:val="en-US"/>
      </w:rPr>
    </w:lvl>
    <w:lvl w:ilvl="1" w:tentative="0">
      <w:start w:val="0"/>
      <w:numFmt w:val="decimal"/>
      <w:lvlText w:val=""/>
      <w:lvlJc w:val="left"/>
      <w:pPr>
        <w:tabs>
          <w:tab w:val="left" w:pos="360"/>
        </w:tabs>
        <w:ind w:left="0" w:firstLine="0"/>
      </w:pPr>
      <w:rPr>
        <w:rFonts w:hint="eastAsia"/>
      </w:rPr>
    </w:lvl>
    <w:lvl w:ilvl="2" w:tentative="0">
      <w:start w:val="0"/>
      <w:numFmt w:val="decimal"/>
      <w:lvlText w:val=""/>
      <w:lvlJc w:val="left"/>
      <w:pPr>
        <w:tabs>
          <w:tab w:val="left" w:pos="360"/>
        </w:tabs>
        <w:ind w:left="0" w:firstLine="0"/>
      </w:pPr>
      <w:rPr>
        <w:rFonts w:hint="eastAsia"/>
      </w:rPr>
    </w:lvl>
    <w:lvl w:ilvl="3" w:tentative="0">
      <w:start w:val="0"/>
      <w:numFmt w:val="decimal"/>
      <w:lvlText w:val=""/>
      <w:lvlJc w:val="left"/>
      <w:pPr>
        <w:tabs>
          <w:tab w:val="left" w:pos="360"/>
        </w:tabs>
        <w:ind w:left="0" w:firstLine="0"/>
      </w:pPr>
      <w:rPr>
        <w:rFonts w:hint="eastAsia"/>
      </w:rPr>
    </w:lvl>
    <w:lvl w:ilvl="4" w:tentative="0">
      <w:start w:val="0"/>
      <w:numFmt w:val="decimal"/>
      <w:lvlText w:val=""/>
      <w:lvlJc w:val="left"/>
      <w:pPr>
        <w:tabs>
          <w:tab w:val="left" w:pos="360"/>
        </w:tabs>
        <w:ind w:left="0" w:firstLine="0"/>
      </w:pPr>
      <w:rPr>
        <w:rFonts w:hint="eastAsia"/>
      </w:rPr>
    </w:lvl>
    <w:lvl w:ilvl="5" w:tentative="0">
      <w:start w:val="0"/>
      <w:numFmt w:val="decimal"/>
      <w:lvlText w:val=""/>
      <w:lvlJc w:val="left"/>
      <w:pPr>
        <w:tabs>
          <w:tab w:val="left" w:pos="360"/>
        </w:tabs>
        <w:ind w:left="0" w:firstLine="0"/>
      </w:pPr>
      <w:rPr>
        <w:rFonts w:hint="eastAsia"/>
      </w:rPr>
    </w:lvl>
    <w:lvl w:ilvl="6" w:tentative="0">
      <w:start w:val="0"/>
      <w:numFmt w:val="decimal"/>
      <w:lvlText w:val=""/>
      <w:lvlJc w:val="left"/>
      <w:pPr>
        <w:tabs>
          <w:tab w:val="left" w:pos="360"/>
        </w:tabs>
        <w:ind w:left="0" w:firstLine="0"/>
      </w:pPr>
      <w:rPr>
        <w:rFonts w:hint="eastAsia"/>
      </w:rPr>
    </w:lvl>
    <w:lvl w:ilvl="7" w:tentative="0">
      <w:start w:val="0"/>
      <w:numFmt w:val="decimal"/>
      <w:lvlText w:val=""/>
      <w:lvlJc w:val="left"/>
      <w:pPr>
        <w:tabs>
          <w:tab w:val="left" w:pos="360"/>
        </w:tabs>
        <w:ind w:left="0" w:firstLine="0"/>
      </w:pPr>
      <w:rPr>
        <w:rFonts w:hint="eastAsia"/>
      </w:rPr>
    </w:lvl>
    <w:lvl w:ilvl="8" w:tentative="0">
      <w:start w:val="0"/>
      <w:numFmt w:val="decimal"/>
      <w:lvlText w:val=""/>
      <w:lvlJc w:val="left"/>
      <w:pPr>
        <w:tabs>
          <w:tab w:val="left" w:pos="360"/>
        </w:tabs>
        <w:ind w:left="0" w:firstLine="0"/>
      </w:pPr>
      <w:rPr>
        <w:rFonts w:hint="eastAsia"/>
      </w:rPr>
    </w:lvl>
  </w:abstractNum>
  <w:abstractNum w:abstractNumId="5">
    <w:nsid w:val="0C9842A1"/>
    <w:multiLevelType w:val="multilevel"/>
    <w:tmpl w:val="0C9842A1"/>
    <w:lvl w:ilvl="0" w:tentative="0">
      <w:start w:val="1"/>
      <w:numFmt w:val="chineseCountingThousand"/>
      <w:pStyle w:val="2"/>
      <w:suff w:val="nothing"/>
      <w:lvlText w:val="第%1章"/>
      <w:lvlJc w:val="left"/>
      <w:pPr>
        <w:ind w:left="0" w:firstLine="0"/>
      </w:pPr>
      <w:rPr>
        <w:rFonts w:hint="eastAsia" w:ascii="楷体_GB2312" w:eastAsia="楷体_GB2312"/>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6">
    <w:nsid w:val="6E4468BC"/>
    <w:multiLevelType w:val="multilevel"/>
    <w:tmpl w:val="6E4468BC"/>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5"/>
  </w:num>
  <w:num w:numId="2">
    <w:abstractNumId w:val="6"/>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07C"/>
    <w:rsid w:val="00011515"/>
    <w:rsid w:val="00012341"/>
    <w:rsid w:val="0001256A"/>
    <w:rsid w:val="000359D7"/>
    <w:rsid w:val="00040990"/>
    <w:rsid w:val="00046D88"/>
    <w:rsid w:val="00052EFD"/>
    <w:rsid w:val="0005797C"/>
    <w:rsid w:val="000648C7"/>
    <w:rsid w:val="00072F52"/>
    <w:rsid w:val="00074188"/>
    <w:rsid w:val="00076E95"/>
    <w:rsid w:val="000854A9"/>
    <w:rsid w:val="0008627E"/>
    <w:rsid w:val="0009194A"/>
    <w:rsid w:val="0009279B"/>
    <w:rsid w:val="00092B6E"/>
    <w:rsid w:val="00092D43"/>
    <w:rsid w:val="000A109D"/>
    <w:rsid w:val="000A1CEF"/>
    <w:rsid w:val="000A60C9"/>
    <w:rsid w:val="000A60EF"/>
    <w:rsid w:val="000A7993"/>
    <w:rsid w:val="000B5468"/>
    <w:rsid w:val="000C4064"/>
    <w:rsid w:val="000D00A3"/>
    <w:rsid w:val="000E04FB"/>
    <w:rsid w:val="000E361B"/>
    <w:rsid w:val="000E72E9"/>
    <w:rsid w:val="000F5798"/>
    <w:rsid w:val="001131A6"/>
    <w:rsid w:val="001379A4"/>
    <w:rsid w:val="001464BE"/>
    <w:rsid w:val="00146764"/>
    <w:rsid w:val="00151E2A"/>
    <w:rsid w:val="00157164"/>
    <w:rsid w:val="0016134A"/>
    <w:rsid w:val="001633A1"/>
    <w:rsid w:val="00175848"/>
    <w:rsid w:val="00175BAA"/>
    <w:rsid w:val="0018436F"/>
    <w:rsid w:val="00187828"/>
    <w:rsid w:val="00190EC4"/>
    <w:rsid w:val="00193E04"/>
    <w:rsid w:val="001A3EB8"/>
    <w:rsid w:val="001A5F27"/>
    <w:rsid w:val="001A6BE6"/>
    <w:rsid w:val="001A798D"/>
    <w:rsid w:val="001B5388"/>
    <w:rsid w:val="001C2577"/>
    <w:rsid w:val="001C57CA"/>
    <w:rsid w:val="001C5B7B"/>
    <w:rsid w:val="001D2AE2"/>
    <w:rsid w:val="001D3ADF"/>
    <w:rsid w:val="001D46C4"/>
    <w:rsid w:val="001F6774"/>
    <w:rsid w:val="00200390"/>
    <w:rsid w:val="00212DDA"/>
    <w:rsid w:val="00224657"/>
    <w:rsid w:val="00233086"/>
    <w:rsid w:val="002367B6"/>
    <w:rsid w:val="00251661"/>
    <w:rsid w:val="00253C8F"/>
    <w:rsid w:val="00255CE4"/>
    <w:rsid w:val="00256DEA"/>
    <w:rsid w:val="00266EC2"/>
    <w:rsid w:val="002836D8"/>
    <w:rsid w:val="002945BF"/>
    <w:rsid w:val="002A19EA"/>
    <w:rsid w:val="002A60AA"/>
    <w:rsid w:val="002B0C3C"/>
    <w:rsid w:val="002B1C86"/>
    <w:rsid w:val="002B28C5"/>
    <w:rsid w:val="002C7965"/>
    <w:rsid w:val="002D4F65"/>
    <w:rsid w:val="002D77CD"/>
    <w:rsid w:val="002E10C5"/>
    <w:rsid w:val="002E1CB2"/>
    <w:rsid w:val="002F056F"/>
    <w:rsid w:val="00300C1B"/>
    <w:rsid w:val="00321FA1"/>
    <w:rsid w:val="00325A14"/>
    <w:rsid w:val="003520F9"/>
    <w:rsid w:val="00363F83"/>
    <w:rsid w:val="00371734"/>
    <w:rsid w:val="003748C7"/>
    <w:rsid w:val="00376CD1"/>
    <w:rsid w:val="00377CBF"/>
    <w:rsid w:val="00380255"/>
    <w:rsid w:val="00383BD7"/>
    <w:rsid w:val="00387E85"/>
    <w:rsid w:val="003904B0"/>
    <w:rsid w:val="003940C9"/>
    <w:rsid w:val="003950A0"/>
    <w:rsid w:val="003A0AFA"/>
    <w:rsid w:val="003A4196"/>
    <w:rsid w:val="003A69B6"/>
    <w:rsid w:val="003B0FB4"/>
    <w:rsid w:val="003B1402"/>
    <w:rsid w:val="003B1414"/>
    <w:rsid w:val="003D062F"/>
    <w:rsid w:val="003E13BA"/>
    <w:rsid w:val="003E5472"/>
    <w:rsid w:val="003F025F"/>
    <w:rsid w:val="003F0F2B"/>
    <w:rsid w:val="003F3EB1"/>
    <w:rsid w:val="004058AB"/>
    <w:rsid w:val="004064E0"/>
    <w:rsid w:val="004275CC"/>
    <w:rsid w:val="0043120E"/>
    <w:rsid w:val="004326B5"/>
    <w:rsid w:val="00444283"/>
    <w:rsid w:val="00450242"/>
    <w:rsid w:val="0045174F"/>
    <w:rsid w:val="00460D6E"/>
    <w:rsid w:val="00461CCB"/>
    <w:rsid w:val="00466932"/>
    <w:rsid w:val="00467555"/>
    <w:rsid w:val="00467F5B"/>
    <w:rsid w:val="0047210E"/>
    <w:rsid w:val="004836FF"/>
    <w:rsid w:val="004963EF"/>
    <w:rsid w:val="004A40A2"/>
    <w:rsid w:val="004A55BD"/>
    <w:rsid w:val="004B0F46"/>
    <w:rsid w:val="004B3727"/>
    <w:rsid w:val="004C287C"/>
    <w:rsid w:val="004C2E13"/>
    <w:rsid w:val="004C662C"/>
    <w:rsid w:val="004C7017"/>
    <w:rsid w:val="004E3873"/>
    <w:rsid w:val="004F3387"/>
    <w:rsid w:val="00502F89"/>
    <w:rsid w:val="00507F6F"/>
    <w:rsid w:val="00512606"/>
    <w:rsid w:val="00520694"/>
    <w:rsid w:val="00521CA4"/>
    <w:rsid w:val="00533A91"/>
    <w:rsid w:val="0054271B"/>
    <w:rsid w:val="00556020"/>
    <w:rsid w:val="00564DA1"/>
    <w:rsid w:val="00591621"/>
    <w:rsid w:val="005923E0"/>
    <w:rsid w:val="00593883"/>
    <w:rsid w:val="0059418D"/>
    <w:rsid w:val="005A3A3C"/>
    <w:rsid w:val="005A5175"/>
    <w:rsid w:val="005A6DBE"/>
    <w:rsid w:val="005B7640"/>
    <w:rsid w:val="005E1548"/>
    <w:rsid w:val="005F1DE9"/>
    <w:rsid w:val="005F43C6"/>
    <w:rsid w:val="005F753F"/>
    <w:rsid w:val="00603607"/>
    <w:rsid w:val="006067A6"/>
    <w:rsid w:val="00611B02"/>
    <w:rsid w:val="00616299"/>
    <w:rsid w:val="00625938"/>
    <w:rsid w:val="0063742C"/>
    <w:rsid w:val="0065615B"/>
    <w:rsid w:val="00662248"/>
    <w:rsid w:val="006655DB"/>
    <w:rsid w:val="00665E59"/>
    <w:rsid w:val="00672BD7"/>
    <w:rsid w:val="00675C9D"/>
    <w:rsid w:val="00684D0C"/>
    <w:rsid w:val="006916D7"/>
    <w:rsid w:val="00692033"/>
    <w:rsid w:val="00692291"/>
    <w:rsid w:val="00695F13"/>
    <w:rsid w:val="006A5189"/>
    <w:rsid w:val="006D004D"/>
    <w:rsid w:val="006D6DBE"/>
    <w:rsid w:val="006D79E5"/>
    <w:rsid w:val="006E7008"/>
    <w:rsid w:val="006E7EC8"/>
    <w:rsid w:val="006F1A7D"/>
    <w:rsid w:val="006F592B"/>
    <w:rsid w:val="00702928"/>
    <w:rsid w:val="00703D8E"/>
    <w:rsid w:val="00706799"/>
    <w:rsid w:val="00717202"/>
    <w:rsid w:val="0072162A"/>
    <w:rsid w:val="00722D25"/>
    <w:rsid w:val="00722FC0"/>
    <w:rsid w:val="00726055"/>
    <w:rsid w:val="00726B88"/>
    <w:rsid w:val="00730DA8"/>
    <w:rsid w:val="00731225"/>
    <w:rsid w:val="00740731"/>
    <w:rsid w:val="00746091"/>
    <w:rsid w:val="00752262"/>
    <w:rsid w:val="00760629"/>
    <w:rsid w:val="007625A8"/>
    <w:rsid w:val="0077523D"/>
    <w:rsid w:val="007778C2"/>
    <w:rsid w:val="00781969"/>
    <w:rsid w:val="00785551"/>
    <w:rsid w:val="00785A48"/>
    <w:rsid w:val="007904BF"/>
    <w:rsid w:val="007B0F8A"/>
    <w:rsid w:val="007B2060"/>
    <w:rsid w:val="007B31BB"/>
    <w:rsid w:val="007B7AAC"/>
    <w:rsid w:val="007C6951"/>
    <w:rsid w:val="007C72A8"/>
    <w:rsid w:val="007D1DEB"/>
    <w:rsid w:val="007D2B7A"/>
    <w:rsid w:val="007E59F5"/>
    <w:rsid w:val="007E7140"/>
    <w:rsid w:val="007F1A86"/>
    <w:rsid w:val="007F4C21"/>
    <w:rsid w:val="00801F92"/>
    <w:rsid w:val="008108E8"/>
    <w:rsid w:val="00814397"/>
    <w:rsid w:val="00816B4C"/>
    <w:rsid w:val="008212C5"/>
    <w:rsid w:val="008214E9"/>
    <w:rsid w:val="008226F5"/>
    <w:rsid w:val="00836282"/>
    <w:rsid w:val="00847EBA"/>
    <w:rsid w:val="00852F04"/>
    <w:rsid w:val="0086473E"/>
    <w:rsid w:val="00871A12"/>
    <w:rsid w:val="008769FB"/>
    <w:rsid w:val="008868C7"/>
    <w:rsid w:val="00887080"/>
    <w:rsid w:val="00891B31"/>
    <w:rsid w:val="00893B15"/>
    <w:rsid w:val="008A29CF"/>
    <w:rsid w:val="008C51E7"/>
    <w:rsid w:val="008C59BA"/>
    <w:rsid w:val="008C5B40"/>
    <w:rsid w:val="008D07C7"/>
    <w:rsid w:val="008D10E8"/>
    <w:rsid w:val="008D1BF0"/>
    <w:rsid w:val="008D1C97"/>
    <w:rsid w:val="008F1091"/>
    <w:rsid w:val="0090231C"/>
    <w:rsid w:val="00905E88"/>
    <w:rsid w:val="00912741"/>
    <w:rsid w:val="009131AA"/>
    <w:rsid w:val="00915929"/>
    <w:rsid w:val="00960198"/>
    <w:rsid w:val="009776CF"/>
    <w:rsid w:val="009844A6"/>
    <w:rsid w:val="00984B12"/>
    <w:rsid w:val="00987920"/>
    <w:rsid w:val="009913D2"/>
    <w:rsid w:val="009923E3"/>
    <w:rsid w:val="00992E7B"/>
    <w:rsid w:val="009A6FA8"/>
    <w:rsid w:val="009B465F"/>
    <w:rsid w:val="009C7994"/>
    <w:rsid w:val="009D3F8C"/>
    <w:rsid w:val="009D5810"/>
    <w:rsid w:val="009D71C8"/>
    <w:rsid w:val="009E18C0"/>
    <w:rsid w:val="009E251E"/>
    <w:rsid w:val="009E6750"/>
    <w:rsid w:val="009F0EFC"/>
    <w:rsid w:val="009F720D"/>
    <w:rsid w:val="00A031D2"/>
    <w:rsid w:val="00A06E8B"/>
    <w:rsid w:val="00A17BBA"/>
    <w:rsid w:val="00A2320C"/>
    <w:rsid w:val="00A32C8D"/>
    <w:rsid w:val="00A404F7"/>
    <w:rsid w:val="00A41702"/>
    <w:rsid w:val="00A4274A"/>
    <w:rsid w:val="00A43B4C"/>
    <w:rsid w:val="00A5733D"/>
    <w:rsid w:val="00A76992"/>
    <w:rsid w:val="00A82E28"/>
    <w:rsid w:val="00AA0E38"/>
    <w:rsid w:val="00AC4B4A"/>
    <w:rsid w:val="00AC59A9"/>
    <w:rsid w:val="00AC5F18"/>
    <w:rsid w:val="00AD5AEC"/>
    <w:rsid w:val="00AF1D60"/>
    <w:rsid w:val="00AF2BF0"/>
    <w:rsid w:val="00AF7019"/>
    <w:rsid w:val="00B1785B"/>
    <w:rsid w:val="00B2606A"/>
    <w:rsid w:val="00B27D7A"/>
    <w:rsid w:val="00B36266"/>
    <w:rsid w:val="00B4566E"/>
    <w:rsid w:val="00B46958"/>
    <w:rsid w:val="00B47DA9"/>
    <w:rsid w:val="00B55271"/>
    <w:rsid w:val="00B8798C"/>
    <w:rsid w:val="00B87C28"/>
    <w:rsid w:val="00B90875"/>
    <w:rsid w:val="00B94D43"/>
    <w:rsid w:val="00B95A62"/>
    <w:rsid w:val="00BB0D90"/>
    <w:rsid w:val="00BB5DB6"/>
    <w:rsid w:val="00BD397F"/>
    <w:rsid w:val="00BD72EC"/>
    <w:rsid w:val="00BE1922"/>
    <w:rsid w:val="00BE329E"/>
    <w:rsid w:val="00C00509"/>
    <w:rsid w:val="00C017D8"/>
    <w:rsid w:val="00C01DCB"/>
    <w:rsid w:val="00C0500F"/>
    <w:rsid w:val="00C13E9D"/>
    <w:rsid w:val="00C20E52"/>
    <w:rsid w:val="00C21CFD"/>
    <w:rsid w:val="00C36D44"/>
    <w:rsid w:val="00C40567"/>
    <w:rsid w:val="00C53C4F"/>
    <w:rsid w:val="00C641B7"/>
    <w:rsid w:val="00C65637"/>
    <w:rsid w:val="00C71A4B"/>
    <w:rsid w:val="00C722D0"/>
    <w:rsid w:val="00C72B50"/>
    <w:rsid w:val="00C76BC8"/>
    <w:rsid w:val="00C81EFC"/>
    <w:rsid w:val="00C9010F"/>
    <w:rsid w:val="00C9079D"/>
    <w:rsid w:val="00C915D6"/>
    <w:rsid w:val="00C93079"/>
    <w:rsid w:val="00CA6052"/>
    <w:rsid w:val="00CB0DEA"/>
    <w:rsid w:val="00CB4323"/>
    <w:rsid w:val="00CC298C"/>
    <w:rsid w:val="00CC37AA"/>
    <w:rsid w:val="00CC7AF5"/>
    <w:rsid w:val="00CE2C52"/>
    <w:rsid w:val="00CF647B"/>
    <w:rsid w:val="00D03D0F"/>
    <w:rsid w:val="00D0495A"/>
    <w:rsid w:val="00D065D1"/>
    <w:rsid w:val="00D076DA"/>
    <w:rsid w:val="00D171C3"/>
    <w:rsid w:val="00D30A08"/>
    <w:rsid w:val="00D310A0"/>
    <w:rsid w:val="00D31625"/>
    <w:rsid w:val="00D544A1"/>
    <w:rsid w:val="00D55844"/>
    <w:rsid w:val="00D55BEE"/>
    <w:rsid w:val="00D835BC"/>
    <w:rsid w:val="00D87166"/>
    <w:rsid w:val="00D87FFA"/>
    <w:rsid w:val="00D917C3"/>
    <w:rsid w:val="00D941DC"/>
    <w:rsid w:val="00D96F01"/>
    <w:rsid w:val="00DA30D2"/>
    <w:rsid w:val="00DB47A8"/>
    <w:rsid w:val="00DB7E41"/>
    <w:rsid w:val="00DC0B95"/>
    <w:rsid w:val="00DC4286"/>
    <w:rsid w:val="00DC65ED"/>
    <w:rsid w:val="00DE3BCA"/>
    <w:rsid w:val="00DE50CE"/>
    <w:rsid w:val="00DF6E68"/>
    <w:rsid w:val="00E00ABE"/>
    <w:rsid w:val="00E024E9"/>
    <w:rsid w:val="00E05D1D"/>
    <w:rsid w:val="00E06E69"/>
    <w:rsid w:val="00E11C22"/>
    <w:rsid w:val="00E177AA"/>
    <w:rsid w:val="00E24287"/>
    <w:rsid w:val="00E32F52"/>
    <w:rsid w:val="00E337DE"/>
    <w:rsid w:val="00E33EC6"/>
    <w:rsid w:val="00E35AAE"/>
    <w:rsid w:val="00E439D9"/>
    <w:rsid w:val="00E50463"/>
    <w:rsid w:val="00E5210E"/>
    <w:rsid w:val="00E65287"/>
    <w:rsid w:val="00E66817"/>
    <w:rsid w:val="00E72391"/>
    <w:rsid w:val="00E7285D"/>
    <w:rsid w:val="00EA2388"/>
    <w:rsid w:val="00EA7CF2"/>
    <w:rsid w:val="00EB0C4E"/>
    <w:rsid w:val="00EB1E33"/>
    <w:rsid w:val="00EB53E5"/>
    <w:rsid w:val="00EC2621"/>
    <w:rsid w:val="00ED339F"/>
    <w:rsid w:val="00EE4416"/>
    <w:rsid w:val="00EE4C95"/>
    <w:rsid w:val="00EF1CB9"/>
    <w:rsid w:val="00EF69AF"/>
    <w:rsid w:val="00F04E10"/>
    <w:rsid w:val="00F107CD"/>
    <w:rsid w:val="00F2157F"/>
    <w:rsid w:val="00F265DB"/>
    <w:rsid w:val="00F3011F"/>
    <w:rsid w:val="00F41392"/>
    <w:rsid w:val="00F42841"/>
    <w:rsid w:val="00F439E5"/>
    <w:rsid w:val="00F43AD1"/>
    <w:rsid w:val="00F54D31"/>
    <w:rsid w:val="00F5530A"/>
    <w:rsid w:val="00F61B5A"/>
    <w:rsid w:val="00F63C7B"/>
    <w:rsid w:val="00F65B06"/>
    <w:rsid w:val="00F65DF5"/>
    <w:rsid w:val="00F665A0"/>
    <w:rsid w:val="00F72716"/>
    <w:rsid w:val="00F72B41"/>
    <w:rsid w:val="00F80FB4"/>
    <w:rsid w:val="00F82B63"/>
    <w:rsid w:val="00F87213"/>
    <w:rsid w:val="00F922B3"/>
    <w:rsid w:val="00F935B6"/>
    <w:rsid w:val="00F972A9"/>
    <w:rsid w:val="00F97B1A"/>
    <w:rsid w:val="00FA2914"/>
    <w:rsid w:val="00FA3475"/>
    <w:rsid w:val="00FB3F8E"/>
    <w:rsid w:val="00FC333A"/>
    <w:rsid w:val="00FC46E3"/>
    <w:rsid w:val="00FC52B7"/>
    <w:rsid w:val="00FC6C92"/>
    <w:rsid w:val="00FE6251"/>
    <w:rsid w:val="00FF486C"/>
    <w:rsid w:val="048707FB"/>
    <w:rsid w:val="0A072481"/>
    <w:rsid w:val="0F7D0556"/>
    <w:rsid w:val="100D6E4B"/>
    <w:rsid w:val="19FF64B5"/>
    <w:rsid w:val="30D034A6"/>
    <w:rsid w:val="46FF1807"/>
    <w:rsid w:val="5BAD4574"/>
    <w:rsid w:val="612F717E"/>
    <w:rsid w:val="731068D5"/>
    <w:rsid w:val="77A108D3"/>
    <w:rsid w:val="7C3A35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adjustRightInd w:val="0"/>
      <w:spacing w:line="360" w:lineRule="atLeast"/>
      <w:jc w:val="both"/>
      <w:textAlignment w:val="baseline"/>
    </w:pPr>
    <w:rPr>
      <w:rFonts w:eastAsia="Times New Roman"/>
      <w:kern w:val="2"/>
      <w:sz w:val="21"/>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44"/>
      <w:szCs w:val="44"/>
    </w:rPr>
  </w:style>
  <w:style w:type="character" w:default="1" w:styleId="17">
    <w:name w:val="Default Paragraph Font"/>
    <w:uiPriority w:val="0"/>
  </w:style>
  <w:style w:type="table" w:default="1" w:styleId="16">
    <w:name w:val="Normal Table"/>
    <w:unhideWhenUsed/>
    <w:uiPriority w:val="99"/>
    <w:tblPr>
      <w:tblStyle w:val="16"/>
      <w:tblCellMar>
        <w:top w:w="0" w:type="dxa"/>
        <w:left w:w="108" w:type="dxa"/>
        <w:bottom w:w="0" w:type="dxa"/>
        <w:right w:w="108" w:type="dxa"/>
      </w:tblCellMar>
    </w:tblPr>
  </w:style>
  <w:style w:type="paragraph" w:styleId="3">
    <w:name w:val="Document Map"/>
    <w:basedOn w:val="1"/>
    <w:link w:val="23"/>
    <w:uiPriority w:val="0"/>
    <w:rPr>
      <w:rFonts w:ascii="宋体"/>
      <w:sz w:val="18"/>
      <w:szCs w:val="18"/>
    </w:rPr>
  </w:style>
  <w:style w:type="paragraph" w:styleId="4">
    <w:name w:val="annotation text"/>
    <w:basedOn w:val="1"/>
    <w:uiPriority w:val="0"/>
    <w:pPr>
      <w:jc w:val="left"/>
    </w:pPr>
    <w:rPr>
      <w:sz w:val="28"/>
    </w:rPr>
  </w:style>
  <w:style w:type="paragraph" w:styleId="5">
    <w:name w:val="Body Text Indent"/>
    <w:basedOn w:val="1"/>
    <w:uiPriority w:val="0"/>
    <w:pPr>
      <w:spacing w:line="440" w:lineRule="exact"/>
      <w:ind w:firstLine="480" w:firstLineChars="200"/>
    </w:pPr>
    <w:rPr>
      <w:rFonts w:ascii="宋体" w:hAnsi="宋体"/>
      <w:sz w:val="24"/>
    </w:rPr>
  </w:style>
  <w:style w:type="paragraph" w:styleId="6">
    <w:name w:val="Plain Text"/>
    <w:basedOn w:val="1"/>
    <w:uiPriority w:val="0"/>
    <w:rPr>
      <w:rFonts w:ascii="宋体" w:hAnsi="Courier New"/>
    </w:rPr>
  </w:style>
  <w:style w:type="paragraph" w:styleId="7">
    <w:name w:val="Date"/>
    <w:basedOn w:val="1"/>
    <w:next w:val="1"/>
    <w:uiPriority w:val="0"/>
    <w:pPr>
      <w:ind w:left="100" w:leftChars="2500"/>
    </w:pPr>
    <w:rPr>
      <w:rFonts w:eastAsia="黑体"/>
      <w:b/>
      <w:sz w:val="36"/>
    </w:rPr>
  </w:style>
  <w:style w:type="paragraph" w:styleId="8">
    <w:name w:val="Body Text Indent 2"/>
    <w:basedOn w:val="1"/>
    <w:uiPriority w:val="0"/>
    <w:pPr>
      <w:spacing w:line="380" w:lineRule="exact"/>
      <w:ind w:firstLine="480" w:firstLineChars="200"/>
    </w:pPr>
    <w:rPr>
      <w:rFonts w:ascii="宋体" w:hAnsi="宋体"/>
      <w:sz w:val="24"/>
      <w:u w:val="single"/>
    </w:rPr>
  </w:style>
  <w:style w:type="paragraph" w:styleId="9">
    <w:name w:val="Balloon Text"/>
    <w:basedOn w:val="1"/>
    <w:uiPriority w:val="0"/>
    <w:rPr>
      <w:sz w:val="18"/>
    </w:rPr>
  </w:style>
  <w:style w:type="paragraph" w:styleId="10">
    <w:name w:val="footer"/>
    <w:basedOn w:val="1"/>
    <w:link w:val="22"/>
    <w:uiPriority w:val="0"/>
    <w:pPr>
      <w:tabs>
        <w:tab w:val="center" w:pos="4153"/>
        <w:tab w:val="right" w:pos="8306"/>
      </w:tabs>
      <w:snapToGrid w:val="0"/>
      <w:jc w:val="left"/>
    </w:pPr>
    <w:rPr>
      <w:sz w:val="18"/>
    </w:rPr>
  </w:style>
  <w:style w:type="paragraph" w:styleId="11">
    <w:name w:val="header"/>
    <w:basedOn w:val="1"/>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uiPriority w:val="39"/>
  </w:style>
  <w:style w:type="paragraph" w:styleId="13">
    <w:name w:val="Body Text Indent 3"/>
    <w:basedOn w:val="1"/>
    <w:uiPriority w:val="0"/>
    <w:pPr>
      <w:spacing w:line="440" w:lineRule="exact"/>
      <w:ind w:firstLine="480" w:firstLineChars="200"/>
    </w:pPr>
    <w:rPr>
      <w:rFonts w:ascii="宋体" w:hAnsi="宋体"/>
      <w:sz w:val="24"/>
      <w:shd w:val="pct10" w:color="auto" w:fill="FFFFFF"/>
    </w:rPr>
  </w:style>
  <w:style w:type="paragraph" w:styleId="14">
    <w:name w:val="Normal (Web)"/>
    <w:basedOn w:val="1"/>
    <w:uiPriority w:val="0"/>
    <w:pPr>
      <w:widowControl/>
      <w:spacing w:before="100" w:beforeAutospacing="1" w:after="100" w:afterAutospacing="1"/>
      <w:jc w:val="left"/>
    </w:pPr>
    <w:rPr>
      <w:rFonts w:ascii="宋体" w:hAnsi="宋体"/>
      <w:kern w:val="0"/>
      <w:sz w:val="24"/>
    </w:rPr>
  </w:style>
  <w:style w:type="paragraph" w:styleId="15">
    <w:name w:val="annotation subject"/>
    <w:basedOn w:val="4"/>
    <w:next w:val="4"/>
    <w:uiPriority w:val="0"/>
    <w:rPr>
      <w:b/>
      <w:sz w:val="21"/>
    </w:rPr>
  </w:style>
  <w:style w:type="character" w:styleId="18">
    <w:name w:val="page number"/>
    <w:uiPriority w:val="0"/>
  </w:style>
  <w:style w:type="character" w:styleId="19">
    <w:name w:val="Hyperlink"/>
    <w:uiPriority w:val="99"/>
    <w:rPr>
      <w:color w:val="0000FF"/>
      <w:u w:val="single"/>
    </w:rPr>
  </w:style>
  <w:style w:type="character" w:styleId="20">
    <w:name w:val="annotation reference"/>
    <w:uiPriority w:val="0"/>
    <w:rPr>
      <w:sz w:val="21"/>
    </w:rPr>
  </w:style>
  <w:style w:type="character" w:customStyle="1" w:styleId="21">
    <w:name w:val="da"/>
    <w:uiPriority w:val="0"/>
  </w:style>
  <w:style w:type="character" w:customStyle="1" w:styleId="22">
    <w:name w:val="页脚 Char"/>
    <w:link w:val="10"/>
    <w:uiPriority w:val="0"/>
    <w:rPr>
      <w:kern w:val="2"/>
      <w:sz w:val="18"/>
    </w:rPr>
  </w:style>
  <w:style w:type="character" w:customStyle="1" w:styleId="23">
    <w:name w:val="文档结构图 Char"/>
    <w:link w:val="3"/>
    <w:uiPriority w:val="0"/>
    <w:rPr>
      <w:rFonts w:ascii="宋体"/>
      <w:kern w:val="2"/>
      <w:sz w:val="18"/>
      <w:szCs w:val="18"/>
    </w:rPr>
  </w:style>
  <w:style w:type="character" w:customStyle="1" w:styleId="24">
    <w:name w:val="标题 1 Char"/>
    <w:link w:val="2"/>
    <w:uiPriority w:val="9"/>
    <w:rPr>
      <w:b/>
      <w:bCs/>
      <w:kern w:val="44"/>
      <w:sz w:val="44"/>
      <w:szCs w:val="44"/>
    </w:rPr>
  </w:style>
  <w:style w:type="paragraph" w:customStyle="1" w:styleId="25">
    <w:name w:val=" Char Char Char"/>
    <w:basedOn w:val="1"/>
    <w:uiPriority w:val="0"/>
    <w:pPr>
      <w:widowControl/>
      <w:spacing w:after="160" w:line="240" w:lineRule="exact"/>
      <w:jc w:val="left"/>
    </w:pPr>
    <w:rPr>
      <w:rFonts w:ascii="Tahoma" w:hAnsi="Tahoma"/>
      <w:kern w:val="0"/>
      <w:sz w:val="28"/>
      <w:szCs w:val="24"/>
      <w:lang w:eastAsia="en-US"/>
    </w:rPr>
  </w:style>
  <w:style w:type="paragraph" w:customStyle="1" w:styleId="26">
    <w:name w:val="1 Char Char Char Char"/>
    <w:basedOn w:val="1"/>
    <w:uiPriority w:val="0"/>
  </w:style>
  <w:style w:type="paragraph" w:customStyle="1" w:styleId="27">
    <w:name w:val="Char Char Char Char Char Char"/>
    <w:basedOn w:val="1"/>
    <w:uiPriority w:val="0"/>
    <w:pPr>
      <w:widowControl/>
      <w:spacing w:after="160" w:line="240" w:lineRule="exact"/>
      <w:jc w:val="left"/>
    </w:pPr>
  </w:style>
  <w:style w:type="paragraph" w:customStyle="1" w:styleId="28">
    <w:name w:val="默认段落字体 Para Char"/>
    <w:basedOn w:val="1"/>
    <w:uiPriority w:val="0"/>
    <w:pPr>
      <w:spacing w:line="360" w:lineRule="auto"/>
    </w:pPr>
    <w:rPr>
      <w:kern w:val="0"/>
      <w:sz w:val="24"/>
    </w:rPr>
  </w:style>
  <w:style w:type="paragraph" w:customStyle="1" w:styleId="29">
    <w:name w:val=" Char"/>
    <w:basedOn w:val="1"/>
    <w:uiPriority w:val="0"/>
    <w:rPr>
      <w:sz w:val="18"/>
    </w:rPr>
  </w:style>
  <w:style w:type="paragraph" w:customStyle="1" w:styleId="30">
    <w:name w:val="K&amp;W Body text"/>
    <w:basedOn w:val="1"/>
    <w:uiPriority w:val="0"/>
    <w:pPr>
      <w:widowControl/>
      <w:spacing w:after="360" w:line="320" w:lineRule="atLeast"/>
      <w:ind w:firstLine="200" w:firstLineChars="200"/>
    </w:pPr>
    <w:rPr>
      <w:rFonts w:ascii="Arial" w:hAnsi="Arial" w:eastAsia="楷体_GB2312"/>
      <w:kern w:val="0"/>
      <w:sz w:val="24"/>
      <w:lang w:eastAsia="en-US"/>
    </w:rPr>
  </w:style>
  <w:style w:type="paragraph" w:customStyle="1" w:styleId="31">
    <w:name w:val="Default"/>
    <w:uiPriority w:val="0"/>
    <w:pPr>
      <w:widowControl w:val="0"/>
      <w:autoSpaceDE w:val="0"/>
      <w:autoSpaceDN w:val="0"/>
      <w:adjustRightInd w:val="0"/>
      <w:spacing w:line="360" w:lineRule="atLeast"/>
      <w:jc w:val="both"/>
      <w:textAlignment w:val="baseline"/>
    </w:pPr>
    <w:rPr>
      <w:rFonts w:ascii="楷体_GB2312" w:eastAsia="楷体_GB2312" w:cs="楷体_GB2312"/>
      <w:color w:val="000000"/>
      <w:sz w:val="24"/>
      <w:szCs w:val="24"/>
      <w:lang w:val="en-US" w:eastAsia="zh-CN" w:bidi="ar-SA"/>
    </w:rPr>
  </w:style>
  <w:style w:type="paragraph" w:customStyle="1" w:styleId="32">
    <w:name w:val=" Char Char Char1 Char"/>
    <w:basedOn w:val="3"/>
    <w:semiHidden/>
    <w:uiPriority w:val="0"/>
    <w:pPr>
      <w:shd w:val="clear" w:color="auto" w:fill="000080"/>
      <w:adjustRightInd/>
      <w:spacing w:line="240" w:lineRule="auto"/>
      <w:textAlignment w:val="auto"/>
    </w:pPr>
    <w:rPr>
      <w:rFonts w:ascii="Tahoma" w:hAnsi="Tahoma" w:eastAsia="宋体" w:cs="Tahoma"/>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KWM</Company>
  <Pages>12</Pages>
  <Words>8343</Words>
  <Characters>8429</Characters>
  <Lines>61</Lines>
  <Paragraphs>17</Paragraphs>
  <TotalTime>0</TotalTime>
  <ScaleCrop>false</ScaleCrop>
  <LinksUpToDate>false</LinksUpToDate>
  <CharactersWithSpaces>8490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2025-06-20T02:12:00Z</dcterms:created>
  <dc:creator>KWM</dc:creator>
  <cp:lastModifiedBy>WSY</cp:lastModifiedBy>
  <cp:lastPrinted>2014-06-09T11:08:00Z</cp:lastPrinted>
  <dcterms:modified xsi:type="dcterms:W3CDTF">2025-06-20T08:41:42Z</dcterms:modified>
  <dc:title>董事会议事规则</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10E03A7CB8584E2C8122648417EBB23D_13</vt:lpwstr>
  </property>
</Properties>
</file>