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B23E">
      <w:pPr>
        <w:spacing w:line="440" w:lineRule="exact"/>
        <w:jc w:val="center"/>
        <w:rPr>
          <w:rFonts w:hint="eastAsia" w:ascii="黑体" w:hAnsi="黑体" w:eastAsia="黑体"/>
          <w:bCs/>
          <w:kern w:val="0"/>
          <w:szCs w:val="21"/>
          <w:lang w:eastAsia="zh-CN"/>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公告编号：</w:t>
      </w:r>
      <w:r>
        <w:rPr>
          <w:rFonts w:hint="eastAsia" w:ascii="黑体" w:hAnsi="黑体" w:eastAsia="黑体"/>
          <w:bCs/>
          <w:kern w:val="0"/>
          <w:szCs w:val="21"/>
        </w:rPr>
        <w:t>2026-0</w:t>
      </w:r>
      <w:r>
        <w:rPr>
          <w:rFonts w:hint="eastAsia" w:ascii="黑体" w:hAnsi="黑体" w:eastAsia="黑体"/>
          <w:bCs/>
          <w:kern w:val="0"/>
          <w:szCs w:val="21"/>
          <w:lang w:val="en-US" w:eastAsia="zh-CN"/>
        </w:rPr>
        <w:t>7</w:t>
      </w:r>
    </w:p>
    <w:p w14:paraId="647C40DB">
      <w:pPr>
        <w:autoSpaceDE w:val="0"/>
        <w:autoSpaceDN w:val="0"/>
        <w:adjustRightInd w:val="0"/>
        <w:rPr>
          <w:rFonts w:asciiTheme="minorEastAsia" w:hAnsiTheme="minorEastAsia" w:eastAsiaTheme="minorEastAsia"/>
          <w:b/>
          <w:kern w:val="0"/>
          <w:sz w:val="36"/>
          <w:szCs w:val="36"/>
        </w:rPr>
      </w:pPr>
    </w:p>
    <w:p w14:paraId="3E4F2037">
      <w:pPr>
        <w:autoSpaceDE w:val="0"/>
        <w:autoSpaceDN w:val="0"/>
        <w:adjustRightInd w:val="0"/>
        <w:jc w:val="center"/>
        <w:rPr>
          <w:rFonts w:asciiTheme="minorEastAsia" w:hAnsiTheme="minorEastAsia" w:eastAsiaTheme="minorEastAsia"/>
          <w:b/>
          <w:kern w:val="0"/>
          <w:sz w:val="36"/>
          <w:szCs w:val="36"/>
        </w:rPr>
      </w:pPr>
      <w:r>
        <w:rPr>
          <w:rFonts w:asciiTheme="minorEastAsia" w:hAnsiTheme="minorEastAsia" w:eastAsiaTheme="minorEastAsia"/>
          <w:b/>
          <w:kern w:val="0"/>
          <w:sz w:val="36"/>
          <w:szCs w:val="36"/>
        </w:rPr>
        <w:t>华孚时尚股份有限公司</w:t>
      </w:r>
    </w:p>
    <w:p w14:paraId="34AAB5E9">
      <w:pPr>
        <w:autoSpaceDE w:val="0"/>
        <w:autoSpaceDN w:val="0"/>
        <w:adjustRightInd w:val="0"/>
        <w:jc w:val="center"/>
        <w:rPr>
          <w:rFonts w:hint="eastAsia" w:asciiTheme="minorEastAsia" w:hAnsiTheme="minorEastAsia" w:eastAsiaTheme="minorEastAsia"/>
          <w:b/>
          <w:kern w:val="0"/>
          <w:sz w:val="36"/>
          <w:szCs w:val="36"/>
          <w:lang w:val="en-US" w:eastAsia="zh-CN"/>
        </w:rPr>
      </w:pPr>
      <w:r>
        <w:rPr>
          <w:rFonts w:hint="eastAsia" w:asciiTheme="minorEastAsia" w:hAnsiTheme="minorEastAsia" w:eastAsiaTheme="minorEastAsia"/>
          <w:b/>
          <w:kern w:val="0"/>
          <w:sz w:val="36"/>
          <w:szCs w:val="36"/>
        </w:rPr>
        <w:t>关于</w:t>
      </w:r>
      <w:r>
        <w:rPr>
          <w:rFonts w:hint="eastAsia" w:asciiTheme="minorEastAsia" w:hAnsiTheme="minorEastAsia" w:eastAsiaTheme="minorEastAsia"/>
          <w:b/>
          <w:kern w:val="0"/>
          <w:sz w:val="36"/>
          <w:szCs w:val="36"/>
          <w:lang w:val="en-US" w:eastAsia="zh-CN"/>
        </w:rPr>
        <w:t>第四期员工持股计划非交易过户完成暨</w:t>
      </w:r>
    </w:p>
    <w:p w14:paraId="41FA08A6">
      <w:pPr>
        <w:autoSpaceDE w:val="0"/>
        <w:autoSpaceDN w:val="0"/>
        <w:adjustRightInd w:val="0"/>
        <w:jc w:val="center"/>
        <w:rPr>
          <w:rFonts w:asciiTheme="minorEastAsia" w:hAnsiTheme="minorEastAsia" w:eastAsiaTheme="minorEastAsia"/>
          <w:b/>
          <w:kern w:val="0"/>
          <w:sz w:val="36"/>
          <w:szCs w:val="36"/>
        </w:rPr>
      </w:pPr>
      <w:r>
        <w:rPr>
          <w:rFonts w:hint="eastAsia" w:asciiTheme="minorEastAsia" w:hAnsiTheme="minorEastAsia" w:eastAsiaTheme="minorEastAsia"/>
          <w:b/>
          <w:kern w:val="0"/>
          <w:sz w:val="36"/>
          <w:szCs w:val="36"/>
          <w:lang w:val="en-US" w:eastAsia="zh-CN"/>
        </w:rPr>
        <w:t>2022年期已回购股份处理完成</w:t>
      </w:r>
      <w:r>
        <w:rPr>
          <w:rFonts w:hint="eastAsia" w:asciiTheme="minorEastAsia" w:hAnsiTheme="minorEastAsia" w:eastAsiaTheme="minorEastAsia"/>
          <w:b/>
          <w:kern w:val="0"/>
          <w:sz w:val="36"/>
          <w:szCs w:val="36"/>
        </w:rPr>
        <w:t>的公告</w:t>
      </w:r>
    </w:p>
    <w:p w14:paraId="0EC783D5">
      <w:pPr>
        <w:autoSpaceDE w:val="0"/>
        <w:autoSpaceDN w:val="0"/>
        <w:adjustRightInd w:val="0"/>
        <w:ind w:firstLine="480" w:firstLineChars="200"/>
        <w:jc w:val="left"/>
        <w:rPr>
          <w:rFonts w:ascii="Times New Roman" w:hAnsi="Times New Roman" w:eastAsia="楷体_GB2312"/>
          <w:kern w:val="0"/>
          <w:sz w:val="24"/>
          <w:szCs w:val="24"/>
        </w:rPr>
      </w:pPr>
    </w:p>
    <w:p w14:paraId="4F312072">
      <w:pPr>
        <w:autoSpaceDE w:val="0"/>
        <w:autoSpaceDN w:val="0"/>
        <w:adjustRightInd w:val="0"/>
        <w:ind w:firstLine="480" w:firstLineChars="200"/>
        <w:jc w:val="left"/>
        <w:rPr>
          <w:rFonts w:ascii="Times New Roman" w:hAnsi="Times New Roman" w:eastAsia="楷体_GB2312"/>
          <w:kern w:val="0"/>
          <w:sz w:val="24"/>
          <w:szCs w:val="24"/>
        </w:rPr>
      </w:pPr>
      <w:r>
        <w:rPr>
          <w:rFonts w:ascii="Times New Roman" w:hAnsi="Times New Roman" w:eastAsia="楷体_GB2312"/>
          <w:kern w:val="0"/>
          <w:sz w:val="24"/>
          <w:szCs w:val="24"/>
        </w:rPr>
        <w:t>本公司及</w:t>
      </w:r>
      <w:r>
        <w:rPr>
          <w:rFonts w:hint="eastAsia" w:ascii="Times New Roman" w:hAnsi="Times New Roman" w:eastAsia="楷体_GB2312"/>
          <w:kern w:val="0"/>
          <w:sz w:val="24"/>
          <w:szCs w:val="24"/>
        </w:rPr>
        <w:t>董</w:t>
      </w:r>
      <w:r>
        <w:rPr>
          <w:rFonts w:ascii="Times New Roman" w:hAnsi="Times New Roman" w:eastAsia="楷体_GB2312"/>
          <w:kern w:val="0"/>
          <w:sz w:val="24"/>
          <w:szCs w:val="24"/>
        </w:rPr>
        <w:t>事会全体成员保证信息披露的内容真实、准确、完整，没有虚假记载、误导性陈述或重大遗漏。</w:t>
      </w:r>
    </w:p>
    <w:p w14:paraId="6A65D6E8">
      <w:pPr>
        <w:spacing w:line="280" w:lineRule="exact"/>
        <w:rPr>
          <w:rFonts w:hint="eastAsia" w:asciiTheme="minorEastAsia" w:hAnsiTheme="minorEastAsia" w:eastAsiaTheme="minorEastAsia"/>
          <w:kern w:val="0"/>
          <w:sz w:val="2"/>
          <w:szCs w:val="24"/>
          <w:lang w:val="en-US" w:eastAsia="zh-CN"/>
        </w:rPr>
      </w:pPr>
    </w:p>
    <w:p w14:paraId="14584C1D">
      <w:pPr>
        <w:autoSpaceDE w:val="0"/>
        <w:autoSpaceDN w:val="0"/>
        <w:adjustRightInd w:val="0"/>
        <w:spacing w:line="360" w:lineRule="auto"/>
        <w:ind w:firstLine="480" w:firstLineChars="200"/>
        <w:jc w:val="left"/>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华孚时尚股份有限公司（以下简称“公司”）于2024年12月4日召开第八届董事会2024年第四次临时会议及第八届监事会第二十五次会议，于2024年12月20日召开2024年第二次临时股东大会，审议通过《关于&lt;华孚时尚股份有限公司第四期员工持股计划（草案）&gt;及其摘要的议案》《关于&lt;公司第四期员工持股计划管理办法&gt;的议案》等，详见公司于2024年12月5日于《证券时报》《中国证券报》及巨潮资讯网披露的《华孚时尚股份有限公司第四期员工持股计划（草案）》《华孚时尚股份有限公司第四期员工持股计划管理办法》等相关公告。</w:t>
      </w:r>
    </w:p>
    <w:p w14:paraId="67AA41AE">
      <w:pPr>
        <w:autoSpaceDE w:val="0"/>
        <w:autoSpaceDN w:val="0"/>
        <w:adjustRightInd w:val="0"/>
        <w:spacing w:line="360" w:lineRule="auto"/>
        <w:ind w:firstLine="480" w:firstLineChars="200"/>
        <w:jc w:val="left"/>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公司于2025年6月20日召开第九届董事会2025年第一次临时会议，审议通过了《关于调整第四期员工持股计划相关事项的议案》，对第四期员工持股计划存续期、锁定期、解锁时间及业绩考核进行调整，详见公司于2025年6月21日于《证券时报》《中国证券报》及巨潮资讯网披露的《关于调整第四期员工持股计划相关事项的公告》（2025-30）、《华孚时尚股份有限公司第四期员工持股计划（修订版）》等相关公告。</w:t>
      </w:r>
    </w:p>
    <w:p w14:paraId="6B9B8E96">
      <w:pPr>
        <w:autoSpaceDE w:val="0"/>
        <w:autoSpaceDN w:val="0"/>
        <w:adjustRightInd w:val="0"/>
        <w:spacing w:line="360" w:lineRule="auto"/>
        <w:ind w:firstLine="480" w:firstLineChars="200"/>
        <w:jc w:val="both"/>
        <w:rPr>
          <w:rFonts w:hint="eastAsia"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根据《中华人民共和国公司法》《中华人民共和国证券法》《关于上市公司实施员工持股计划试点的指导意见》《深圳证券交易所上市公司自律监管指引第1号——主板上市公司规范运作》等法律、行政法规及规范性文件的相关规定，现将公司</w:t>
      </w:r>
      <w:r>
        <w:rPr>
          <w:rFonts w:hint="eastAsia" w:asciiTheme="minorEastAsia" w:hAnsiTheme="minorEastAsia" w:eastAsiaTheme="minorEastAsia"/>
          <w:kern w:val="0"/>
          <w:sz w:val="24"/>
          <w:szCs w:val="24"/>
          <w:lang w:val="en-US" w:eastAsia="zh-CN"/>
        </w:rPr>
        <w:t>第四期</w:t>
      </w:r>
      <w:r>
        <w:rPr>
          <w:rFonts w:hint="default" w:asciiTheme="minorEastAsia" w:hAnsiTheme="minorEastAsia" w:eastAsiaTheme="minorEastAsia"/>
          <w:kern w:val="0"/>
          <w:sz w:val="24"/>
          <w:szCs w:val="24"/>
          <w:lang w:val="en-US" w:eastAsia="zh-CN"/>
        </w:rPr>
        <w:t>员工持股计划（以下简称“</w:t>
      </w:r>
      <w:r>
        <w:rPr>
          <w:rFonts w:hint="eastAsia" w:asciiTheme="minorEastAsia" w:hAnsiTheme="minorEastAsia" w:eastAsiaTheme="minorEastAsia"/>
          <w:kern w:val="0"/>
          <w:sz w:val="24"/>
          <w:szCs w:val="24"/>
          <w:lang w:val="en-US" w:eastAsia="zh-CN"/>
        </w:rPr>
        <w:t>本次员工持股计划</w:t>
      </w:r>
      <w:r>
        <w:rPr>
          <w:rFonts w:hint="default" w:asciiTheme="minorEastAsia" w:hAnsiTheme="minorEastAsia" w:eastAsiaTheme="minorEastAsia"/>
          <w:kern w:val="0"/>
          <w:sz w:val="24"/>
          <w:szCs w:val="24"/>
          <w:lang w:val="en-US" w:eastAsia="zh-CN"/>
        </w:rPr>
        <w:t>”）的相关情况公告如下</w:t>
      </w:r>
      <w:r>
        <w:rPr>
          <w:rFonts w:hint="eastAsia" w:asciiTheme="minorEastAsia" w:hAnsiTheme="minorEastAsia" w:eastAsiaTheme="minorEastAsia"/>
          <w:kern w:val="0"/>
          <w:sz w:val="24"/>
          <w:szCs w:val="24"/>
          <w:lang w:val="en-US" w:eastAsia="zh-CN"/>
        </w:rPr>
        <w:t>。</w:t>
      </w:r>
    </w:p>
    <w:p w14:paraId="5207C647">
      <w:pPr>
        <w:numPr>
          <w:ilvl w:val="0"/>
          <w:numId w:val="1"/>
        </w:numPr>
        <w:autoSpaceDE w:val="0"/>
        <w:autoSpaceDN w:val="0"/>
        <w:adjustRightInd w:val="0"/>
        <w:spacing w:line="360" w:lineRule="auto"/>
        <w:ind w:firstLine="482" w:firstLineChars="200"/>
        <w:jc w:val="both"/>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本次员工持股计划的股票来源及数量</w:t>
      </w:r>
    </w:p>
    <w:p w14:paraId="09F40A3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本次员工持股计划涉及标的股票来源为公司回购专用证券账户回购的公司股票。</w:t>
      </w:r>
    </w:p>
    <w:p w14:paraId="150FE19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公司于2022年3月21日召开第八届董事会2022年第二次临时会议审议通过《关于回购公司股份方案的议案》，公司拟使用自有资金以集中竞价交易方式回购已发行的人民币普通股（A股）股份，回购股份用于公司后续员工持股计划或者股权激励。回购总金额为不低于人民币5,000万元,不超过人民币10,000万元，回购价格不超过6.50元/股，回购股份的实施期限为自董事会审议通过本次回购股份方案之日起不超过十二个月。详见公司于2022年3月22日刊登在《中国证券报》、《证券时报》及巨潮资讯网（www.cninfo.com.cn）上的《关于回购公司股份方案的公告》（2022-13）。</w:t>
      </w:r>
    </w:p>
    <w:p w14:paraId="13696A1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b/>
          <w:bCs/>
          <w:kern w:val="0"/>
          <w:sz w:val="24"/>
          <w:szCs w:val="24"/>
          <w:lang w:val="en-US" w:eastAsia="zh-CN"/>
        </w:rPr>
      </w:pPr>
      <w:r>
        <w:rPr>
          <w:rFonts w:hint="eastAsia" w:asciiTheme="minorEastAsia" w:hAnsiTheme="minorEastAsia" w:eastAsiaTheme="minorEastAsia"/>
          <w:kern w:val="0"/>
          <w:sz w:val="24"/>
          <w:szCs w:val="24"/>
          <w:lang w:val="en-US" w:eastAsia="zh-CN"/>
        </w:rPr>
        <w:t>截至2023年3月20日，公司本次股份回购已完成。在回购期间，公司通过股份回购专用证券账户以集中竞价交易方式累计回购公司股票29,800,000股，占公司总股本的1.75%（以公司截止2023年3月20日总股本1,700,681,355股为基准），实际回购期间为2022年4月28日至2023年3月20日，其中最高成交价为3.67元/股，最低成交价为3.04元/股，成交总金额为人民币</w:t>
      </w:r>
      <w:bookmarkStart w:id="0" w:name="_GoBack"/>
      <w:bookmarkEnd w:id="0"/>
      <w:r>
        <w:rPr>
          <w:rFonts w:hint="eastAsia" w:asciiTheme="minorEastAsia" w:hAnsiTheme="minorEastAsia" w:eastAsiaTheme="minorEastAsia"/>
          <w:kern w:val="0"/>
          <w:sz w:val="24"/>
          <w:szCs w:val="24"/>
          <w:lang w:val="en-US" w:eastAsia="zh-CN"/>
        </w:rPr>
        <w:t>99,916,654.12元（不含交易费用）。详见公司于2023年3月21日刊登在《中国证券报》、《证券时报》及巨潮资讯网（www.cninfo.com.cn）上的《关于2022年回购公司股份方案回购完成暨股份变动的公告》（2023-10）。</w:t>
      </w:r>
    </w:p>
    <w:p w14:paraId="11775567">
      <w:pPr>
        <w:numPr>
          <w:ilvl w:val="0"/>
          <w:numId w:val="1"/>
        </w:numPr>
        <w:autoSpaceDE w:val="0"/>
        <w:autoSpaceDN w:val="0"/>
        <w:adjustRightInd w:val="0"/>
        <w:spacing w:line="360" w:lineRule="auto"/>
        <w:ind w:firstLine="482" w:firstLineChars="200"/>
        <w:jc w:val="both"/>
        <w:rPr>
          <w:rFonts w:hint="default"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本次员工持股计划过户情况</w:t>
      </w:r>
    </w:p>
    <w:p w14:paraId="1646467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1、账户开立情况</w:t>
      </w:r>
    </w:p>
    <w:p w14:paraId="27A177A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截至本公告披露日，公司已在中国证券登记结算有限责任公司深圳分公司开立了员工持股计划证券专用账户，证券账户名称为“华孚时尚股份有限公司－第四期员工持股计划”，证券账户号码为“0899503619”。</w:t>
      </w:r>
    </w:p>
    <w:p w14:paraId="5A47962A">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认购情况及资金来源</w:t>
      </w:r>
    </w:p>
    <w:p w14:paraId="0C2600E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本次</w:t>
      </w:r>
      <w:r>
        <w:rPr>
          <w:rFonts w:hint="default" w:asciiTheme="minorEastAsia" w:hAnsiTheme="minorEastAsia" w:eastAsiaTheme="minorEastAsia"/>
          <w:kern w:val="0"/>
          <w:sz w:val="24"/>
          <w:szCs w:val="24"/>
          <w:lang w:val="en-US" w:eastAsia="zh-CN"/>
        </w:rPr>
        <w:t>员工持股计划认购资金已实缴到位。</w:t>
      </w:r>
      <w:r>
        <w:rPr>
          <w:rFonts w:hint="eastAsia" w:asciiTheme="minorEastAsia" w:hAnsiTheme="minorEastAsia" w:eastAsiaTheme="minorEastAsia"/>
          <w:kern w:val="0"/>
          <w:sz w:val="24"/>
          <w:szCs w:val="24"/>
          <w:lang w:val="en-US" w:eastAsia="zh-CN"/>
        </w:rPr>
        <w:t>经核验</w:t>
      </w:r>
      <w:r>
        <w:rPr>
          <w:rFonts w:hint="default" w:asciiTheme="minorEastAsia" w:hAnsiTheme="minorEastAsia" w:eastAsiaTheme="minorEastAsia"/>
          <w:kern w:val="0"/>
          <w:sz w:val="24"/>
          <w:szCs w:val="24"/>
          <w:lang w:val="en-US" w:eastAsia="zh-CN"/>
        </w:rPr>
        <w:t>，截至2026年</w:t>
      </w:r>
      <w:r>
        <w:rPr>
          <w:rFonts w:hint="eastAsia" w:asciiTheme="minorEastAsia" w:hAnsiTheme="minorEastAsia" w:eastAsiaTheme="minorEastAsia"/>
          <w:kern w:val="0"/>
          <w:sz w:val="24"/>
          <w:szCs w:val="24"/>
          <w:lang w:val="en-US" w:eastAsia="zh-CN"/>
        </w:rPr>
        <w:t>3</w:t>
      </w:r>
      <w:r>
        <w:rPr>
          <w:rFonts w:hint="default" w:asciiTheme="minorEastAsia" w:hAnsiTheme="minorEastAsia" w:eastAsiaTheme="minorEastAsia"/>
          <w:kern w:val="0"/>
          <w:sz w:val="24"/>
          <w:szCs w:val="24"/>
          <w:lang w:val="en-US" w:eastAsia="zh-CN"/>
        </w:rPr>
        <w:t>月</w:t>
      </w:r>
      <w:r>
        <w:rPr>
          <w:rFonts w:hint="eastAsia" w:asciiTheme="minorEastAsia" w:hAnsiTheme="minorEastAsia" w:eastAsiaTheme="minorEastAsia"/>
          <w:kern w:val="0"/>
          <w:sz w:val="24"/>
          <w:szCs w:val="24"/>
          <w:lang w:val="en-US" w:eastAsia="zh-CN"/>
        </w:rPr>
        <w:t>12</w:t>
      </w:r>
      <w:r>
        <w:rPr>
          <w:rFonts w:hint="default" w:asciiTheme="minorEastAsia" w:hAnsiTheme="minorEastAsia" w:eastAsiaTheme="minorEastAsia"/>
          <w:kern w:val="0"/>
          <w:sz w:val="24"/>
          <w:szCs w:val="24"/>
          <w:lang w:val="en-US" w:eastAsia="zh-CN"/>
        </w:rPr>
        <w:t>日，公司已实际收到员工共</w:t>
      </w:r>
      <w:r>
        <w:rPr>
          <w:rFonts w:hint="eastAsia" w:asciiTheme="minorEastAsia" w:hAnsiTheme="minorEastAsia" w:eastAsiaTheme="minorEastAsia"/>
          <w:kern w:val="0"/>
          <w:sz w:val="24"/>
          <w:szCs w:val="24"/>
          <w:lang w:val="en-US" w:eastAsia="zh-CN"/>
        </w:rPr>
        <w:t>2,980.00万</w:t>
      </w:r>
      <w:r>
        <w:rPr>
          <w:rFonts w:hint="default" w:asciiTheme="minorEastAsia" w:hAnsiTheme="minorEastAsia" w:eastAsiaTheme="minorEastAsia"/>
          <w:kern w:val="0"/>
          <w:sz w:val="24"/>
          <w:szCs w:val="24"/>
          <w:lang w:val="en-US" w:eastAsia="zh-CN"/>
        </w:rPr>
        <w:t>股的认缴股款</w:t>
      </w:r>
      <w:r>
        <w:rPr>
          <w:rFonts w:hint="eastAsia" w:asciiTheme="minorEastAsia" w:hAnsiTheme="minorEastAsia" w:eastAsiaTheme="minorEastAsia"/>
          <w:kern w:val="0"/>
          <w:sz w:val="24"/>
          <w:szCs w:val="24"/>
          <w:lang w:val="en-US" w:eastAsia="zh-CN"/>
        </w:rPr>
        <w:t>，</w:t>
      </w:r>
      <w:r>
        <w:rPr>
          <w:rFonts w:hint="default" w:asciiTheme="minorEastAsia" w:hAnsiTheme="minorEastAsia" w:eastAsiaTheme="minorEastAsia"/>
          <w:kern w:val="0"/>
          <w:sz w:val="24"/>
          <w:szCs w:val="24"/>
          <w:lang w:val="en-US" w:eastAsia="zh-CN"/>
        </w:rPr>
        <w:t>合计人民币</w:t>
      </w:r>
      <w:r>
        <w:rPr>
          <w:rFonts w:hint="eastAsia" w:asciiTheme="minorEastAsia" w:hAnsiTheme="minorEastAsia" w:eastAsiaTheme="minorEastAsia"/>
          <w:kern w:val="0"/>
          <w:sz w:val="24"/>
          <w:szCs w:val="24"/>
          <w:lang w:val="en-US" w:eastAsia="zh-CN"/>
        </w:rPr>
        <w:t>6,824.20万</w:t>
      </w:r>
      <w:r>
        <w:rPr>
          <w:rFonts w:hint="default" w:asciiTheme="minorEastAsia" w:hAnsiTheme="minorEastAsia" w:eastAsiaTheme="minorEastAsia"/>
          <w:kern w:val="0"/>
          <w:sz w:val="24"/>
          <w:szCs w:val="24"/>
          <w:lang w:val="en-US" w:eastAsia="zh-CN"/>
        </w:rPr>
        <w:t>元。员工持股计划的资金来源为员工合法薪酬及通过法律、行政法规允许的其他方式获得的自筹资金。</w:t>
      </w:r>
    </w:p>
    <w:p w14:paraId="1048EE3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left="0" w:leftChars="0" w:firstLine="480" w:firstLineChars="200"/>
        <w:jc w:val="both"/>
        <w:textAlignment w:val="auto"/>
        <w:rPr>
          <w:rFonts w:hint="eastAsia"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本次员工持股计划的非交易过户情况</w:t>
      </w:r>
    </w:p>
    <w:p w14:paraId="65EC71F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highlight w:val="none"/>
          <w:lang w:val="en-US" w:eastAsia="zh-CN"/>
        </w:rPr>
      </w:pPr>
      <w:r>
        <w:rPr>
          <w:rFonts w:hint="default" w:asciiTheme="minorEastAsia" w:hAnsiTheme="minorEastAsia" w:eastAsiaTheme="minorEastAsia"/>
          <w:kern w:val="0"/>
          <w:sz w:val="24"/>
          <w:szCs w:val="24"/>
          <w:highlight w:val="none"/>
          <w:lang w:val="en-US" w:eastAsia="zh-CN"/>
        </w:rPr>
        <w:t>2026年3月</w:t>
      </w:r>
      <w:r>
        <w:rPr>
          <w:rFonts w:hint="eastAsia" w:asciiTheme="minorEastAsia" w:hAnsiTheme="minorEastAsia" w:eastAsiaTheme="minorEastAsia"/>
          <w:kern w:val="0"/>
          <w:sz w:val="24"/>
          <w:szCs w:val="24"/>
          <w:highlight w:val="none"/>
          <w:lang w:val="en-US" w:eastAsia="zh-CN"/>
        </w:rPr>
        <w:t>19</w:t>
      </w:r>
      <w:r>
        <w:rPr>
          <w:rFonts w:hint="default" w:asciiTheme="minorEastAsia" w:hAnsiTheme="minorEastAsia" w:eastAsiaTheme="minorEastAsia"/>
          <w:kern w:val="0"/>
          <w:sz w:val="24"/>
          <w:szCs w:val="24"/>
          <w:highlight w:val="none"/>
          <w:lang w:val="en-US" w:eastAsia="zh-CN"/>
        </w:rPr>
        <w:t>日，公司收到中国证券登记结算有限责任公司深圳分公司出具的《证券过户登记确认书》，公司回购专用证券账户中所持有的公司股票</w:t>
      </w:r>
      <w:r>
        <w:rPr>
          <w:rFonts w:hint="eastAsia" w:asciiTheme="minorEastAsia" w:hAnsiTheme="minorEastAsia" w:eastAsiaTheme="minorEastAsia"/>
          <w:kern w:val="0"/>
          <w:sz w:val="24"/>
          <w:szCs w:val="24"/>
          <w:highlight w:val="none"/>
          <w:lang w:val="en-US" w:eastAsia="zh-CN"/>
        </w:rPr>
        <w:t>29,800,000</w:t>
      </w:r>
      <w:r>
        <w:rPr>
          <w:rFonts w:hint="default" w:asciiTheme="minorEastAsia" w:hAnsiTheme="minorEastAsia" w:eastAsiaTheme="minorEastAsia"/>
          <w:kern w:val="0"/>
          <w:sz w:val="24"/>
          <w:szCs w:val="24"/>
          <w:highlight w:val="none"/>
          <w:lang w:val="en-US" w:eastAsia="zh-CN"/>
        </w:rPr>
        <w:t>股已于2026年3月</w:t>
      </w:r>
      <w:r>
        <w:rPr>
          <w:rFonts w:hint="eastAsia" w:asciiTheme="minorEastAsia" w:hAnsiTheme="minorEastAsia" w:eastAsiaTheme="minorEastAsia"/>
          <w:kern w:val="0"/>
          <w:sz w:val="24"/>
          <w:szCs w:val="24"/>
          <w:highlight w:val="none"/>
          <w:lang w:val="en-US" w:eastAsia="zh-CN"/>
        </w:rPr>
        <w:t>18</w:t>
      </w:r>
      <w:r>
        <w:rPr>
          <w:rFonts w:hint="default" w:asciiTheme="minorEastAsia" w:hAnsiTheme="minorEastAsia" w:eastAsiaTheme="minorEastAsia"/>
          <w:kern w:val="0"/>
          <w:sz w:val="24"/>
          <w:szCs w:val="24"/>
          <w:highlight w:val="none"/>
          <w:lang w:val="en-US" w:eastAsia="zh-CN"/>
        </w:rPr>
        <w:t>日以非交易过户的方式过户至“</w:t>
      </w:r>
      <w:r>
        <w:rPr>
          <w:rFonts w:hint="eastAsia" w:asciiTheme="minorEastAsia" w:hAnsiTheme="minorEastAsia" w:eastAsiaTheme="minorEastAsia"/>
          <w:kern w:val="0"/>
          <w:sz w:val="24"/>
          <w:szCs w:val="24"/>
          <w:highlight w:val="none"/>
          <w:lang w:val="en-US" w:eastAsia="zh-CN"/>
        </w:rPr>
        <w:t>华孚时尚股份有限公司－第四期员工持股计划</w:t>
      </w:r>
      <w:r>
        <w:rPr>
          <w:rFonts w:hint="default" w:asciiTheme="minorEastAsia" w:hAnsiTheme="minorEastAsia" w:eastAsiaTheme="minorEastAsia"/>
          <w:kern w:val="0"/>
          <w:sz w:val="24"/>
          <w:szCs w:val="24"/>
          <w:highlight w:val="none"/>
          <w:lang w:val="en-US" w:eastAsia="zh-CN"/>
        </w:rPr>
        <w:t>”证券账户，过户股份数量占公司当前总股本的</w:t>
      </w:r>
      <w:r>
        <w:rPr>
          <w:rFonts w:hint="eastAsia" w:asciiTheme="minorEastAsia" w:hAnsiTheme="minorEastAsia" w:eastAsiaTheme="minorEastAsia"/>
          <w:kern w:val="0"/>
          <w:sz w:val="24"/>
          <w:szCs w:val="24"/>
          <w:highlight w:val="none"/>
          <w:lang w:val="en-US" w:eastAsia="zh-CN"/>
        </w:rPr>
        <w:t>1.75</w:t>
      </w:r>
      <w:r>
        <w:rPr>
          <w:rFonts w:hint="default" w:asciiTheme="minorEastAsia" w:hAnsiTheme="minorEastAsia" w:eastAsiaTheme="minorEastAsia"/>
          <w:kern w:val="0"/>
          <w:sz w:val="24"/>
          <w:szCs w:val="24"/>
          <w:highlight w:val="none"/>
          <w:lang w:val="en-US" w:eastAsia="zh-CN"/>
        </w:rPr>
        <w:t>%，过户价格为</w:t>
      </w:r>
      <w:r>
        <w:rPr>
          <w:rFonts w:hint="eastAsia" w:asciiTheme="minorEastAsia" w:hAnsiTheme="minorEastAsia" w:eastAsiaTheme="minorEastAsia"/>
          <w:kern w:val="0"/>
          <w:sz w:val="24"/>
          <w:szCs w:val="24"/>
          <w:highlight w:val="none"/>
          <w:lang w:val="en-US" w:eastAsia="zh-CN"/>
        </w:rPr>
        <w:t>2.29</w:t>
      </w:r>
      <w:r>
        <w:rPr>
          <w:rFonts w:hint="default" w:asciiTheme="minorEastAsia" w:hAnsiTheme="minorEastAsia" w:eastAsiaTheme="minorEastAsia"/>
          <w:kern w:val="0"/>
          <w:sz w:val="24"/>
          <w:szCs w:val="24"/>
          <w:highlight w:val="none"/>
          <w:lang w:val="en-US" w:eastAsia="zh-CN"/>
        </w:rPr>
        <w:t>元/股。本次员工持股计划的实际过户股份数量与股东会审议通过的数量不存在差异。</w:t>
      </w:r>
    </w:p>
    <w:p w14:paraId="662F4E3A">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本次</w:t>
      </w:r>
      <w:r>
        <w:rPr>
          <w:rFonts w:hint="default" w:asciiTheme="minorEastAsia" w:hAnsiTheme="minorEastAsia" w:eastAsiaTheme="minorEastAsia"/>
          <w:kern w:val="0"/>
          <w:sz w:val="24"/>
          <w:szCs w:val="24"/>
          <w:lang w:val="en-US" w:eastAsia="zh-CN"/>
        </w:rPr>
        <w:t>员工持股计划的存续期为</w:t>
      </w:r>
      <w:r>
        <w:rPr>
          <w:rFonts w:hint="eastAsia" w:asciiTheme="minorEastAsia" w:hAnsiTheme="minorEastAsia" w:eastAsiaTheme="minorEastAsia"/>
          <w:kern w:val="0"/>
          <w:sz w:val="24"/>
          <w:szCs w:val="24"/>
          <w:lang w:val="en-US" w:eastAsia="zh-CN"/>
        </w:rPr>
        <w:t>48</w:t>
      </w:r>
      <w:r>
        <w:rPr>
          <w:rFonts w:hint="default" w:asciiTheme="minorEastAsia" w:hAnsiTheme="minorEastAsia" w:eastAsiaTheme="minorEastAsia"/>
          <w:kern w:val="0"/>
          <w:sz w:val="24"/>
          <w:szCs w:val="24"/>
          <w:lang w:val="en-US" w:eastAsia="zh-CN"/>
        </w:rPr>
        <w:t>个月，自公司公告标的股票过户至</w:t>
      </w:r>
      <w:r>
        <w:rPr>
          <w:rFonts w:hint="eastAsia" w:asciiTheme="minorEastAsia" w:hAnsiTheme="minorEastAsia" w:eastAsiaTheme="minorEastAsia"/>
          <w:kern w:val="0"/>
          <w:sz w:val="24"/>
          <w:szCs w:val="24"/>
          <w:lang w:val="en-US" w:eastAsia="zh-CN"/>
        </w:rPr>
        <w:t>本次</w:t>
      </w:r>
      <w:r>
        <w:rPr>
          <w:rFonts w:hint="default" w:asciiTheme="minorEastAsia" w:hAnsiTheme="minorEastAsia" w:eastAsiaTheme="minorEastAsia"/>
          <w:kern w:val="0"/>
          <w:sz w:val="24"/>
          <w:szCs w:val="24"/>
          <w:lang w:val="en-US" w:eastAsia="zh-CN"/>
        </w:rPr>
        <w:t>员工持股计划名下之日起算。本</w:t>
      </w:r>
      <w:r>
        <w:rPr>
          <w:rFonts w:hint="eastAsia" w:asciiTheme="minorEastAsia" w:hAnsiTheme="minorEastAsia" w:eastAsiaTheme="minorEastAsia"/>
          <w:kern w:val="0"/>
          <w:sz w:val="24"/>
          <w:szCs w:val="24"/>
          <w:lang w:val="en-US" w:eastAsia="zh-CN"/>
        </w:rPr>
        <w:t>次</w:t>
      </w:r>
      <w:r>
        <w:rPr>
          <w:rFonts w:hint="default" w:asciiTheme="minorEastAsia" w:hAnsiTheme="minorEastAsia" w:eastAsiaTheme="minorEastAsia"/>
          <w:kern w:val="0"/>
          <w:sz w:val="24"/>
          <w:szCs w:val="24"/>
          <w:lang w:val="en-US" w:eastAsia="zh-CN"/>
        </w:rPr>
        <w:t>员工持股计划实施后，公司全部有效的员工持股计划所持有的股票总数累计不超过公司股本总额的10%，任一持有人持有的员工持股计划份额所对应的标的股票数量不超过公司股本总额的1%。</w:t>
      </w:r>
    </w:p>
    <w:p w14:paraId="5FACF000">
      <w:pPr>
        <w:numPr>
          <w:ilvl w:val="0"/>
          <w:numId w:val="1"/>
        </w:numPr>
        <w:autoSpaceDE w:val="0"/>
        <w:autoSpaceDN w:val="0"/>
        <w:adjustRightInd w:val="0"/>
        <w:spacing w:line="360" w:lineRule="auto"/>
        <w:ind w:firstLine="482" w:firstLineChars="200"/>
        <w:jc w:val="both"/>
        <w:rPr>
          <w:rFonts w:hint="default"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本次员工持股计划</w:t>
      </w:r>
      <w:r>
        <w:rPr>
          <w:rFonts w:hint="default" w:asciiTheme="minorEastAsia" w:hAnsiTheme="minorEastAsia" w:eastAsiaTheme="minorEastAsia"/>
          <w:b/>
          <w:bCs/>
          <w:kern w:val="0"/>
          <w:sz w:val="24"/>
          <w:szCs w:val="24"/>
          <w:lang w:val="en-US" w:eastAsia="zh-CN"/>
        </w:rPr>
        <w:t>关联关系及一致行动的认定</w:t>
      </w:r>
    </w:p>
    <w:p w14:paraId="0BC5B274">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公司控股股东、实际控制人未参与本次员工持股计划，本次员工持股计划未与公司控股股东、实际控制人签署一致行动协议或存在一致行动安排。</w:t>
      </w:r>
    </w:p>
    <w:p w14:paraId="5FCBFD0E">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highlight w:val="none"/>
          <w:lang w:val="en-US" w:eastAsia="zh-CN"/>
        </w:rPr>
        <w:t>公司董事、副总裁</w:t>
      </w:r>
      <w:r>
        <w:rPr>
          <w:rFonts w:hint="eastAsia" w:asciiTheme="minorEastAsia" w:hAnsiTheme="minorEastAsia" w:eastAsiaTheme="minorEastAsia"/>
          <w:kern w:val="0"/>
          <w:sz w:val="24"/>
          <w:szCs w:val="24"/>
          <w:highlight w:val="none"/>
          <w:lang w:val="en-US" w:eastAsia="zh-CN"/>
        </w:rPr>
        <w:t>程桂松</w:t>
      </w:r>
      <w:r>
        <w:rPr>
          <w:rFonts w:hint="default" w:asciiTheme="minorEastAsia" w:hAnsiTheme="minorEastAsia" w:eastAsiaTheme="minorEastAsia"/>
          <w:kern w:val="0"/>
          <w:sz w:val="24"/>
          <w:szCs w:val="24"/>
          <w:highlight w:val="none"/>
          <w:lang w:val="en-US" w:eastAsia="zh-CN"/>
        </w:rPr>
        <w:t>先生</w:t>
      </w:r>
      <w:r>
        <w:rPr>
          <w:rFonts w:hint="eastAsia" w:asciiTheme="minorEastAsia" w:hAnsiTheme="minorEastAsia" w:eastAsiaTheme="minorEastAsia"/>
          <w:kern w:val="0"/>
          <w:sz w:val="24"/>
          <w:szCs w:val="24"/>
          <w:highlight w:val="none"/>
          <w:lang w:val="en-US" w:eastAsia="zh-CN"/>
        </w:rPr>
        <w:t>，董事、副总裁、</w:t>
      </w:r>
      <w:r>
        <w:rPr>
          <w:rFonts w:hint="default" w:asciiTheme="minorEastAsia" w:hAnsiTheme="minorEastAsia" w:eastAsiaTheme="minorEastAsia"/>
          <w:kern w:val="0"/>
          <w:sz w:val="24"/>
          <w:szCs w:val="24"/>
          <w:highlight w:val="none"/>
          <w:lang w:val="en-US" w:eastAsia="zh-CN"/>
        </w:rPr>
        <w:t>董事会秘书</w:t>
      </w:r>
      <w:r>
        <w:rPr>
          <w:rFonts w:hint="eastAsia" w:asciiTheme="minorEastAsia" w:hAnsiTheme="minorEastAsia" w:eastAsiaTheme="minorEastAsia"/>
          <w:kern w:val="0"/>
          <w:sz w:val="24"/>
          <w:szCs w:val="24"/>
          <w:highlight w:val="none"/>
          <w:lang w:val="en-US" w:eastAsia="zh-CN"/>
        </w:rPr>
        <w:t>张正</w:t>
      </w:r>
      <w:r>
        <w:rPr>
          <w:rFonts w:hint="default" w:asciiTheme="minorEastAsia" w:hAnsiTheme="minorEastAsia" w:eastAsiaTheme="minorEastAsia"/>
          <w:kern w:val="0"/>
          <w:sz w:val="24"/>
          <w:szCs w:val="24"/>
          <w:highlight w:val="none"/>
          <w:lang w:val="en-US" w:eastAsia="zh-CN"/>
        </w:rPr>
        <w:t>先生</w:t>
      </w:r>
      <w:r>
        <w:rPr>
          <w:rFonts w:hint="eastAsia" w:asciiTheme="minorEastAsia" w:hAnsiTheme="minorEastAsia" w:eastAsiaTheme="minorEastAsia"/>
          <w:kern w:val="0"/>
          <w:sz w:val="24"/>
          <w:szCs w:val="24"/>
          <w:highlight w:val="none"/>
          <w:lang w:val="en-US" w:eastAsia="zh-CN"/>
        </w:rPr>
        <w:t>，董事、财务总监王国友先生，董事宣刚江先生，副总裁孙小挺先生</w:t>
      </w:r>
      <w:r>
        <w:rPr>
          <w:rFonts w:hint="eastAsia" w:asciiTheme="minorEastAsia" w:hAnsiTheme="minorEastAsia" w:eastAsiaTheme="minorEastAsia"/>
          <w:kern w:val="0"/>
          <w:sz w:val="24"/>
          <w:szCs w:val="24"/>
          <w:lang w:val="en-US" w:eastAsia="zh-CN"/>
        </w:rPr>
        <w:t>，</w:t>
      </w:r>
      <w:r>
        <w:rPr>
          <w:rFonts w:hint="default" w:asciiTheme="minorEastAsia" w:hAnsiTheme="minorEastAsia" w:eastAsiaTheme="minorEastAsia"/>
          <w:kern w:val="0"/>
          <w:sz w:val="24"/>
          <w:szCs w:val="24"/>
          <w:lang w:val="en-US" w:eastAsia="zh-CN"/>
        </w:rPr>
        <w:t>副总裁</w:t>
      </w:r>
      <w:r>
        <w:rPr>
          <w:rFonts w:hint="eastAsia" w:asciiTheme="minorEastAsia" w:hAnsiTheme="minorEastAsia" w:eastAsiaTheme="minorEastAsia"/>
          <w:kern w:val="0"/>
          <w:sz w:val="24"/>
          <w:szCs w:val="24"/>
          <w:lang w:val="en-US" w:eastAsia="zh-CN"/>
        </w:rPr>
        <w:t>张宝春先生</w:t>
      </w:r>
      <w:r>
        <w:rPr>
          <w:rFonts w:hint="default" w:asciiTheme="minorEastAsia" w:hAnsiTheme="minorEastAsia" w:eastAsiaTheme="minorEastAsia"/>
          <w:kern w:val="0"/>
          <w:sz w:val="24"/>
          <w:szCs w:val="24"/>
          <w:lang w:val="en-US" w:eastAsia="zh-CN"/>
        </w:rPr>
        <w:t>参与本次员工持股计划，与本次员工持股计划存在关联关系，</w:t>
      </w:r>
      <w:r>
        <w:rPr>
          <w:rFonts w:hint="eastAsia" w:asciiTheme="minorEastAsia" w:hAnsiTheme="minorEastAsia" w:eastAsiaTheme="minorEastAsia"/>
          <w:kern w:val="0"/>
          <w:sz w:val="24"/>
          <w:szCs w:val="24"/>
          <w:lang w:val="en-US" w:eastAsia="zh-CN"/>
        </w:rPr>
        <w:t>关联董事</w:t>
      </w:r>
      <w:r>
        <w:rPr>
          <w:rFonts w:hint="default" w:asciiTheme="minorEastAsia" w:hAnsiTheme="minorEastAsia" w:eastAsiaTheme="minorEastAsia"/>
          <w:kern w:val="0"/>
          <w:sz w:val="24"/>
          <w:szCs w:val="24"/>
          <w:lang w:val="en-US" w:eastAsia="zh-CN"/>
        </w:rPr>
        <w:t>在公司董事会审议本员工持股计划相关提案时</w:t>
      </w:r>
      <w:r>
        <w:rPr>
          <w:rFonts w:hint="eastAsia" w:asciiTheme="minorEastAsia" w:hAnsiTheme="minorEastAsia" w:eastAsiaTheme="minorEastAsia"/>
          <w:kern w:val="0"/>
          <w:sz w:val="24"/>
          <w:szCs w:val="24"/>
          <w:lang w:val="en-US" w:eastAsia="zh-CN"/>
        </w:rPr>
        <w:t>已</w:t>
      </w:r>
      <w:r>
        <w:rPr>
          <w:rFonts w:hint="default" w:asciiTheme="minorEastAsia" w:hAnsiTheme="minorEastAsia" w:eastAsiaTheme="minorEastAsia"/>
          <w:kern w:val="0"/>
          <w:sz w:val="24"/>
          <w:szCs w:val="24"/>
          <w:lang w:val="en-US" w:eastAsia="zh-CN"/>
        </w:rPr>
        <w:t>回避表决。除上述人员外，本期员工持股计划与公司其他董事、高级管理人员之间不存在关联关系。</w:t>
      </w:r>
    </w:p>
    <w:p w14:paraId="32932322">
      <w:pPr>
        <w:keepNext w:val="0"/>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本员工持股计划在相关操作运行等事务方面与控股股东、实际控制人、董事、高级管理人员保持独立。本员工持股计划持有人之间不构成一致行动关系，本员工持股计划的内部最高管理权力机构为持有人会议；本员工持股计划设管理委员会，监督员工持股计划的日常管理，代表持有人行使股东权利；本员工持股计划持有人持有的份额相对分散，任意单一持有人均无法对持有人会议及管理委员会决策产生重大影响。</w:t>
      </w:r>
    </w:p>
    <w:p w14:paraId="540B0DF5">
      <w:pPr>
        <w:numPr>
          <w:ilvl w:val="0"/>
          <w:numId w:val="1"/>
        </w:numPr>
        <w:autoSpaceDE w:val="0"/>
        <w:autoSpaceDN w:val="0"/>
        <w:adjustRightInd w:val="0"/>
        <w:spacing w:line="360" w:lineRule="auto"/>
        <w:ind w:firstLine="482" w:firstLineChars="200"/>
        <w:jc w:val="both"/>
        <w:rPr>
          <w:rFonts w:hint="default"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本次员工持股计划</w:t>
      </w:r>
      <w:r>
        <w:rPr>
          <w:rFonts w:hint="default" w:asciiTheme="minorEastAsia" w:hAnsiTheme="minorEastAsia" w:eastAsiaTheme="minorEastAsia"/>
          <w:b/>
          <w:bCs/>
          <w:kern w:val="0"/>
          <w:sz w:val="24"/>
          <w:szCs w:val="24"/>
          <w:lang w:val="en-US" w:eastAsia="zh-CN"/>
        </w:rPr>
        <w:t>的会计处理</w:t>
      </w:r>
    </w:p>
    <w:p w14:paraId="47F884B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按照《企业会计准则第11号——股份支付》的规定：完成等待期内的服务或达到规定业绩条件才可行权的换取职工服务的以权益结算的股份支付，在等待期内的每个资产负债表日，应当以对可行权权益工具数量的最佳估计为基础，按照权益工具授予日的公允价值，将当期取得的服务计入相关成本或费用和资本公积。公司将按企业会计准则要求进行会计处理，实施本次员工持股计划对公司经营成果影响的最终结果将以会计师事务所出具的年度审计报告为准。</w:t>
      </w:r>
    </w:p>
    <w:p w14:paraId="7C18101F">
      <w:pPr>
        <w:numPr>
          <w:ilvl w:val="0"/>
          <w:numId w:val="1"/>
        </w:numPr>
        <w:autoSpaceDE w:val="0"/>
        <w:autoSpaceDN w:val="0"/>
        <w:adjustRightInd w:val="0"/>
        <w:spacing w:line="360" w:lineRule="auto"/>
        <w:ind w:firstLine="482" w:firstLineChars="200"/>
        <w:jc w:val="both"/>
        <w:rPr>
          <w:rFonts w:hint="default"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2022年期已回购股份处理完成情况</w:t>
      </w:r>
    </w:p>
    <w:p w14:paraId="17D6F04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根据</w:t>
      </w:r>
      <w:r>
        <w:rPr>
          <w:rFonts w:hint="eastAsia" w:asciiTheme="minorEastAsia" w:hAnsiTheme="minorEastAsia" w:eastAsiaTheme="minorEastAsia"/>
          <w:kern w:val="0"/>
          <w:sz w:val="24"/>
          <w:szCs w:val="24"/>
          <w:lang w:val="en-US" w:eastAsia="zh-CN"/>
        </w:rPr>
        <w:t>本次</w:t>
      </w:r>
      <w:r>
        <w:rPr>
          <w:rFonts w:hint="default" w:asciiTheme="minorEastAsia" w:hAnsiTheme="minorEastAsia" w:eastAsiaTheme="minorEastAsia"/>
          <w:kern w:val="0"/>
          <w:sz w:val="24"/>
          <w:szCs w:val="24"/>
          <w:lang w:val="en-US" w:eastAsia="zh-CN"/>
        </w:rPr>
        <w:t>员工持股计划非交易过户情况，截至本公告披露日，公司通过回购专用证券账户以集中竞价方式累计回购的</w:t>
      </w:r>
      <w:r>
        <w:rPr>
          <w:rFonts w:hint="eastAsia" w:asciiTheme="minorEastAsia" w:hAnsiTheme="minorEastAsia" w:eastAsiaTheme="minorEastAsia"/>
          <w:kern w:val="0"/>
          <w:sz w:val="24"/>
          <w:szCs w:val="24"/>
          <w:lang w:val="en-US" w:eastAsia="zh-CN"/>
        </w:rPr>
        <w:t>29,800,000</w:t>
      </w:r>
      <w:r>
        <w:rPr>
          <w:rFonts w:hint="default" w:asciiTheme="minorEastAsia" w:hAnsiTheme="minorEastAsia" w:eastAsiaTheme="minorEastAsia"/>
          <w:kern w:val="0"/>
          <w:sz w:val="24"/>
          <w:szCs w:val="24"/>
          <w:lang w:val="en-US" w:eastAsia="zh-CN"/>
        </w:rPr>
        <w:t>股股票</w:t>
      </w:r>
      <w:r>
        <w:rPr>
          <w:rFonts w:hint="eastAsia" w:asciiTheme="minorEastAsia" w:hAnsiTheme="minorEastAsia" w:eastAsiaTheme="minorEastAsia"/>
          <w:kern w:val="0"/>
          <w:sz w:val="24"/>
          <w:szCs w:val="24"/>
          <w:lang w:val="en-US" w:eastAsia="zh-CN"/>
        </w:rPr>
        <w:t>（占公司总股本1.75%）</w:t>
      </w:r>
      <w:r>
        <w:rPr>
          <w:rFonts w:hint="default" w:asciiTheme="minorEastAsia" w:hAnsiTheme="minorEastAsia" w:eastAsiaTheme="minorEastAsia"/>
          <w:kern w:val="0"/>
          <w:sz w:val="24"/>
          <w:szCs w:val="24"/>
          <w:lang w:val="en-US" w:eastAsia="zh-CN"/>
        </w:rPr>
        <w:t>已全部处理完成，全部用于公司</w:t>
      </w:r>
      <w:r>
        <w:rPr>
          <w:rFonts w:hint="eastAsia" w:asciiTheme="minorEastAsia" w:hAnsiTheme="minorEastAsia" w:eastAsiaTheme="minorEastAsia"/>
          <w:kern w:val="0"/>
          <w:sz w:val="24"/>
          <w:szCs w:val="24"/>
          <w:lang w:val="en-US" w:eastAsia="zh-CN"/>
        </w:rPr>
        <w:t>第四期</w:t>
      </w:r>
      <w:r>
        <w:rPr>
          <w:rFonts w:hint="default" w:asciiTheme="minorEastAsia" w:hAnsiTheme="minorEastAsia" w:eastAsiaTheme="minorEastAsia"/>
          <w:kern w:val="0"/>
          <w:sz w:val="24"/>
          <w:szCs w:val="24"/>
          <w:lang w:val="en-US" w:eastAsia="zh-CN"/>
        </w:rPr>
        <w:t>员工持股计划。上述回购股份的实际用途与</w:t>
      </w:r>
      <w:r>
        <w:rPr>
          <w:rFonts w:hint="eastAsia" w:asciiTheme="minorEastAsia" w:hAnsiTheme="minorEastAsia" w:eastAsiaTheme="minorEastAsia"/>
          <w:kern w:val="0"/>
          <w:sz w:val="24"/>
          <w:szCs w:val="24"/>
          <w:lang w:val="en-US" w:eastAsia="zh-CN"/>
        </w:rPr>
        <w:t>2022年期</w:t>
      </w:r>
      <w:r>
        <w:rPr>
          <w:rFonts w:hint="default" w:asciiTheme="minorEastAsia" w:hAnsiTheme="minorEastAsia" w:eastAsiaTheme="minorEastAsia"/>
          <w:kern w:val="0"/>
          <w:sz w:val="24"/>
          <w:szCs w:val="24"/>
          <w:lang w:val="en-US" w:eastAsia="zh-CN"/>
        </w:rPr>
        <w:t>回购方案中的拟定用途不存在差异，回购事项符合《深圳证券交易所上市公司自律监管指引第9号——回购股份》等有关规定。</w:t>
      </w:r>
    </w:p>
    <w:p w14:paraId="3CCF230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default" w:asciiTheme="minorEastAsia" w:hAnsiTheme="minorEastAsia" w:eastAsiaTheme="minorEastAsia"/>
          <w:kern w:val="0"/>
          <w:sz w:val="24"/>
          <w:szCs w:val="24"/>
          <w:lang w:val="en-US" w:eastAsia="zh-CN"/>
        </w:rPr>
        <w:t>公司将持续关注本次员工持股计划的实施进展情况，并按照相关规定及时履行信息披露义务，敬请投资者注意投资风险。</w:t>
      </w:r>
    </w:p>
    <w:p w14:paraId="7CE0DAB3">
      <w:pPr>
        <w:numPr>
          <w:ilvl w:val="0"/>
          <w:numId w:val="1"/>
        </w:numPr>
        <w:autoSpaceDE w:val="0"/>
        <w:autoSpaceDN w:val="0"/>
        <w:adjustRightInd w:val="0"/>
        <w:spacing w:line="360" w:lineRule="auto"/>
        <w:ind w:firstLine="482" w:firstLineChars="200"/>
        <w:jc w:val="both"/>
        <w:rPr>
          <w:rFonts w:hint="default" w:asciiTheme="minorEastAsia" w:hAnsiTheme="minorEastAsia" w:eastAsiaTheme="minorEastAsia"/>
          <w:b/>
          <w:bCs/>
          <w:kern w:val="0"/>
          <w:sz w:val="24"/>
          <w:szCs w:val="24"/>
          <w:lang w:val="en-US" w:eastAsia="zh-CN"/>
        </w:rPr>
      </w:pPr>
      <w:r>
        <w:rPr>
          <w:rFonts w:hint="eastAsia" w:asciiTheme="minorEastAsia" w:hAnsiTheme="minorEastAsia" w:eastAsiaTheme="minorEastAsia"/>
          <w:b/>
          <w:bCs/>
          <w:kern w:val="0"/>
          <w:sz w:val="24"/>
          <w:szCs w:val="24"/>
          <w:lang w:val="en-US" w:eastAsia="zh-CN"/>
        </w:rPr>
        <w:t>备查文件</w:t>
      </w:r>
    </w:p>
    <w:p w14:paraId="76D394C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jc w:val="both"/>
        <w:textAlignment w:val="auto"/>
        <w:rPr>
          <w:rFonts w:hint="default" w:asciiTheme="minorEastAsia" w:hAnsiTheme="minorEastAsia" w:eastAsiaTheme="minorEastAsia"/>
          <w:kern w:val="0"/>
          <w:sz w:val="24"/>
          <w:szCs w:val="24"/>
          <w:lang w:val="en-US" w:eastAsia="zh-CN"/>
        </w:rPr>
      </w:pPr>
      <w:r>
        <w:rPr>
          <w:rFonts w:hint="eastAsia" w:asciiTheme="minorEastAsia" w:hAnsiTheme="minorEastAsia" w:eastAsiaTheme="minorEastAsia"/>
          <w:kern w:val="0"/>
          <w:sz w:val="24"/>
          <w:szCs w:val="24"/>
          <w:lang w:val="en-US" w:eastAsia="zh-CN"/>
        </w:rPr>
        <w:t>1、中国证券登记结算有限责任公司深圳分公司出具的《证券过户登记确认书》。</w:t>
      </w:r>
    </w:p>
    <w:p w14:paraId="27A786EE">
      <w:pPr>
        <w:autoSpaceDE w:val="0"/>
        <w:autoSpaceDN w:val="0"/>
        <w:adjustRightInd w:val="0"/>
        <w:spacing w:line="360" w:lineRule="auto"/>
        <w:ind w:firstLine="480" w:firstLineChars="200"/>
        <w:jc w:val="left"/>
        <w:rPr>
          <w:rFonts w:asciiTheme="minorEastAsia" w:hAnsiTheme="minorEastAsia" w:eastAsiaTheme="minorEastAsia"/>
          <w:kern w:val="0"/>
          <w:sz w:val="24"/>
          <w:szCs w:val="24"/>
        </w:rPr>
      </w:pPr>
      <w:r>
        <w:rPr>
          <w:rFonts w:asciiTheme="minorEastAsia" w:hAnsiTheme="minorEastAsia" w:eastAsiaTheme="minorEastAsia"/>
          <w:kern w:val="0"/>
          <w:sz w:val="24"/>
          <w:szCs w:val="24"/>
        </w:rPr>
        <w:t>特此</w:t>
      </w:r>
      <w:r>
        <w:rPr>
          <w:rFonts w:hint="eastAsia" w:asciiTheme="minorEastAsia" w:hAnsiTheme="minorEastAsia" w:eastAsiaTheme="minorEastAsia"/>
          <w:kern w:val="0"/>
          <w:sz w:val="24"/>
          <w:szCs w:val="24"/>
        </w:rPr>
        <w:t>公告</w:t>
      </w:r>
      <w:r>
        <w:rPr>
          <w:rFonts w:asciiTheme="minorEastAsia" w:hAnsiTheme="minorEastAsia" w:eastAsiaTheme="minorEastAsia"/>
          <w:kern w:val="0"/>
          <w:sz w:val="24"/>
          <w:szCs w:val="24"/>
        </w:rPr>
        <w:t>。</w:t>
      </w:r>
    </w:p>
    <w:p w14:paraId="7B92D485">
      <w:pPr>
        <w:autoSpaceDE w:val="0"/>
        <w:autoSpaceDN w:val="0"/>
        <w:adjustRightInd w:val="0"/>
        <w:spacing w:line="480" w:lineRule="exact"/>
        <w:jc w:val="right"/>
        <w:rPr>
          <w:rFonts w:asciiTheme="minorEastAsia" w:hAnsiTheme="minorEastAsia" w:eastAsiaTheme="minorEastAsia"/>
          <w:kern w:val="0"/>
          <w:sz w:val="24"/>
          <w:szCs w:val="24"/>
        </w:rPr>
      </w:pPr>
      <w:r>
        <w:rPr>
          <w:rFonts w:asciiTheme="minorEastAsia" w:hAnsiTheme="minorEastAsia" w:eastAsiaTheme="minorEastAsia"/>
          <w:kern w:val="0"/>
          <w:sz w:val="24"/>
          <w:szCs w:val="24"/>
        </w:rPr>
        <w:t>华孚时尚股份有限公司</w:t>
      </w:r>
      <w:r>
        <w:rPr>
          <w:rFonts w:hint="eastAsia" w:asciiTheme="minorEastAsia" w:hAnsiTheme="minorEastAsia" w:eastAsiaTheme="minorEastAsia"/>
          <w:kern w:val="0"/>
          <w:sz w:val="24"/>
          <w:szCs w:val="24"/>
        </w:rPr>
        <w:t>董</w:t>
      </w:r>
      <w:r>
        <w:rPr>
          <w:rFonts w:asciiTheme="minorEastAsia" w:hAnsiTheme="minorEastAsia" w:eastAsiaTheme="minorEastAsia"/>
          <w:kern w:val="0"/>
          <w:sz w:val="24"/>
          <w:szCs w:val="24"/>
        </w:rPr>
        <w:t>事会</w:t>
      </w:r>
    </w:p>
    <w:p w14:paraId="5CDB498B">
      <w:pPr>
        <w:autoSpaceDE w:val="0"/>
        <w:autoSpaceDN w:val="0"/>
        <w:adjustRightInd w:val="0"/>
        <w:spacing w:line="480" w:lineRule="exact"/>
        <w:jc w:val="right"/>
        <w:rPr>
          <w:rFonts w:asciiTheme="minorEastAsia" w:hAnsiTheme="minorEastAsia" w:eastAsiaTheme="minorEastAsia"/>
          <w:sz w:val="24"/>
          <w:szCs w:val="24"/>
        </w:rPr>
      </w:pPr>
      <w:r>
        <w:rPr>
          <w:rFonts w:hint="eastAsia" w:asciiTheme="minorEastAsia" w:hAnsiTheme="minorEastAsia" w:eastAsiaTheme="minorEastAsia"/>
          <w:kern w:val="0"/>
          <w:sz w:val="24"/>
          <w:szCs w:val="24"/>
        </w:rPr>
        <w:t>二〇二六年三月</w:t>
      </w:r>
      <w:r>
        <w:rPr>
          <w:rFonts w:hint="eastAsia" w:asciiTheme="minorEastAsia" w:hAnsiTheme="minorEastAsia" w:eastAsiaTheme="minorEastAsia"/>
          <w:kern w:val="0"/>
          <w:sz w:val="24"/>
          <w:szCs w:val="24"/>
          <w:lang w:val="en-US" w:eastAsia="zh-CN"/>
        </w:rPr>
        <w:t>二十</w:t>
      </w:r>
      <w:r>
        <w:rPr>
          <w:rFonts w:hint="eastAsia" w:asciiTheme="minorEastAsia" w:hAnsiTheme="minorEastAsia" w:eastAsiaTheme="minorEastAsia"/>
          <w:kern w:val="0"/>
          <w:sz w:val="24"/>
          <w:szCs w:val="24"/>
        </w:rPr>
        <w:t>日</w:t>
      </w:r>
    </w:p>
    <w:sectPr>
      <w:pgSz w:w="11906" w:h="16838"/>
      <w:pgMar w:top="1418"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CCD7D"/>
    <w:multiLevelType w:val="singleLevel"/>
    <w:tmpl w:val="9E4CCD7D"/>
    <w:lvl w:ilvl="0" w:tentative="0">
      <w:start w:val="2"/>
      <w:numFmt w:val="decimal"/>
      <w:suff w:val="nothing"/>
      <w:lvlText w:val="%1、"/>
      <w:lvlJc w:val="left"/>
    </w:lvl>
  </w:abstractNum>
  <w:abstractNum w:abstractNumId="1">
    <w:nsid w:val="E15C99E7"/>
    <w:multiLevelType w:val="singleLevel"/>
    <w:tmpl w:val="E15C99E7"/>
    <w:lvl w:ilvl="0" w:tentative="0">
      <w:start w:val="1"/>
      <w:numFmt w:val="decimal"/>
      <w:suff w:val="nothing"/>
      <w:lvlText w:val="%1．"/>
      <w:lvlJc w:val="left"/>
    </w:lvl>
  </w:abstractNum>
  <w:abstractNum w:abstractNumId="2">
    <w:nsid w:val="73C6A69E"/>
    <w:multiLevelType w:val="singleLevel"/>
    <w:tmpl w:val="73C6A69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1431"/>
    <w:rsid w:val="0005344A"/>
    <w:rsid w:val="00054CA8"/>
    <w:rsid w:val="000864CE"/>
    <w:rsid w:val="000D3ABD"/>
    <w:rsid w:val="000E0DC2"/>
    <w:rsid w:val="000E1211"/>
    <w:rsid w:val="000F31DF"/>
    <w:rsid w:val="0010598A"/>
    <w:rsid w:val="00110CA2"/>
    <w:rsid w:val="001263DD"/>
    <w:rsid w:val="00126B17"/>
    <w:rsid w:val="001454CC"/>
    <w:rsid w:val="00160828"/>
    <w:rsid w:val="00171561"/>
    <w:rsid w:val="001834CB"/>
    <w:rsid w:val="00184D4F"/>
    <w:rsid w:val="001916B2"/>
    <w:rsid w:val="001917EB"/>
    <w:rsid w:val="00195116"/>
    <w:rsid w:val="001E670F"/>
    <w:rsid w:val="001E7C24"/>
    <w:rsid w:val="00201033"/>
    <w:rsid w:val="0020339F"/>
    <w:rsid w:val="00287EF9"/>
    <w:rsid w:val="002A54EE"/>
    <w:rsid w:val="002D792A"/>
    <w:rsid w:val="00333043"/>
    <w:rsid w:val="00352817"/>
    <w:rsid w:val="00354540"/>
    <w:rsid w:val="003C7D52"/>
    <w:rsid w:val="003D6B08"/>
    <w:rsid w:val="003D76D1"/>
    <w:rsid w:val="003E3AAF"/>
    <w:rsid w:val="00407607"/>
    <w:rsid w:val="004311AF"/>
    <w:rsid w:val="004A3D6D"/>
    <w:rsid w:val="004D6190"/>
    <w:rsid w:val="004E7761"/>
    <w:rsid w:val="004F40B5"/>
    <w:rsid w:val="004F782E"/>
    <w:rsid w:val="00551063"/>
    <w:rsid w:val="00573F4A"/>
    <w:rsid w:val="0057640B"/>
    <w:rsid w:val="00583371"/>
    <w:rsid w:val="005A7547"/>
    <w:rsid w:val="005C6441"/>
    <w:rsid w:val="005E2C8B"/>
    <w:rsid w:val="00602F1F"/>
    <w:rsid w:val="0060371E"/>
    <w:rsid w:val="006079CD"/>
    <w:rsid w:val="006118F4"/>
    <w:rsid w:val="00617D60"/>
    <w:rsid w:val="00624B96"/>
    <w:rsid w:val="00630782"/>
    <w:rsid w:val="00657C02"/>
    <w:rsid w:val="00666BB4"/>
    <w:rsid w:val="00677B15"/>
    <w:rsid w:val="006822AB"/>
    <w:rsid w:val="00687BBD"/>
    <w:rsid w:val="006A1355"/>
    <w:rsid w:val="006A57D4"/>
    <w:rsid w:val="006B72A6"/>
    <w:rsid w:val="006B7F97"/>
    <w:rsid w:val="006D60ED"/>
    <w:rsid w:val="006D6ACA"/>
    <w:rsid w:val="006E6AFD"/>
    <w:rsid w:val="006F59DF"/>
    <w:rsid w:val="00704E4B"/>
    <w:rsid w:val="0070765B"/>
    <w:rsid w:val="007213AD"/>
    <w:rsid w:val="0072689F"/>
    <w:rsid w:val="00737F5E"/>
    <w:rsid w:val="007443CA"/>
    <w:rsid w:val="00790F83"/>
    <w:rsid w:val="007929B1"/>
    <w:rsid w:val="0079769C"/>
    <w:rsid w:val="007B0AB1"/>
    <w:rsid w:val="007C5053"/>
    <w:rsid w:val="00822E8C"/>
    <w:rsid w:val="00824DED"/>
    <w:rsid w:val="00832685"/>
    <w:rsid w:val="00833F5E"/>
    <w:rsid w:val="00841BE8"/>
    <w:rsid w:val="00847235"/>
    <w:rsid w:val="00862A46"/>
    <w:rsid w:val="00875EEF"/>
    <w:rsid w:val="008A20CE"/>
    <w:rsid w:val="008C20B1"/>
    <w:rsid w:val="008C3C6D"/>
    <w:rsid w:val="008D4E62"/>
    <w:rsid w:val="008F4FC7"/>
    <w:rsid w:val="00932963"/>
    <w:rsid w:val="00942336"/>
    <w:rsid w:val="0095138F"/>
    <w:rsid w:val="00956444"/>
    <w:rsid w:val="00974AE1"/>
    <w:rsid w:val="00984D7B"/>
    <w:rsid w:val="00985CBE"/>
    <w:rsid w:val="009960CD"/>
    <w:rsid w:val="009D0419"/>
    <w:rsid w:val="009D62D8"/>
    <w:rsid w:val="009D7EF8"/>
    <w:rsid w:val="009E3DB5"/>
    <w:rsid w:val="009F23F9"/>
    <w:rsid w:val="009F6B32"/>
    <w:rsid w:val="00A02886"/>
    <w:rsid w:val="00A22881"/>
    <w:rsid w:val="00A35185"/>
    <w:rsid w:val="00A43249"/>
    <w:rsid w:val="00A45FE7"/>
    <w:rsid w:val="00A83FCE"/>
    <w:rsid w:val="00AC3C01"/>
    <w:rsid w:val="00AC591E"/>
    <w:rsid w:val="00AC641F"/>
    <w:rsid w:val="00AD3557"/>
    <w:rsid w:val="00AF376D"/>
    <w:rsid w:val="00B00832"/>
    <w:rsid w:val="00B1650F"/>
    <w:rsid w:val="00B315E6"/>
    <w:rsid w:val="00B34194"/>
    <w:rsid w:val="00B40D14"/>
    <w:rsid w:val="00B4132A"/>
    <w:rsid w:val="00B66744"/>
    <w:rsid w:val="00B84B11"/>
    <w:rsid w:val="00BA6BC2"/>
    <w:rsid w:val="00BA7F76"/>
    <w:rsid w:val="00BB3F3F"/>
    <w:rsid w:val="00BC23FF"/>
    <w:rsid w:val="00BF13AE"/>
    <w:rsid w:val="00C428C4"/>
    <w:rsid w:val="00C719B8"/>
    <w:rsid w:val="00C75216"/>
    <w:rsid w:val="00C80118"/>
    <w:rsid w:val="00CC0EE5"/>
    <w:rsid w:val="00CE7808"/>
    <w:rsid w:val="00CF0030"/>
    <w:rsid w:val="00D12795"/>
    <w:rsid w:val="00D236FD"/>
    <w:rsid w:val="00D67256"/>
    <w:rsid w:val="00D70B6D"/>
    <w:rsid w:val="00D851B2"/>
    <w:rsid w:val="00D87C0C"/>
    <w:rsid w:val="00DA360D"/>
    <w:rsid w:val="00DF0348"/>
    <w:rsid w:val="00E330A1"/>
    <w:rsid w:val="00E37C18"/>
    <w:rsid w:val="00E430EC"/>
    <w:rsid w:val="00E85137"/>
    <w:rsid w:val="00EC027C"/>
    <w:rsid w:val="00F01039"/>
    <w:rsid w:val="00F02EDD"/>
    <w:rsid w:val="00F03CDE"/>
    <w:rsid w:val="00F05FA4"/>
    <w:rsid w:val="00F139D0"/>
    <w:rsid w:val="00F145C9"/>
    <w:rsid w:val="00F46F57"/>
    <w:rsid w:val="00F54AEF"/>
    <w:rsid w:val="00F70C8D"/>
    <w:rsid w:val="00F758CC"/>
    <w:rsid w:val="00F92383"/>
    <w:rsid w:val="00F96CE1"/>
    <w:rsid w:val="00FB6F06"/>
    <w:rsid w:val="00FC798E"/>
    <w:rsid w:val="00FF2085"/>
    <w:rsid w:val="00FF62C5"/>
    <w:rsid w:val="024040CF"/>
    <w:rsid w:val="035442A0"/>
    <w:rsid w:val="06110369"/>
    <w:rsid w:val="06F41D15"/>
    <w:rsid w:val="082D6D90"/>
    <w:rsid w:val="09B948EF"/>
    <w:rsid w:val="0AAD39B7"/>
    <w:rsid w:val="0E8F62CF"/>
    <w:rsid w:val="0F8E47D8"/>
    <w:rsid w:val="10053A08"/>
    <w:rsid w:val="112B4FF9"/>
    <w:rsid w:val="11641C95"/>
    <w:rsid w:val="12096242"/>
    <w:rsid w:val="144E4B82"/>
    <w:rsid w:val="14781A33"/>
    <w:rsid w:val="156118F0"/>
    <w:rsid w:val="157224A6"/>
    <w:rsid w:val="15CA0680"/>
    <w:rsid w:val="166149F5"/>
    <w:rsid w:val="183A0700"/>
    <w:rsid w:val="19EB5888"/>
    <w:rsid w:val="1CCA02F4"/>
    <w:rsid w:val="1ECB3353"/>
    <w:rsid w:val="1FBE4C66"/>
    <w:rsid w:val="250C1FD0"/>
    <w:rsid w:val="26DB60FD"/>
    <w:rsid w:val="27A92E21"/>
    <w:rsid w:val="28B65869"/>
    <w:rsid w:val="2A111E36"/>
    <w:rsid w:val="2C024AAA"/>
    <w:rsid w:val="2DF4597A"/>
    <w:rsid w:val="2E150147"/>
    <w:rsid w:val="2E88674F"/>
    <w:rsid w:val="2EA72D69"/>
    <w:rsid w:val="2F065CE2"/>
    <w:rsid w:val="2F1E74CF"/>
    <w:rsid w:val="3102072B"/>
    <w:rsid w:val="365077FE"/>
    <w:rsid w:val="37661A13"/>
    <w:rsid w:val="37FB30E8"/>
    <w:rsid w:val="382B0567"/>
    <w:rsid w:val="39335925"/>
    <w:rsid w:val="3C723848"/>
    <w:rsid w:val="3D6562C9"/>
    <w:rsid w:val="3EAE357E"/>
    <w:rsid w:val="3F4D34B9"/>
    <w:rsid w:val="3F6E4F73"/>
    <w:rsid w:val="40DA6FCE"/>
    <w:rsid w:val="43A55671"/>
    <w:rsid w:val="46440826"/>
    <w:rsid w:val="48DD58AD"/>
    <w:rsid w:val="4BCD7E5B"/>
    <w:rsid w:val="4CB342DE"/>
    <w:rsid w:val="52585DEA"/>
    <w:rsid w:val="53EB1FE5"/>
    <w:rsid w:val="54132940"/>
    <w:rsid w:val="557650C0"/>
    <w:rsid w:val="570805AA"/>
    <w:rsid w:val="57A26DC1"/>
    <w:rsid w:val="57F5027A"/>
    <w:rsid w:val="58311772"/>
    <w:rsid w:val="59CF49B1"/>
    <w:rsid w:val="5AE57265"/>
    <w:rsid w:val="5C5541F6"/>
    <w:rsid w:val="5E4072BB"/>
    <w:rsid w:val="631E72C5"/>
    <w:rsid w:val="65183A9D"/>
    <w:rsid w:val="694A1879"/>
    <w:rsid w:val="69D361E5"/>
    <w:rsid w:val="6A3D59BD"/>
    <w:rsid w:val="6C1F237D"/>
    <w:rsid w:val="6E294216"/>
    <w:rsid w:val="6F4109A4"/>
    <w:rsid w:val="70D73037"/>
    <w:rsid w:val="710F044A"/>
    <w:rsid w:val="711315BD"/>
    <w:rsid w:val="732C709B"/>
    <w:rsid w:val="769D6B1F"/>
    <w:rsid w:val="77843214"/>
    <w:rsid w:val="7B900480"/>
    <w:rsid w:val="7BB3244B"/>
    <w:rsid w:val="7BB5211A"/>
    <w:rsid w:val="7F3379FA"/>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autoRedefine/>
    <w:semiHidden/>
    <w:unhideWhenUsed/>
    <w:qFormat/>
    <w:uiPriority w:val="0"/>
    <w:pPr>
      <w:spacing w:line="600" w:lineRule="atLeast"/>
      <w:ind w:firstLine="560" w:firstLineChars="200"/>
    </w:pPr>
    <w:rPr>
      <w:rFonts w:ascii="Times New Roman" w:hAnsi="Times New Roman"/>
      <w:sz w:val="28"/>
      <w:szCs w:val="24"/>
    </w:rPr>
  </w:style>
  <w:style w:type="paragraph" w:styleId="3">
    <w:name w:val="Balloon Text"/>
    <w:basedOn w:val="1"/>
    <w:link w:val="14"/>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rFonts w:ascii="Calibri" w:hAnsi="Calibri" w:eastAsia="宋体" w:cs="Times New Roman"/>
      <w:sz w:val="18"/>
      <w:szCs w:val="18"/>
    </w:rPr>
  </w:style>
  <w:style w:type="character" w:customStyle="1" w:styleId="12">
    <w:name w:val="页脚 Char"/>
    <w:basedOn w:val="8"/>
    <w:link w:val="4"/>
    <w:qFormat/>
    <w:uiPriority w:val="99"/>
    <w:rPr>
      <w:rFonts w:ascii="Calibri" w:hAnsi="Calibri" w:eastAsia="宋体" w:cs="Times New Roman"/>
      <w:sz w:val="18"/>
      <w:szCs w:val="18"/>
    </w:rPr>
  </w:style>
  <w:style w:type="character" w:customStyle="1" w:styleId="13">
    <w:name w:val="正文文本缩进 Char"/>
    <w:basedOn w:val="8"/>
    <w:link w:val="2"/>
    <w:semiHidden/>
    <w:qFormat/>
    <w:uiPriority w:val="0"/>
    <w:rPr>
      <w:rFonts w:ascii="Times New Roman" w:hAnsi="Times New Roman" w:eastAsia="宋体" w:cs="Times New Roman"/>
      <w:sz w:val="28"/>
      <w:szCs w:val="24"/>
    </w:rPr>
  </w:style>
  <w:style w:type="character" w:customStyle="1" w:styleId="14">
    <w:name w:val="批注框文本 Char"/>
    <w:basedOn w:val="8"/>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2663</Words>
  <Characters>2921</Characters>
  <Lines>6</Lines>
  <Paragraphs>1</Paragraphs>
  <TotalTime>16</TotalTime>
  <ScaleCrop>false</ScaleCrop>
  <LinksUpToDate>false</LinksUpToDate>
  <CharactersWithSpaces>2949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2022-03-19T06:48:00Z</dcterms:created>
  <dc:creator>杨溶</dc:creator>
  <cp:lastModifiedBy>WSY</cp:lastModifiedBy>
  <cp:lastPrinted>2018-07-04T07:08:00Z</cp:lastPrinted>
  <dcterms:modified xsi:type="dcterms:W3CDTF">2026-03-20T00:50:44Z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B7B4CE2FE08B430492A30C82B3786585</vt:lpwstr>
  </property>
  <property fmtid="{D5CDD505-2E9C-101B-9397-08002B2CF9AE}" pid="4" name="KSOTemplateDocerSaveRecord">
    <vt:lpwstr>eyJoZGlkIjoiMGYyMzhhMzNmNzJhMTU4YjMxZTc1YjkyNzFjZGE5ZTciLCJ1c2VySWQiOiIyNjU0NTI1NDMifQ==</vt:lpwstr>
  </property>
</Properties>
</file>