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5D" w:rsidRDefault="00DF1C5D">
      <w:pPr>
        <w:spacing w:before="2400" w:line="773" w:lineRule="exact"/>
        <w:jc w:val="center"/>
        <w:rPr>
          <w:rFonts w:ascii="宋体" w:eastAsia="宋体" w:hAnsi="宋体" w:cs="宋体"/>
          <w:b/>
          <w:bCs/>
          <w:sz w:val="36"/>
          <w:szCs w:val="36"/>
        </w:rPr>
      </w:pPr>
      <w:r>
        <w:rPr>
          <w:rFonts w:ascii="宋体" w:eastAsia="宋体" w:hAnsi="宋体" w:cs="宋体"/>
          <w:b/>
          <w:bCs/>
          <w:noProof/>
          <w:szCs w:val="21"/>
        </w:rPr>
        <w:drawing>
          <wp:inline distT="0" distB="0" distL="0" distR="0">
            <wp:extent cx="2381250" cy="609600"/>
            <wp:effectExtent l="0" t="0" r="0" b="0"/>
            <wp:docPr id="1" name="图片 1" descr="C:\Users\sunx\AppData\Local\Microsoft\Windows\INetCache\Content.Word\华孚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nx\AppData\Local\Microsoft\Windows\INetCache\Content.Word\华孚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609600"/>
                    </a:xfrm>
                    <a:prstGeom prst="rect">
                      <a:avLst/>
                    </a:prstGeom>
                    <a:noFill/>
                    <a:ln>
                      <a:noFill/>
                    </a:ln>
                  </pic:spPr>
                </pic:pic>
              </a:graphicData>
            </a:graphic>
          </wp:inline>
        </w:drawing>
      </w:r>
    </w:p>
    <w:p w:rsidR="008820E4" w:rsidRDefault="005C49A8" w:rsidP="00DF1C5D">
      <w:pPr>
        <w:spacing w:beforeLines="250" w:before="780" w:afterLines="250" w:after="780" w:line="773" w:lineRule="exact"/>
        <w:jc w:val="center"/>
        <w:rPr>
          <w:rFonts w:ascii="宋体" w:eastAsia="宋体" w:hAnsi="宋体" w:cs="宋体"/>
          <w:b/>
          <w:bCs/>
          <w:sz w:val="36"/>
          <w:szCs w:val="36"/>
        </w:rPr>
      </w:pPr>
      <w:r>
        <w:rPr>
          <w:rFonts w:ascii="宋体" w:eastAsia="宋体" w:hAnsi="宋体" w:cs="宋体"/>
          <w:b/>
          <w:bCs/>
          <w:sz w:val="36"/>
          <w:szCs w:val="36"/>
        </w:rPr>
        <w:t>华孚时尚股份有限公司</w:t>
      </w:r>
    </w:p>
    <w:p w:rsidR="008820E4" w:rsidRPr="00DF1C5D" w:rsidRDefault="005C49A8" w:rsidP="00DF1C5D">
      <w:pPr>
        <w:spacing w:beforeLines="250" w:before="780" w:afterLines="250" w:after="780" w:line="773" w:lineRule="exact"/>
        <w:jc w:val="center"/>
        <w:rPr>
          <w:rFonts w:ascii="宋体" w:eastAsia="宋体" w:hAnsi="宋体" w:cs="宋体"/>
          <w:b/>
          <w:bCs/>
          <w:sz w:val="36"/>
          <w:szCs w:val="36"/>
        </w:rPr>
      </w:pPr>
      <w:r w:rsidRPr="00DF1C5D">
        <w:rPr>
          <w:rFonts w:ascii="宋体" w:eastAsia="宋体" w:hAnsi="宋体" w:cs="宋体"/>
          <w:b/>
          <w:bCs/>
          <w:sz w:val="36"/>
          <w:szCs w:val="36"/>
        </w:rPr>
        <w:t>2025年半年度</w:t>
      </w:r>
      <w:r w:rsidR="008F0F57">
        <w:rPr>
          <w:rFonts w:ascii="宋体" w:eastAsia="宋体" w:hAnsi="宋体" w:cs="宋体"/>
          <w:b/>
          <w:bCs/>
          <w:sz w:val="36"/>
          <w:szCs w:val="36"/>
        </w:rPr>
        <w:t>财务</w:t>
      </w:r>
      <w:r w:rsidRPr="00DF1C5D">
        <w:rPr>
          <w:rFonts w:ascii="宋体" w:eastAsia="宋体" w:hAnsi="宋体" w:cs="宋体"/>
          <w:b/>
          <w:bCs/>
          <w:sz w:val="36"/>
          <w:szCs w:val="36"/>
        </w:rPr>
        <w:t>报告</w:t>
      </w:r>
    </w:p>
    <w:p w:rsidR="008820E4" w:rsidRPr="00DF1C5D" w:rsidRDefault="008820E4">
      <w:pPr>
        <w:spacing w:before="1000" w:line="240" w:lineRule="exact"/>
        <w:jc w:val="center"/>
        <w:rPr>
          <w:rFonts w:ascii="宋体" w:eastAsia="宋体" w:hAnsi="宋体" w:cs="宋体"/>
          <w:b/>
          <w:bCs/>
          <w:szCs w:val="21"/>
        </w:rPr>
      </w:pPr>
    </w:p>
    <w:p w:rsidR="008820E4" w:rsidRDefault="008820E4">
      <w:pPr>
        <w:spacing w:before="1000" w:after="1000" w:line="0" w:lineRule="atLeast"/>
        <w:jc w:val="center"/>
        <w:rPr>
          <w:rFonts w:ascii="Times New Roman" w:eastAsia="宋体" w:hAnsi="Times New Roman" w:cs="Times New Roman"/>
        </w:rPr>
      </w:pPr>
    </w:p>
    <w:p w:rsidR="008820E4" w:rsidRPr="00DF1C5D" w:rsidRDefault="00DF1C5D" w:rsidP="00DF1C5D">
      <w:pPr>
        <w:spacing w:beforeLines="250" w:before="780" w:afterLines="250" w:after="780" w:line="773" w:lineRule="exact"/>
        <w:jc w:val="center"/>
        <w:rPr>
          <w:rFonts w:ascii="宋体" w:eastAsia="宋体" w:hAnsi="宋体" w:cs="宋体"/>
          <w:b/>
          <w:bCs/>
          <w:sz w:val="36"/>
          <w:szCs w:val="36"/>
        </w:rPr>
      </w:pPr>
      <w:r w:rsidRPr="00DF1C5D">
        <w:rPr>
          <w:rFonts w:ascii="宋体" w:eastAsia="宋体" w:hAnsi="宋体" w:cs="宋体" w:hint="eastAsia"/>
          <w:b/>
          <w:bCs/>
          <w:sz w:val="36"/>
          <w:szCs w:val="36"/>
        </w:rPr>
        <w:t>2025年8月</w:t>
      </w:r>
      <w:r w:rsidR="005C49A8" w:rsidRPr="00DF1C5D">
        <w:rPr>
          <w:rFonts w:ascii="宋体" w:eastAsia="宋体" w:hAnsi="宋体" w:cs="宋体"/>
          <w:b/>
          <w:bCs/>
          <w:sz w:val="36"/>
          <w:szCs w:val="36"/>
        </w:rPr>
        <w:br w:type="page"/>
      </w:r>
    </w:p>
    <w:p w:rsidR="008820E4" w:rsidRDefault="005C49A8">
      <w:pPr>
        <w:pStyle w:val="headingh1"/>
        <w:spacing w:before="340" w:after="330" w:line="773" w:lineRule="exact"/>
        <w:jc w:val="center"/>
        <w:rPr>
          <w:rFonts w:ascii="宋体" w:eastAsia="宋体" w:hAnsi="宋体" w:cs="宋体"/>
          <w:b/>
          <w:bCs/>
          <w:sz w:val="32"/>
          <w:szCs w:val="32"/>
        </w:rPr>
      </w:pPr>
      <w:bookmarkStart w:id="0" w:name="_Toc988991"/>
      <w:r>
        <w:rPr>
          <w:rFonts w:ascii="宋体" w:eastAsia="宋体" w:hAnsi="宋体" w:cs="宋体"/>
          <w:b/>
          <w:bCs/>
          <w:sz w:val="32"/>
          <w:szCs w:val="32"/>
        </w:rPr>
        <w:lastRenderedPageBreak/>
        <w:t>财务报告</w:t>
      </w:r>
      <w:bookmarkEnd w:id="0"/>
    </w:p>
    <w:p w:rsidR="008820E4" w:rsidRDefault="005C49A8">
      <w:pPr>
        <w:pStyle w:val="2"/>
        <w:spacing w:before="300" w:after="300" w:line="320" w:lineRule="exact"/>
        <w:rPr>
          <w:rFonts w:ascii="宋体" w:eastAsia="宋体" w:hAnsi="宋体" w:cs="宋体"/>
          <w:b/>
          <w:bCs/>
          <w:sz w:val="24"/>
          <w:szCs w:val="24"/>
        </w:rPr>
      </w:pPr>
      <w:bookmarkStart w:id="1" w:name="_Toc988992"/>
      <w:r>
        <w:rPr>
          <w:rFonts w:ascii="宋体" w:eastAsia="宋体" w:hAnsi="宋体" w:cs="宋体"/>
          <w:b/>
          <w:bCs/>
          <w:sz w:val="24"/>
          <w:szCs w:val="24"/>
        </w:rPr>
        <w:t>一、审计报告</w:t>
      </w:r>
      <w:bookmarkEnd w:id="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8820E4" w:rsidRDefault="005C49A8">
      <w:pPr>
        <w:pStyle w:val="2"/>
        <w:spacing w:before="300" w:after="300" w:line="320" w:lineRule="exact"/>
        <w:rPr>
          <w:rFonts w:ascii="宋体" w:eastAsia="宋体" w:hAnsi="宋体" w:cs="宋体"/>
          <w:b/>
          <w:bCs/>
          <w:sz w:val="24"/>
          <w:szCs w:val="24"/>
        </w:rPr>
      </w:pPr>
      <w:bookmarkStart w:id="2" w:name="_Toc988993"/>
      <w:r>
        <w:rPr>
          <w:rFonts w:ascii="宋体" w:eastAsia="宋体" w:hAnsi="宋体" w:cs="宋体"/>
          <w:b/>
          <w:bCs/>
          <w:sz w:val="24"/>
          <w:szCs w:val="24"/>
        </w:rPr>
        <w:t>二、财务报表</w:t>
      </w:r>
      <w:bookmarkEnd w:id="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8820E4" w:rsidRDefault="005C49A8">
      <w:pPr>
        <w:pStyle w:val="3"/>
        <w:spacing w:line="280" w:lineRule="exact"/>
        <w:jc w:val="left"/>
        <w:rPr>
          <w:rFonts w:ascii="宋体" w:hAnsi="宋体" w:cs="宋体"/>
          <w:b/>
          <w:bCs/>
        </w:rPr>
      </w:pPr>
      <w:bookmarkStart w:id="3" w:name="_Toc988994"/>
      <w:r>
        <w:rPr>
          <w:rFonts w:ascii="宋体" w:hAnsi="宋体" w:cs="宋体"/>
          <w:b/>
          <w:bCs/>
        </w:rPr>
        <w:t>1、合并资产负债表</w:t>
      </w:r>
      <w:bookmarkEnd w:id="3"/>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编制单位：华孚时尚股份有限公司</w:t>
      </w:r>
    </w:p>
    <w:p w:rsidR="008820E4" w:rsidRDefault="005C49A8">
      <w:pPr>
        <w:spacing w:line="240" w:lineRule="exact"/>
        <w:jc w:val="center"/>
        <w:rPr>
          <w:rFonts w:ascii="宋体" w:eastAsia="宋体" w:hAnsi="宋体" w:cs="宋体"/>
          <w:sz w:val="18"/>
          <w:szCs w:val="18"/>
        </w:rPr>
      </w:pPr>
      <w:r>
        <w:rPr>
          <w:rFonts w:ascii="宋体" w:eastAsia="宋体" w:hAnsi="宋体" w:cs="宋体"/>
          <w:sz w:val="18"/>
          <w:szCs w:val="18"/>
        </w:rPr>
        <w:t>2025年06月30日</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4,037,623,872.92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2,495,550,845.58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994,609,994.76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796,363,179.47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3,907,753,676.34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4,761,974,722.16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267,494,507.30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193,526,358.08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11,521,242,243.66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10,170,894,634.26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113,138,490.87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81,709,147.94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4,343,396,060.69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25,494,816.54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29,160,426.37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804,569,022.80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878,643,973.35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148,450,528.33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131,930,528.33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11,073,269.19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11,621,038.46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6,705,129,329.53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7,008,343,985.67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17,179,238,619.93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8,350,049,855.01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7,771,483,075.58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1,049,959,297.04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878,825,537.78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57,262,182.97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71,223,091.40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48,833,787.73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42,713,403.37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445,767,125.98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317,816,873.42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10,829,040,589.80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9,930,930,463.53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985,344,410.29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818,855,854.27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22,597,601.45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23,335,579.97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1,345,364,568.29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1,174,267,805.47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12,174,405,158.09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11,105,198,269.00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317,327,794.03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6,051,966,415.10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17,179,238,619.93</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法定代表人：孙伟挺   </w:t>
      </w:r>
      <w:r w:rsidR="004812B5">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主管会计工作负责人：陈玲芬   </w:t>
      </w:r>
      <w:r w:rsidR="004812B5">
        <w:rPr>
          <w:rFonts w:ascii="宋体" w:eastAsia="宋体" w:hAnsi="宋体" w:cs="宋体" w:hint="eastAsia"/>
          <w:sz w:val="18"/>
          <w:szCs w:val="18"/>
        </w:rPr>
        <w:t xml:space="preserve">               </w:t>
      </w:r>
      <w:r>
        <w:rPr>
          <w:rFonts w:ascii="宋体" w:eastAsia="宋体" w:hAnsi="宋体" w:cs="宋体"/>
          <w:sz w:val="18"/>
          <w:szCs w:val="18"/>
        </w:rPr>
        <w:t xml:space="preserve">   会计机构负责人：王国友</w:t>
      </w:r>
    </w:p>
    <w:p w:rsidR="008820E4" w:rsidRDefault="005C49A8">
      <w:pPr>
        <w:pStyle w:val="3"/>
        <w:spacing w:line="320" w:lineRule="exact"/>
        <w:jc w:val="left"/>
        <w:rPr>
          <w:rFonts w:ascii="宋体" w:hAnsi="宋体" w:cs="宋体"/>
          <w:b/>
          <w:bCs/>
          <w:sz w:val="24"/>
          <w:szCs w:val="24"/>
        </w:rPr>
      </w:pPr>
      <w:bookmarkStart w:id="4" w:name="_Toc988995"/>
      <w:r>
        <w:rPr>
          <w:rFonts w:ascii="宋体" w:hAnsi="宋体" w:cs="宋体"/>
          <w:b/>
          <w:bCs/>
          <w:sz w:val="24"/>
          <w:szCs w:val="24"/>
        </w:rPr>
        <w:t>2、母公司资产负债表</w:t>
      </w:r>
      <w:bookmarkEnd w:id="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400,988,173.88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115,021,547.26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38,844,670.10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37,354,670.10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786,009,839.63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1,106,281,125.37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177,520,442.03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151,466,130.47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59,815,061.48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61,059,875.11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1,653,687,478.47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1,509,418,245.25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89,742,490.87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58,313,147.94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36,672,943.98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37,555,447.98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671,116,645.60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694,534,003.45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198,788,246.82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201,632,450.37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1,098,976.94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12,808,821.78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12,808,821.78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9,855,022.79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21,023,963.79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5,401,812,409.66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5,389,286,717.08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7,055,499,888.13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6,898,704,962.33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205,159,291.66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170,159,988.89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512,820,000.00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359,628,423.89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864,605,193.49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1,331,618.84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4,475,575.56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6,291,494.68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4,854,762.55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1,073,757.65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4,065,239.16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22,736,502.14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20,153,552.36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139,942,658.17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60,499,895.19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1,248,983,747.03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1,128,815,249.50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354,534,266.80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357,825,412.46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46,297,518.67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48,776,994.67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7,719,354.13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3,004,952.69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408,551,139.60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409,607,359.82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1,657,534,886.63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1,538,422,609.32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60,545,686.07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520,745,208.50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5,397,965,001.50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EA52D0">
            <w:pPr>
              <w:spacing w:line="0" w:lineRule="atLeast"/>
              <w:jc w:val="right"/>
              <w:rPr>
                <w:rFonts w:ascii="宋体" w:eastAsia="宋体" w:hAnsi="宋体" w:cs="宋体"/>
                <w:sz w:val="18"/>
                <w:szCs w:val="18"/>
              </w:rPr>
            </w:pPr>
            <w:r w:rsidRPr="00EA52D0">
              <w:rPr>
                <w:rFonts w:ascii="宋体" w:eastAsia="宋体" w:hAnsi="宋体" w:cs="宋体"/>
                <w:sz w:val="18"/>
                <w:szCs w:val="18"/>
              </w:rPr>
              <w:t>7,055,499,888.13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6,898,704,962.33</w:t>
            </w:r>
          </w:p>
        </w:tc>
      </w:tr>
    </w:tbl>
    <w:p w:rsidR="008820E4" w:rsidRDefault="005C49A8">
      <w:pPr>
        <w:pStyle w:val="3"/>
        <w:spacing w:line="280" w:lineRule="exact"/>
        <w:jc w:val="left"/>
        <w:rPr>
          <w:rFonts w:ascii="宋体" w:hAnsi="宋体" w:cs="宋体"/>
          <w:b/>
          <w:bCs/>
        </w:rPr>
      </w:pPr>
      <w:bookmarkStart w:id="5" w:name="_Toc988996"/>
      <w:r>
        <w:rPr>
          <w:rFonts w:ascii="宋体" w:hAnsi="宋体" w:cs="宋体"/>
          <w:b/>
          <w:bCs/>
        </w:rPr>
        <w:t>3、合并利润表</w:t>
      </w:r>
      <w:bookmarkEnd w:id="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lastRenderedPageBreak/>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6,015,512,810.59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6,526,556,917.66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6,117,898,603.32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41,181,403.05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40,234,045.22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54,598,732.88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52,789,991.86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157,722,589.96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156,860,189.02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64,132,053.44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56,859,805.33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93,080,933.20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101,914,282.91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97,500,107.36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88,505,950.88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5,650,906.95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-12,171,480.20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3,057,845.75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39,798,767.60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67,854,234.81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997,577.95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1,849,627.52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2,942,568.17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38,496,510.34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66,761,294.16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11,527,174.10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31,303,997.61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55,234,120.06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1.持续经营净利润（净亏损以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44,804,621.17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10,429,498.89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-67,916,889.12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-67,916,889.12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-42,073,935.83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-11,757,664.18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-22,187,163.07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10,429,498.89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bl>
    <w:p w:rsidR="008820E4" w:rsidRDefault="005C49A8" w:rsidP="00CF103B">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法定代表人：孙伟挺    </w:t>
      </w:r>
      <w:r w:rsidR="00CF103B">
        <w:rPr>
          <w:rFonts w:ascii="宋体" w:eastAsia="宋体" w:hAnsi="宋体" w:cs="宋体" w:hint="eastAsia"/>
          <w:sz w:val="18"/>
          <w:szCs w:val="18"/>
        </w:rPr>
        <w:t xml:space="preserve">                </w:t>
      </w:r>
      <w:r>
        <w:rPr>
          <w:rFonts w:ascii="宋体" w:eastAsia="宋体" w:hAnsi="宋体" w:cs="宋体"/>
          <w:sz w:val="18"/>
          <w:szCs w:val="18"/>
        </w:rPr>
        <w:t xml:space="preserve">主管会计工作负责人：陈玲芬    </w:t>
      </w:r>
      <w:r w:rsidR="00CF103B">
        <w:rPr>
          <w:rFonts w:ascii="宋体" w:eastAsia="宋体" w:hAnsi="宋体" w:cs="宋体" w:hint="eastAsia"/>
          <w:sz w:val="18"/>
          <w:szCs w:val="18"/>
        </w:rPr>
        <w:t xml:space="preserve">              </w:t>
      </w:r>
      <w:r>
        <w:rPr>
          <w:rFonts w:ascii="宋体" w:eastAsia="宋体" w:hAnsi="宋体" w:cs="宋体"/>
          <w:sz w:val="18"/>
          <w:szCs w:val="18"/>
        </w:rPr>
        <w:t>会计机构负责人：王国友</w:t>
      </w:r>
    </w:p>
    <w:p w:rsidR="008820E4" w:rsidRDefault="005C49A8">
      <w:pPr>
        <w:pStyle w:val="3"/>
        <w:spacing w:line="280" w:lineRule="exact"/>
        <w:jc w:val="left"/>
        <w:rPr>
          <w:rFonts w:ascii="宋体" w:hAnsi="宋体" w:cs="宋体"/>
          <w:b/>
          <w:bCs/>
        </w:rPr>
      </w:pPr>
      <w:bookmarkStart w:id="6" w:name="_Toc988997"/>
      <w:r>
        <w:rPr>
          <w:rFonts w:ascii="宋体" w:hAnsi="宋体" w:cs="宋体"/>
          <w:b/>
          <w:bCs/>
        </w:rPr>
        <w:t>4、母公司利润表</w:t>
      </w:r>
      <w:bookmarkEnd w:id="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522,707,909.71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424,899,507.08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5,918,473.92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5,406,256.19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1,567,235.67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1,673,722.91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lastRenderedPageBreak/>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15,313,833.53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12,007,196.87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29,761,545.83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21,862,656.28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12,351,549.08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9,371,009.27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11,067,716.24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5,263,710.45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168,035.02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1,036,781.23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4,056,220.94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2,913,461.69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840,863.69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82,227.04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-7,023,114.50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394,675.29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50,868.73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-25,931.21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10,922,987.24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51,692,857.61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80,295.02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2,679.42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35,575.26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571,601.55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51,123,935.48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-1,518,859.80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lastRenderedPageBreak/>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53,567,900.16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pStyle w:val="3"/>
        <w:spacing w:line="280" w:lineRule="exact"/>
        <w:jc w:val="left"/>
        <w:rPr>
          <w:rFonts w:ascii="宋体" w:hAnsi="宋体" w:cs="宋体"/>
          <w:b/>
          <w:bCs/>
        </w:rPr>
      </w:pPr>
      <w:bookmarkStart w:id="7" w:name="_Toc988998"/>
      <w:r>
        <w:rPr>
          <w:rFonts w:ascii="宋体" w:hAnsi="宋体" w:cs="宋体"/>
          <w:b/>
          <w:bCs/>
        </w:rPr>
        <w:t>5、合并现金流量表</w:t>
      </w:r>
      <w:bookmarkEnd w:id="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7,637,426,690.92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7,433,540,349.56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6,755,335.74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8,417,045.56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730,810,203.00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561,046,643.88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8,374,992,229.66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8,003,004,039.00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6,075,962,269.85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5,655,063,802.73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421,500,691.91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401,139,783.32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158,381,273.46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190,636,894.26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486,619,178.36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662,991,344.06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7,142,463,413.58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6,909,831,824.37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510,171,476.56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345,957,416.88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33,396,930.23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20,263,620.99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73,309,644.64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6,333,987.02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2,601,000.00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618,878,051.43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375,156,024.89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86,317,426.26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352,319,925.52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926,149,059.70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340,729,630.86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16,713,514.33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1,029,180,000.29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693,549,556.38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-410,301,948.86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-318,393,531.49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6,992,315,723.01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5,988,280,421.01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7,031,845,108.70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6,008,199,190.83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6,195,360,426.48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5,458,843,788.25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90,542,501.50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91,931,370.83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1,809,510,292.02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8,785,087,155.22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7,360,285,451.10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-1,753,242,046.52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-1,352,086,260.27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-6,593,634.91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8,296,609.75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-937,608,814.21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-569,010,967.38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2,183,880,557.50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1,614,869,590.12</w:t>
            </w:r>
          </w:p>
        </w:tc>
      </w:tr>
    </w:tbl>
    <w:p w:rsidR="008820E4" w:rsidRDefault="005C49A8">
      <w:pPr>
        <w:pStyle w:val="3"/>
        <w:spacing w:line="280" w:lineRule="exact"/>
        <w:jc w:val="left"/>
        <w:rPr>
          <w:rFonts w:ascii="宋体" w:hAnsi="宋体" w:cs="宋体"/>
          <w:b/>
          <w:bCs/>
        </w:rPr>
      </w:pPr>
      <w:bookmarkStart w:id="8" w:name="_Toc988999"/>
      <w:r>
        <w:rPr>
          <w:rFonts w:ascii="宋体" w:hAnsi="宋体" w:cs="宋体"/>
          <w:b/>
          <w:bCs/>
        </w:rPr>
        <w:t>6、母公司现金流量表</w:t>
      </w:r>
      <w:bookmarkEnd w:id="8"/>
    </w:p>
    <w:p w:rsidR="008820E4" w:rsidRDefault="005C49A8">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2025年半年度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561,296,185.25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694,364,931.68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64,981,226.94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38,027,016.40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626,277,412.19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732,391,948.08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269,272,747.17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368,403,618.31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37,398,208.03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35,608,674.47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15,534,603.09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30,608,916.00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58,628,641.02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58,038,629.78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380,834,199.31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492,659,838.56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245,443,212.88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239,732,109.52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1,880,275.87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4,868.14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1,885,144.01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w:t>
            </w:r>
            <w:r>
              <w:rPr>
                <w:rFonts w:ascii="宋体" w:eastAsia="宋体" w:hAnsi="宋体" w:cs="宋体"/>
                <w:sz w:val="18"/>
                <w:szCs w:val="18"/>
              </w:rPr>
              <w:lastRenderedPageBreak/>
              <w:t>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62,175,701.69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103,930,415.50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62,175,701.69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103,930,415.50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-60,574,701.69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-102,045,271.49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234,808,997.83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111,316,182.95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234,808,997.83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111,316,182.95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12,104,752.26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8,727,886.74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209,727,671.77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133,704,752.26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248,455,558.51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101,104,245.57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-137,139,375.56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-6,130.14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8,318.91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285,966,626.62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555,781.38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107,541,226.83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35,219,200.57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393,507,853.45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35,774,981.95</w:t>
            </w:r>
          </w:p>
        </w:tc>
      </w:tr>
    </w:tbl>
    <w:p w:rsidR="008820E4" w:rsidRDefault="005C49A8">
      <w:pPr>
        <w:pStyle w:val="3"/>
        <w:spacing w:line="280" w:lineRule="exact"/>
        <w:jc w:val="left"/>
        <w:rPr>
          <w:rFonts w:ascii="宋体" w:hAnsi="宋体" w:cs="宋体"/>
          <w:b/>
          <w:bCs/>
        </w:rPr>
      </w:pPr>
      <w:bookmarkStart w:id="9" w:name="_Toc989000"/>
      <w:r>
        <w:rPr>
          <w:rFonts w:ascii="宋体" w:hAnsi="宋体" w:cs="宋体"/>
          <w:b/>
          <w:bCs/>
        </w:rPr>
        <w:t>7、合并所有者权益变动表</w:t>
      </w:r>
      <w:bookmarkEnd w:id="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291,121,567.71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6,074,040,350.93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26,206,226.32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-22,073,935.83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-48,280,162.15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6,206,226.32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-42,073,935.83</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w:t>
            </w:r>
            <w:r>
              <w:rPr>
                <w:rFonts w:ascii="宋体" w:eastAsia="宋体" w:hAnsi="宋体" w:cs="宋体"/>
                <w:sz w:val="18"/>
                <w:szCs w:val="18"/>
              </w:rPr>
              <w:lastRenderedPageBreak/>
              <w:t>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317,327,794.03</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6,051,966,415.10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-96,153,506.00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6,156,565,539.90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291,949,555.56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6,448,515,095.46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-96,153,506.00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6,156,565,539.90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291,949,555.56</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6,448,515,095.46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-66,991,784.24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44,804,621.17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-122,220,277.55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5,591,280.59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-116,628,996.96</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w:t>
            </w:r>
            <w:r>
              <w:rPr>
                <w:rFonts w:ascii="宋体" w:eastAsia="宋体" w:hAnsi="宋体" w:cs="宋体"/>
                <w:sz w:val="18"/>
                <w:szCs w:val="18"/>
              </w:rPr>
              <w:lastRenderedPageBreak/>
              <w:t>收益总额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66,991,784.24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w:t>
            </w:r>
            <w:r>
              <w:rPr>
                <w:rFonts w:ascii="宋体" w:eastAsia="宋体" w:hAnsi="宋体" w:cs="宋体"/>
                <w:sz w:val="18"/>
                <w:szCs w:val="18"/>
              </w:rPr>
              <w:lastRenderedPageBreak/>
              <w:t>804,621.17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22,187,163.07</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w:t>
            </w:r>
            <w:r>
              <w:rPr>
                <w:rFonts w:ascii="宋体" w:eastAsia="宋体" w:hAnsi="宋体" w:cs="宋体"/>
                <w:sz w:val="18"/>
                <w:szCs w:val="18"/>
              </w:rPr>
              <w:lastRenderedPageBreak/>
              <w:t>429,498.89</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11,757,664.18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-4,838,218.30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-104,871,332.78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-4,838,218.30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-104,871,332.78</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w:t>
            </w:r>
            <w:r>
              <w:rPr>
                <w:rFonts w:ascii="宋体" w:eastAsia="宋体" w:hAnsi="宋体" w:cs="宋体"/>
                <w:sz w:val="18"/>
                <w:szCs w:val="18"/>
              </w:rPr>
              <w:lastRenderedPageBreak/>
              <w:t>留存收益</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6．其他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-163,145,290.24</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339,467,737.72</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1,719,096,713.91</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6,034,345,262.35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297,540,836.15</w:t>
            </w:r>
          </w:p>
        </w:tc>
        <w:tc>
          <w:tcPr>
            <w:tcW w:w="56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6,331,886,098.50</w:t>
            </w:r>
          </w:p>
        </w:tc>
      </w:tr>
    </w:tbl>
    <w:p w:rsidR="008820E4" w:rsidRDefault="005C49A8">
      <w:pPr>
        <w:pStyle w:val="3"/>
        <w:spacing w:line="280" w:lineRule="exact"/>
        <w:jc w:val="left"/>
        <w:rPr>
          <w:rFonts w:ascii="宋体" w:hAnsi="宋体" w:cs="宋体"/>
          <w:b/>
          <w:bCs/>
        </w:rPr>
      </w:pPr>
      <w:bookmarkStart w:id="10" w:name="_Toc989001"/>
      <w:r>
        <w:rPr>
          <w:rFonts w:ascii="宋体" w:hAnsi="宋体" w:cs="宋体"/>
          <w:b/>
          <w:bCs/>
        </w:rPr>
        <w:t>8、母公司所有者权益变动表</w:t>
      </w:r>
      <w:bookmarkEnd w:id="1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2025年半年度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33,830,744.58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509,777,501.50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5,360,282,353.01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10,967,707.00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37,682,648.49</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w:t>
            </w:r>
            <w:r>
              <w:rPr>
                <w:rFonts w:ascii="宋体" w:eastAsia="宋体" w:hAnsi="宋体" w:cs="宋体"/>
                <w:sz w:val="18"/>
                <w:szCs w:val="18"/>
              </w:rPr>
              <w:lastRenderedPageBreak/>
              <w:t>股</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60,545,686.07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309,166,201.62</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520,745,208.50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5,397,965,001.50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820E4">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2024年半年度</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所有者权益合计</w:t>
            </w:r>
          </w:p>
        </w:tc>
      </w:tr>
      <w:tr w:rsidR="008820E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14,003,424.37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547,798,739.86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5,477,215,483.21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200,071,093.36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14,003,424.37</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547,798,739.86</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5,477,215,483.21</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-46,465,214.32</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925,104.88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52,642,795.28</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-46,465,214.32</w:t>
            </w: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3,106,930,758.15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14,928,529.25</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307,872,299.19</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600,441,535.14</w:t>
            </w: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5,430,750,268.89</w:t>
            </w:r>
          </w:p>
        </w:tc>
      </w:tr>
    </w:tbl>
    <w:p w:rsidR="008820E4" w:rsidRDefault="005C49A8">
      <w:pPr>
        <w:pStyle w:val="2"/>
        <w:spacing w:before="300" w:after="300" w:line="320" w:lineRule="exact"/>
        <w:rPr>
          <w:rFonts w:ascii="宋体" w:eastAsia="宋体" w:hAnsi="宋体" w:cs="宋体"/>
          <w:b/>
          <w:bCs/>
          <w:sz w:val="24"/>
          <w:szCs w:val="24"/>
        </w:rPr>
      </w:pPr>
      <w:bookmarkStart w:id="11" w:name="_Toc989002"/>
      <w:r>
        <w:rPr>
          <w:rFonts w:ascii="宋体" w:eastAsia="宋体" w:hAnsi="宋体" w:cs="宋体"/>
          <w:b/>
          <w:bCs/>
          <w:sz w:val="24"/>
          <w:szCs w:val="24"/>
        </w:rPr>
        <w:t>三、公司基本情况</w:t>
      </w:r>
      <w:bookmarkEnd w:id="11"/>
    </w:p>
    <w:p w:rsidR="005C49A8" w:rsidRDefault="005C49A8" w:rsidP="004812B5">
      <w:pPr>
        <w:widowControl/>
        <w:ind w:firstLineChars="236" w:firstLine="425"/>
        <w:divId w:val="608320730"/>
        <w:rPr>
          <w:sz w:val="18"/>
          <w:szCs w:val="18"/>
        </w:rPr>
      </w:pPr>
      <w:r>
        <w:rPr>
          <w:rFonts w:hint="eastAsia"/>
          <w:sz w:val="18"/>
          <w:szCs w:val="18"/>
        </w:rPr>
        <w:t>公司注册地、组织形式和总部地址</w:t>
      </w:r>
    </w:p>
    <w:p w:rsidR="005C49A8" w:rsidRDefault="005C49A8">
      <w:pPr>
        <w:pStyle w:val="a3"/>
        <w:spacing w:before="0" w:beforeAutospacing="0" w:after="0" w:afterAutospacing="0"/>
        <w:ind w:firstLine="420"/>
        <w:jc w:val="both"/>
        <w:divId w:val="608320730"/>
      </w:pPr>
      <w:r>
        <w:rPr>
          <w:rFonts w:hint="eastAsia"/>
          <w:sz w:val="18"/>
          <w:szCs w:val="18"/>
        </w:rPr>
        <w:t>华孚时尚股份有限公司（以下简称“公司”或“本公司”）前身系于2000年10月经安徽省体改委【皖体改函[2000]79号】、安徽省人民政府【皖府股字[2000]第37号】文批准，由安徽飞亚纺织集团有限公司(以下简称“飞亚集团”)作为主发起人，联合上海东华大学科技园发展有限公司、淮北印染集团公司、上海市纺织科学研究院、安徽省国有资产运营有限公司、淮北市国有资产运营有限公司等五家企业共同发起，采用募集方式设立的股份有限公司。并于2000年10月31日在安徽省工商行政管理局登记注册，注册资本为6,000.00万元。根据本公司2003年第一次临时股东大会决议，并经中国证券监督管理委员会证监发行字[2005]9号文核准，本公司于2005年4月向社会公众公开发行股票4,000万股，2005年4月27日在深圳证券交易所挂牌上市。</w:t>
      </w:r>
    </w:p>
    <w:p w:rsidR="005C49A8" w:rsidRDefault="005C49A8">
      <w:pPr>
        <w:pStyle w:val="a3"/>
        <w:spacing w:before="0" w:beforeAutospacing="0" w:after="0" w:afterAutospacing="0"/>
        <w:ind w:firstLine="420"/>
        <w:jc w:val="both"/>
        <w:divId w:val="608320730"/>
      </w:pPr>
      <w:r>
        <w:rPr>
          <w:rFonts w:hint="eastAsia"/>
          <w:sz w:val="18"/>
          <w:szCs w:val="18"/>
        </w:rPr>
        <w:t>2008年1月22日淮北市人民政府国有资产监督管理委员会与华孚控股有限公司(以下简称“华孚控股”)签订《产权交易合同》，华孚控股拟收购淮北市人民政府国有资产监督管理委员会持有的飞亚集团100%的股权，飞亚集团持有本公司40.55%的股权。</w:t>
      </w:r>
    </w:p>
    <w:p w:rsidR="005C49A8" w:rsidRDefault="005C49A8">
      <w:pPr>
        <w:pStyle w:val="a3"/>
        <w:spacing w:before="0" w:beforeAutospacing="0" w:after="0" w:afterAutospacing="0"/>
        <w:ind w:firstLine="420"/>
        <w:jc w:val="both"/>
        <w:divId w:val="608320730"/>
      </w:pPr>
      <w:r>
        <w:rPr>
          <w:rFonts w:hint="eastAsia"/>
          <w:sz w:val="18"/>
          <w:szCs w:val="18"/>
        </w:rPr>
        <w:t>上述转让经2008年4月6日国务院国有资产监督管理委员会国资产权［2008］357号《关于安徽飞亚纺织发展股份有限公司间接转让涉及的国有股东性质变更有关问题的批复》以及2008年6月27日中国证券监督管理委员会证监许可［2008］849号《关于核准华孚控股有限公司公告安徽飞亚纺织发展股份有限公司收购报告书的批复》批准。2008年12月10日完成工商变更登记手续，飞亚集团变更为华孚控股全资子公司。</w:t>
      </w:r>
    </w:p>
    <w:p w:rsidR="005C49A8" w:rsidRDefault="005C49A8">
      <w:pPr>
        <w:pStyle w:val="a3"/>
        <w:spacing w:before="0" w:beforeAutospacing="0" w:after="0" w:afterAutospacing="0"/>
        <w:ind w:firstLine="420"/>
        <w:jc w:val="both"/>
        <w:divId w:val="608320730"/>
      </w:pPr>
      <w:r>
        <w:rPr>
          <w:rFonts w:hint="eastAsia"/>
          <w:sz w:val="18"/>
          <w:szCs w:val="18"/>
        </w:rPr>
        <w:t>2008年1月30日，飞亚集团分别与受让方廖煜、赵伟光和陈敏签署了股权转让协议。飞亚集团以协议转让方式分别向廖煜、赵伟光和陈敏转让499万股本公司股权，合计转让1,497万股权，占本公司总股本的14.97%。飞亚集团减持后持有本公司2,557.91万股，占总股本的25.58%，该转让于2008年12月3日完成股权过户手续。</w:t>
      </w:r>
    </w:p>
    <w:p w:rsidR="005C49A8" w:rsidRDefault="005C49A8">
      <w:pPr>
        <w:pStyle w:val="a3"/>
        <w:spacing w:before="0" w:beforeAutospacing="0" w:after="0" w:afterAutospacing="0"/>
        <w:ind w:firstLine="420"/>
        <w:jc w:val="both"/>
        <w:divId w:val="608320730"/>
      </w:pPr>
      <w:r>
        <w:rPr>
          <w:rFonts w:hint="eastAsia"/>
          <w:sz w:val="18"/>
          <w:szCs w:val="18"/>
        </w:rPr>
        <w:t>本公司2008年5月15日与华孚控股、深圳市华人投资有限公司及朱翠云、宋江、顾振华、潘金平、齐昌玮、张小荷、项小岳、王斌签署了《非公开发行股份与资产购买协议书》，并经2008年第三届董事会第三次会议决议、2008年</w:t>
      </w:r>
      <w:r>
        <w:rPr>
          <w:rFonts w:hint="eastAsia"/>
          <w:sz w:val="18"/>
          <w:szCs w:val="18"/>
        </w:rPr>
        <w:lastRenderedPageBreak/>
        <w:t>第二次临时股东大会决议通过，本公司以通过非公开发行13,511.10万股普通股为对价，认购华孚控股、深圳市华人投资有限公司及朱翠云、宋江、顾振华、潘金平、齐昌玮、张小荷、项小岳、王斌八位自然人合计持有的深圳市华孚进出口有限公司100%股权；认购华孚控股持有的江西华孚色纺有限公司40%股权、持有的浙江缙云华孚纺织有限公司29.70%股权以及持有的浙江金棉纺织有限公司37.50%股权(以下简称“标的资产”)。</w:t>
      </w:r>
    </w:p>
    <w:p w:rsidR="005C49A8" w:rsidRDefault="005C49A8">
      <w:pPr>
        <w:pStyle w:val="a3"/>
        <w:spacing w:before="0" w:beforeAutospacing="0" w:after="0" w:afterAutospacing="0"/>
        <w:ind w:firstLine="420"/>
        <w:jc w:val="both"/>
        <w:divId w:val="608320730"/>
      </w:pPr>
      <w:r>
        <w:rPr>
          <w:rFonts w:hint="eastAsia"/>
          <w:sz w:val="18"/>
          <w:szCs w:val="18"/>
        </w:rPr>
        <w:t>2008年12月29日，根据中国证券监督管理委员会上市公司并购重组审核委员会审核结果，本公司发行股份购买资产暨关联交易获得有条件通过。</w:t>
      </w:r>
    </w:p>
    <w:p w:rsidR="005C49A8" w:rsidRDefault="005C49A8">
      <w:pPr>
        <w:pStyle w:val="a3"/>
        <w:spacing w:before="0" w:beforeAutospacing="0" w:after="0" w:afterAutospacing="0"/>
        <w:ind w:firstLine="420"/>
        <w:jc w:val="both"/>
        <w:divId w:val="608320730"/>
      </w:pPr>
      <w:r>
        <w:rPr>
          <w:rFonts w:hint="eastAsia"/>
          <w:sz w:val="18"/>
          <w:szCs w:val="18"/>
        </w:rPr>
        <w:t>2008年12月31日，本公司召开2008年第四次临时股东大会，决议通过《关于变更公司注册名称的议案》，本公司注册名称拟由“安徽飞亚纺织发展股份有限公司”变更为“安徽华孚色纺股份有限公司”，并于2009年1月5日完成工商变更登记手续。</w:t>
      </w:r>
    </w:p>
    <w:p w:rsidR="005C49A8" w:rsidRDefault="005C49A8">
      <w:pPr>
        <w:pStyle w:val="a3"/>
        <w:spacing w:before="0" w:beforeAutospacing="0" w:after="0" w:afterAutospacing="0"/>
        <w:ind w:firstLine="420"/>
        <w:jc w:val="both"/>
        <w:divId w:val="608320730"/>
      </w:pPr>
      <w:r>
        <w:rPr>
          <w:rFonts w:hint="eastAsia"/>
          <w:sz w:val="18"/>
          <w:szCs w:val="18"/>
        </w:rPr>
        <w:t>2009年3月19日，本公司召开2008年度股东大会，决议通过《关于变更公司注册名称的议案》，本公司注册名称拟由“安徽华孚色纺股份有限公司”变更为“华孚色纺股份有限公司”。</w:t>
      </w:r>
    </w:p>
    <w:p w:rsidR="005C49A8" w:rsidRDefault="005C49A8">
      <w:pPr>
        <w:pStyle w:val="a3"/>
        <w:spacing w:before="0" w:beforeAutospacing="0" w:after="0" w:afterAutospacing="0"/>
        <w:ind w:firstLine="420"/>
        <w:jc w:val="both"/>
        <w:divId w:val="608320730"/>
      </w:pPr>
      <w:r>
        <w:rPr>
          <w:rFonts w:hint="eastAsia"/>
          <w:sz w:val="18"/>
          <w:szCs w:val="18"/>
        </w:rPr>
        <w:t>本公司2017年8月23日召开第六届董事会第八次会议、2017年9月12日召开2017年第二次临时股东大会审议通过了《关于拟变更公司名称、证券简称及修订〈公司章程〉的议案》，公司名称由华孚色纺股份有限公司变更为华孚时尚股份有限公司，现持有统一社会信用代码为9134060072553187XK的营业执照。</w:t>
      </w:r>
    </w:p>
    <w:p w:rsidR="005C49A8" w:rsidRDefault="005C49A8">
      <w:pPr>
        <w:pStyle w:val="a3"/>
        <w:spacing w:before="0" w:beforeAutospacing="0" w:after="0" w:afterAutospacing="0"/>
        <w:ind w:firstLine="420"/>
        <w:jc w:val="both"/>
        <w:divId w:val="608320730"/>
      </w:pPr>
      <w:r>
        <w:rPr>
          <w:rFonts w:hint="eastAsia"/>
          <w:sz w:val="18"/>
          <w:szCs w:val="18"/>
        </w:rPr>
        <w:t>经过历年的派送红股、配售新股、转增股本及增发新股，截止2024年12月31日，本公司累计发行股本总数170,068.1355万股，注册资本为170,068.1355万元，注册地址：淮北经济开发区新区石山路6号，总部地址：广东省深圳市福田区市花路5号长富金茂大厦59楼，母公司为华孚控股有限公司，最终实际控制人为孙伟挺、陈玲芬。</w:t>
      </w:r>
    </w:p>
    <w:p w:rsidR="005C49A8" w:rsidRDefault="005C49A8">
      <w:pPr>
        <w:pStyle w:val="a3"/>
        <w:spacing w:before="0" w:beforeAutospacing="0" w:after="0" w:afterAutospacing="0"/>
        <w:ind w:firstLine="540"/>
        <w:divId w:val="608320730"/>
      </w:pPr>
      <w:r>
        <w:rPr>
          <w:rFonts w:hint="eastAsia"/>
          <w:sz w:val="18"/>
          <w:szCs w:val="18"/>
        </w:rPr>
        <w:t>财务报表的批准报出</w:t>
      </w:r>
    </w:p>
    <w:p w:rsidR="005C49A8" w:rsidRDefault="005C49A8">
      <w:pPr>
        <w:pStyle w:val="a3"/>
        <w:spacing w:before="0" w:beforeAutospacing="0" w:after="0" w:afterAutospacing="0"/>
        <w:ind w:firstLine="420"/>
        <w:jc w:val="both"/>
        <w:divId w:val="608320730"/>
      </w:pPr>
      <w:r>
        <w:rPr>
          <w:rFonts w:hint="eastAsia"/>
          <w:sz w:val="18"/>
          <w:szCs w:val="18"/>
        </w:rPr>
        <w:t>本财务报表业经公司董事会于2025年8月30日批准报出。</w:t>
      </w:r>
    </w:p>
    <w:p w:rsidR="008820E4" w:rsidRDefault="005C49A8">
      <w:pPr>
        <w:pStyle w:val="2"/>
        <w:spacing w:before="300" w:after="300" w:line="320" w:lineRule="exact"/>
        <w:rPr>
          <w:rFonts w:ascii="宋体" w:eastAsia="宋体" w:hAnsi="宋体" w:cs="宋体"/>
          <w:b/>
          <w:bCs/>
          <w:sz w:val="24"/>
          <w:szCs w:val="24"/>
        </w:rPr>
      </w:pPr>
      <w:bookmarkStart w:id="12" w:name="_Toc989003"/>
      <w:r>
        <w:rPr>
          <w:rFonts w:ascii="宋体" w:eastAsia="宋体" w:hAnsi="宋体" w:cs="宋体"/>
          <w:b/>
          <w:bCs/>
          <w:sz w:val="24"/>
          <w:szCs w:val="24"/>
        </w:rPr>
        <w:t>四、财务报表的编制基础</w:t>
      </w:r>
      <w:bookmarkEnd w:id="12"/>
    </w:p>
    <w:p w:rsidR="008820E4" w:rsidRDefault="005C49A8">
      <w:pPr>
        <w:pStyle w:val="3"/>
        <w:spacing w:line="280" w:lineRule="exact"/>
        <w:jc w:val="left"/>
        <w:rPr>
          <w:rFonts w:ascii="宋体" w:hAnsi="宋体" w:cs="宋体"/>
          <w:b/>
          <w:bCs/>
        </w:rPr>
      </w:pPr>
      <w:bookmarkStart w:id="13" w:name="_Toc989004"/>
      <w:r>
        <w:rPr>
          <w:rFonts w:ascii="宋体" w:hAnsi="宋体" w:cs="宋体"/>
          <w:b/>
          <w:bCs/>
        </w:rPr>
        <w:t>1、编制基础</w:t>
      </w:r>
      <w:bookmarkEnd w:id="13"/>
    </w:p>
    <w:p w:rsidR="005C49A8" w:rsidRDefault="005C49A8">
      <w:pPr>
        <w:pStyle w:val="a3"/>
        <w:spacing w:before="0" w:beforeAutospacing="0" w:after="0" w:afterAutospacing="0"/>
        <w:ind w:firstLine="420"/>
        <w:jc w:val="both"/>
        <w:divId w:val="78135446"/>
      </w:pPr>
      <w:r>
        <w:rPr>
          <w:rFonts w:hint="eastAsia"/>
          <w:sz w:val="18"/>
          <w:szCs w:val="18"/>
        </w:rPr>
        <w:t>本公司根据实际发生的交易和事项，按照财政部颁布的《企业会计准则——基本准则》和具体企业会计准则、企业会计准则应用指南、企业会计准则解释及其他相关规定（以下合称“企业会计准则”）进行确认和计量，在此基础上，结合中国证券监督管理委员会《公开发行证券的公司信息披露编报规则第15号——财务报告的一般规定》（2023年修订）的规定，编制财务报表。</w:t>
      </w:r>
    </w:p>
    <w:p w:rsidR="008820E4" w:rsidRDefault="005C49A8">
      <w:pPr>
        <w:pStyle w:val="3"/>
        <w:spacing w:line="280" w:lineRule="exact"/>
        <w:jc w:val="left"/>
        <w:rPr>
          <w:rFonts w:ascii="宋体" w:hAnsi="宋体" w:cs="宋体"/>
          <w:b/>
          <w:bCs/>
        </w:rPr>
      </w:pPr>
      <w:bookmarkStart w:id="14" w:name="_Toc989005"/>
      <w:r>
        <w:rPr>
          <w:rFonts w:ascii="宋体" w:hAnsi="宋体" w:cs="宋体"/>
          <w:b/>
          <w:bCs/>
        </w:rPr>
        <w:t>2、持续经营</w:t>
      </w:r>
      <w:bookmarkEnd w:id="14"/>
    </w:p>
    <w:p w:rsidR="005C49A8" w:rsidRDefault="005C49A8">
      <w:pPr>
        <w:pStyle w:val="a3"/>
        <w:spacing w:before="0" w:beforeAutospacing="0" w:after="0" w:afterAutospacing="0"/>
        <w:ind w:firstLine="420"/>
        <w:jc w:val="both"/>
        <w:divId w:val="1691183574"/>
      </w:pPr>
      <w:r>
        <w:rPr>
          <w:rFonts w:hint="eastAsia"/>
          <w:sz w:val="18"/>
          <w:szCs w:val="18"/>
        </w:rPr>
        <w:t>本公司对报告期末起6个月的持续经营能力进行了评价，未发现对持续经营能力产生重大怀疑的事项或情况。因此，本财务报表系在持续经营假设的基础上编制。</w:t>
      </w:r>
    </w:p>
    <w:p w:rsidR="008820E4" w:rsidRDefault="005C49A8">
      <w:pPr>
        <w:pStyle w:val="2"/>
        <w:spacing w:before="300" w:after="300" w:line="560" w:lineRule="exact"/>
        <w:rPr>
          <w:rFonts w:ascii="宋体" w:eastAsia="宋体" w:hAnsi="宋体" w:cs="宋体"/>
          <w:b/>
          <w:bCs/>
          <w:sz w:val="24"/>
          <w:szCs w:val="24"/>
        </w:rPr>
      </w:pPr>
      <w:bookmarkStart w:id="15" w:name="_Toc989006"/>
      <w:r>
        <w:rPr>
          <w:rFonts w:ascii="宋体" w:eastAsia="宋体" w:hAnsi="宋体" w:cs="宋体"/>
          <w:b/>
          <w:bCs/>
          <w:sz w:val="24"/>
          <w:szCs w:val="24"/>
        </w:rPr>
        <w:t>五、重要会计政策及会计估计</w:t>
      </w:r>
      <w:bookmarkEnd w:id="1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5C49A8" w:rsidRDefault="005C49A8">
      <w:pPr>
        <w:pStyle w:val="a3"/>
        <w:spacing w:before="0" w:beforeAutospacing="0" w:after="0" w:afterAutospacing="0"/>
        <w:ind w:firstLine="420"/>
        <w:jc w:val="both"/>
        <w:divId w:val="1302537440"/>
      </w:pPr>
      <w:r>
        <w:rPr>
          <w:rFonts w:hint="eastAsia"/>
          <w:sz w:val="18"/>
          <w:szCs w:val="18"/>
        </w:rPr>
        <w:t>无变更。</w:t>
      </w:r>
    </w:p>
    <w:p w:rsidR="008820E4" w:rsidRDefault="005C49A8">
      <w:pPr>
        <w:pStyle w:val="3"/>
        <w:spacing w:line="280" w:lineRule="exact"/>
        <w:jc w:val="left"/>
        <w:rPr>
          <w:rFonts w:ascii="宋体" w:hAnsi="宋体" w:cs="宋体"/>
          <w:b/>
          <w:bCs/>
        </w:rPr>
      </w:pPr>
      <w:bookmarkStart w:id="16" w:name="_Toc989007"/>
      <w:r>
        <w:rPr>
          <w:rFonts w:ascii="宋体" w:hAnsi="宋体" w:cs="宋体"/>
          <w:b/>
          <w:bCs/>
        </w:rPr>
        <w:t>1、遵循企业会计准则的声明</w:t>
      </w:r>
      <w:bookmarkEnd w:id="16"/>
    </w:p>
    <w:p w:rsidR="005C49A8" w:rsidRDefault="005C49A8">
      <w:pPr>
        <w:pStyle w:val="a3"/>
        <w:spacing w:before="0" w:beforeAutospacing="0" w:after="0" w:afterAutospacing="0"/>
        <w:ind w:firstLine="420"/>
        <w:jc w:val="both"/>
        <w:divId w:val="1222255951"/>
      </w:pPr>
      <w:r>
        <w:rPr>
          <w:rFonts w:hint="eastAsia"/>
          <w:sz w:val="18"/>
          <w:szCs w:val="18"/>
        </w:rPr>
        <w:t>本公司所编制的财务报表符合企业会计准则的要求，真实、完整地反映了报告期公司的财务状况、经营成果、现金流量等有关信息。</w:t>
      </w:r>
    </w:p>
    <w:p w:rsidR="008820E4" w:rsidRDefault="005C49A8">
      <w:pPr>
        <w:pStyle w:val="3"/>
        <w:spacing w:line="280" w:lineRule="exact"/>
        <w:jc w:val="left"/>
        <w:rPr>
          <w:rFonts w:ascii="宋体" w:hAnsi="宋体" w:cs="宋体"/>
          <w:b/>
          <w:bCs/>
        </w:rPr>
      </w:pPr>
      <w:bookmarkStart w:id="17" w:name="_Toc989008"/>
      <w:r>
        <w:rPr>
          <w:rFonts w:ascii="宋体" w:hAnsi="宋体" w:cs="宋体"/>
          <w:b/>
          <w:bCs/>
        </w:rPr>
        <w:lastRenderedPageBreak/>
        <w:t>2、会计期间</w:t>
      </w:r>
      <w:bookmarkEnd w:id="17"/>
    </w:p>
    <w:p w:rsidR="005C49A8" w:rsidRDefault="005C49A8">
      <w:pPr>
        <w:pStyle w:val="a3"/>
        <w:spacing w:before="0" w:beforeAutospacing="0" w:after="0" w:afterAutospacing="0"/>
        <w:ind w:firstLine="420"/>
        <w:jc w:val="both"/>
        <w:divId w:val="1440291658"/>
      </w:pPr>
      <w:r>
        <w:rPr>
          <w:rFonts w:hint="eastAsia"/>
          <w:sz w:val="18"/>
          <w:szCs w:val="18"/>
        </w:rPr>
        <w:t>本公司所编制的财务报表符合企业会计准则的要求，真实、完整地反映了报告期公司的财务状况、经营成果、现金流量等有关信息。</w:t>
      </w:r>
    </w:p>
    <w:p w:rsidR="008820E4" w:rsidRDefault="005C49A8">
      <w:pPr>
        <w:pStyle w:val="3"/>
        <w:spacing w:line="280" w:lineRule="exact"/>
        <w:jc w:val="left"/>
        <w:rPr>
          <w:rFonts w:ascii="宋体" w:hAnsi="宋体" w:cs="宋体"/>
          <w:b/>
          <w:bCs/>
        </w:rPr>
      </w:pPr>
      <w:bookmarkStart w:id="18" w:name="_Toc989009"/>
      <w:r>
        <w:rPr>
          <w:rFonts w:ascii="宋体" w:hAnsi="宋体" w:cs="宋体"/>
          <w:b/>
          <w:bCs/>
        </w:rPr>
        <w:t>3、营业周期</w:t>
      </w:r>
      <w:bookmarkEnd w:id="18"/>
    </w:p>
    <w:p w:rsidR="005C49A8" w:rsidRDefault="005C49A8">
      <w:pPr>
        <w:pStyle w:val="a3"/>
        <w:spacing w:before="0" w:beforeAutospacing="0" w:after="0" w:afterAutospacing="0"/>
        <w:ind w:firstLine="420"/>
        <w:jc w:val="both"/>
        <w:divId w:val="1929729795"/>
      </w:pPr>
      <w:r>
        <w:rPr>
          <w:rFonts w:hint="eastAsia"/>
          <w:sz w:val="18"/>
          <w:szCs w:val="18"/>
        </w:rPr>
        <w:t>营业周期是指企业从购买用于加工的资产起至实现现金或现金等价物的期间。本公司以12个月作为一个营业周期，并以其作为资产和负债的流动性划分标准。</w:t>
      </w:r>
    </w:p>
    <w:p w:rsidR="008820E4" w:rsidRDefault="005C49A8">
      <w:pPr>
        <w:pStyle w:val="3"/>
        <w:spacing w:line="280" w:lineRule="exact"/>
        <w:jc w:val="left"/>
        <w:rPr>
          <w:rFonts w:ascii="宋体" w:hAnsi="宋体" w:cs="宋体"/>
          <w:b/>
          <w:bCs/>
        </w:rPr>
      </w:pPr>
      <w:bookmarkStart w:id="19" w:name="_Toc989010"/>
      <w:r>
        <w:rPr>
          <w:rFonts w:ascii="宋体" w:hAnsi="宋体" w:cs="宋体"/>
          <w:b/>
          <w:bCs/>
        </w:rPr>
        <w:t>4、记账本位币</w:t>
      </w:r>
      <w:bookmarkEnd w:id="19"/>
    </w:p>
    <w:p w:rsidR="005C49A8" w:rsidRDefault="005C49A8">
      <w:pPr>
        <w:pStyle w:val="a3"/>
        <w:spacing w:before="0" w:beforeAutospacing="0" w:after="0" w:afterAutospacing="0"/>
        <w:ind w:firstLine="420"/>
        <w:jc w:val="both"/>
        <w:divId w:val="829980262"/>
      </w:pPr>
      <w:r>
        <w:rPr>
          <w:rFonts w:hint="eastAsia"/>
          <w:sz w:val="18"/>
          <w:szCs w:val="18"/>
        </w:rPr>
        <w:t>采用人民币为记账本位币。境外子公司以其经营所处的主要经济环境中的货币为记账本位币，编制财务报表时折算为人民币。</w:t>
      </w:r>
    </w:p>
    <w:p w:rsidR="008820E4" w:rsidRDefault="005C49A8">
      <w:pPr>
        <w:pStyle w:val="3"/>
        <w:spacing w:line="280" w:lineRule="exact"/>
        <w:jc w:val="left"/>
        <w:rPr>
          <w:rFonts w:ascii="宋体" w:hAnsi="宋体" w:cs="宋体"/>
          <w:b/>
          <w:bCs/>
        </w:rPr>
      </w:pPr>
      <w:bookmarkStart w:id="20" w:name="_Toc989011"/>
      <w:r>
        <w:rPr>
          <w:rFonts w:ascii="宋体" w:hAnsi="宋体" w:cs="宋体"/>
          <w:b/>
          <w:bCs/>
        </w:rPr>
        <w:t>5、重要性标准确定方法和选择依据</w:t>
      </w:r>
      <w:bookmarkEnd w:id="2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重要性标准</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本期重要的应收款项核销</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本期坏账准备收回或转回金额重要的应收账款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账龄超过一年的重要应付款项</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金额≥100万元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期末或期初余额≥1,000万元</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重要的非合资子公司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少数股东权益≥1,000万元</w:t>
            </w:r>
          </w:p>
        </w:tc>
      </w:tr>
    </w:tbl>
    <w:p w:rsidR="008820E4" w:rsidRDefault="005C49A8">
      <w:pPr>
        <w:pStyle w:val="3"/>
        <w:spacing w:line="280" w:lineRule="exact"/>
        <w:jc w:val="left"/>
        <w:rPr>
          <w:rFonts w:ascii="宋体" w:hAnsi="宋体" w:cs="宋体"/>
          <w:b/>
          <w:bCs/>
        </w:rPr>
      </w:pPr>
      <w:bookmarkStart w:id="21" w:name="_Toc989012"/>
      <w:r>
        <w:rPr>
          <w:rFonts w:ascii="宋体" w:hAnsi="宋体" w:cs="宋体"/>
          <w:b/>
          <w:bCs/>
        </w:rPr>
        <w:t>6、同一控制下和非同一控制下企业合并的会计处理方法</w:t>
      </w:r>
      <w:bookmarkEnd w:id="21"/>
    </w:p>
    <w:p w:rsidR="005C49A8" w:rsidRDefault="005C49A8" w:rsidP="00C50357">
      <w:pPr>
        <w:widowControl/>
        <w:numPr>
          <w:ilvl w:val="0"/>
          <w:numId w:val="1"/>
        </w:numPr>
        <w:spacing w:before="100" w:beforeAutospacing="1" w:after="100" w:afterAutospacing="1"/>
        <w:divId w:val="1638804738"/>
        <w:rPr>
          <w:sz w:val="18"/>
          <w:szCs w:val="18"/>
        </w:rPr>
      </w:pPr>
      <w:r>
        <w:rPr>
          <w:rFonts w:hint="eastAsia"/>
          <w:sz w:val="18"/>
          <w:szCs w:val="18"/>
        </w:rPr>
        <w:t>分步实现企业合并过程中的各项交易的条款、条件以及经济影响符合以下一种或多种情况，将多次交易事项作为一揽子交易进行会计处理</w:t>
      </w:r>
    </w:p>
    <w:p w:rsidR="005C49A8" w:rsidRDefault="005C49A8">
      <w:pPr>
        <w:pStyle w:val="a3"/>
        <w:spacing w:before="50" w:beforeAutospacing="0" w:after="0" w:afterAutospacing="0"/>
        <w:ind w:firstLine="420"/>
        <w:jc w:val="both"/>
        <w:divId w:val="1638804738"/>
      </w:pPr>
      <w:r>
        <w:rPr>
          <w:rFonts w:hint="eastAsia"/>
          <w:sz w:val="18"/>
          <w:szCs w:val="18"/>
        </w:rPr>
        <w:t>（1）这些交易是同时或者在考虑了彼此影响的情况下订立的；</w:t>
      </w:r>
    </w:p>
    <w:p w:rsidR="005C49A8" w:rsidRDefault="005C49A8">
      <w:pPr>
        <w:pStyle w:val="a3"/>
        <w:spacing w:before="50" w:beforeAutospacing="0" w:after="0" w:afterAutospacing="0"/>
        <w:ind w:firstLine="420"/>
        <w:jc w:val="both"/>
        <w:divId w:val="1638804738"/>
      </w:pPr>
      <w:r>
        <w:rPr>
          <w:rFonts w:hint="eastAsia"/>
          <w:sz w:val="18"/>
          <w:szCs w:val="18"/>
        </w:rPr>
        <w:t>（2）这些交易整体才能达成一项完整的商业结果；</w:t>
      </w:r>
    </w:p>
    <w:p w:rsidR="005C49A8" w:rsidRDefault="005C49A8">
      <w:pPr>
        <w:pStyle w:val="a3"/>
        <w:spacing w:before="50" w:beforeAutospacing="0" w:after="0" w:afterAutospacing="0"/>
        <w:ind w:firstLine="420"/>
        <w:jc w:val="both"/>
        <w:divId w:val="1638804738"/>
      </w:pPr>
      <w:r>
        <w:rPr>
          <w:rFonts w:hint="eastAsia"/>
          <w:sz w:val="18"/>
          <w:szCs w:val="18"/>
        </w:rPr>
        <w:t>（3）一项交易的发生取决于其他至少一项交易的发生；</w:t>
      </w:r>
    </w:p>
    <w:p w:rsidR="005C49A8" w:rsidRDefault="005C49A8">
      <w:pPr>
        <w:pStyle w:val="a3"/>
        <w:spacing w:before="50" w:beforeAutospacing="0" w:after="0" w:afterAutospacing="0"/>
        <w:ind w:firstLine="420"/>
        <w:jc w:val="both"/>
        <w:divId w:val="1638804738"/>
      </w:pPr>
      <w:r>
        <w:rPr>
          <w:rFonts w:hint="eastAsia"/>
          <w:sz w:val="18"/>
          <w:szCs w:val="18"/>
        </w:rPr>
        <w:t>（4）一项交易单独看是不经济的，但是和其他交易一并考虑时是经济的。</w:t>
      </w:r>
    </w:p>
    <w:p w:rsidR="005C49A8" w:rsidRDefault="005C49A8" w:rsidP="00C50357">
      <w:pPr>
        <w:widowControl/>
        <w:numPr>
          <w:ilvl w:val="0"/>
          <w:numId w:val="2"/>
        </w:numPr>
        <w:spacing w:before="100" w:beforeAutospacing="1" w:after="100" w:afterAutospacing="1"/>
        <w:divId w:val="1638804738"/>
        <w:rPr>
          <w:sz w:val="18"/>
          <w:szCs w:val="18"/>
        </w:rPr>
      </w:pPr>
      <w:r>
        <w:rPr>
          <w:rFonts w:hint="eastAsia"/>
          <w:sz w:val="18"/>
          <w:szCs w:val="18"/>
        </w:rPr>
        <w:t>．同一控制下的企业合并</w:t>
      </w:r>
    </w:p>
    <w:p w:rsidR="005C49A8" w:rsidRDefault="005C49A8">
      <w:pPr>
        <w:pStyle w:val="a3"/>
        <w:spacing w:before="50" w:beforeAutospacing="0" w:after="0" w:afterAutospacing="0"/>
        <w:ind w:firstLine="420"/>
        <w:jc w:val="both"/>
        <w:divId w:val="1638804738"/>
      </w:pPr>
      <w:r>
        <w:rPr>
          <w:rFonts w:hint="eastAsia"/>
          <w:sz w:val="18"/>
          <w:szCs w:val="18"/>
        </w:rPr>
        <w:t>本公司在企业合并中取得的资产和负债，按照合并日在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5C49A8" w:rsidRDefault="005C49A8">
      <w:pPr>
        <w:pStyle w:val="a3"/>
        <w:spacing w:before="50" w:beforeAutospacing="0" w:after="0" w:afterAutospacing="0"/>
        <w:ind w:firstLine="420"/>
        <w:jc w:val="both"/>
        <w:divId w:val="1638804738"/>
      </w:pPr>
      <w:r>
        <w:rPr>
          <w:rFonts w:hint="eastAsia"/>
          <w:sz w:val="18"/>
          <w:szCs w:val="18"/>
        </w:rPr>
        <w:t>如果存在或有对价并需要确认预计负债或资产，该预计负债或资产金额与后续或有对价结算金额的差额，调整资本公积（资本溢价或股本溢价），资本公积不足的，调整留存收益。</w:t>
      </w:r>
    </w:p>
    <w:p w:rsidR="005C49A8" w:rsidRDefault="005C49A8">
      <w:pPr>
        <w:pStyle w:val="a3"/>
        <w:spacing w:before="50" w:beforeAutospacing="0" w:after="0" w:afterAutospacing="0"/>
        <w:ind w:firstLine="420"/>
        <w:jc w:val="both"/>
        <w:divId w:val="1638804738"/>
      </w:pPr>
      <w:r>
        <w:rPr>
          <w:rFonts w:hint="eastAsia"/>
          <w:sz w:val="18"/>
          <w:szCs w:val="18"/>
        </w:rPr>
        <w:t>对于通过多次交易最终实现企业合并的，属于一揽子交易的，将各项交易作为一项取得控制权的交易进行会计处理；不属于一揽子交易的，在取得控制权日，长期股权投资初始投资成本，与达到合并前的长期股权投资账面价值加上合并日进一步取得股份新支付对价的账面价值之和的差额，调整资本公积；资本公积不足冲减的，调整留存收益。对于合并</w:t>
      </w:r>
      <w:r>
        <w:rPr>
          <w:rFonts w:hint="eastAsia"/>
          <w:sz w:val="18"/>
          <w:szCs w:val="18"/>
        </w:rPr>
        <w:lastRenderedPageBreak/>
        <w:t>日之前持有的股权投资，因采用权益法核算或金融工具确认和计量准则核算而确认的其他综合收益，暂不进行会计处理，直至处置该项投资时采用与被投资单位直接处置相关资产或负债相同的基础进行会计处理；因采用权益法核算而确认的被投资单位净资产中除净损益、其他综合收益和利润分配以外的所有者权益其他变动，暂不进行会计处理，直至处置该项投资时转入当期损益。</w:t>
      </w:r>
    </w:p>
    <w:p w:rsidR="005C49A8" w:rsidRDefault="005C49A8" w:rsidP="00C50357">
      <w:pPr>
        <w:widowControl/>
        <w:numPr>
          <w:ilvl w:val="0"/>
          <w:numId w:val="3"/>
        </w:numPr>
        <w:spacing w:before="100" w:beforeAutospacing="1" w:after="100" w:afterAutospacing="1"/>
        <w:divId w:val="1638804738"/>
        <w:rPr>
          <w:sz w:val="18"/>
          <w:szCs w:val="18"/>
        </w:rPr>
      </w:pPr>
      <w:r>
        <w:rPr>
          <w:rFonts w:hint="eastAsia"/>
          <w:sz w:val="18"/>
          <w:szCs w:val="18"/>
        </w:rPr>
        <w:t>．非同一控制下的企业合并</w:t>
      </w:r>
    </w:p>
    <w:p w:rsidR="005C49A8" w:rsidRDefault="005C49A8">
      <w:pPr>
        <w:pStyle w:val="a3"/>
        <w:spacing w:before="50" w:beforeAutospacing="0" w:after="0" w:afterAutospacing="0"/>
        <w:ind w:firstLine="420"/>
        <w:jc w:val="both"/>
        <w:divId w:val="1638804738"/>
      </w:pPr>
      <w:r>
        <w:rPr>
          <w:rFonts w:hint="eastAsia"/>
          <w:sz w:val="18"/>
          <w:szCs w:val="18"/>
        </w:rPr>
        <w:t>购买日是指本公司实际取得对被购买方控制权的日期，即被购买方的净资产或生产经营决策的控制权转移给本公司的日期。同时满足下列条件时，本公司一般认为实现了控制权的转移：</w:t>
      </w:r>
    </w:p>
    <w:p w:rsidR="005C49A8" w:rsidRDefault="005C49A8">
      <w:pPr>
        <w:pStyle w:val="a3"/>
        <w:spacing w:before="50" w:beforeAutospacing="0" w:after="0" w:afterAutospacing="0"/>
        <w:ind w:firstLine="420"/>
        <w:jc w:val="both"/>
        <w:divId w:val="1638804738"/>
      </w:pPr>
      <w:r>
        <w:rPr>
          <w:rFonts w:hint="eastAsia"/>
          <w:sz w:val="18"/>
          <w:szCs w:val="18"/>
        </w:rPr>
        <w:t>（1）企业合并合同或协议已获本公司内部权力机构通过。</w:t>
      </w:r>
    </w:p>
    <w:p w:rsidR="005C49A8" w:rsidRDefault="005C49A8">
      <w:pPr>
        <w:pStyle w:val="a3"/>
        <w:spacing w:before="50" w:beforeAutospacing="0" w:after="0" w:afterAutospacing="0"/>
        <w:ind w:firstLine="420"/>
        <w:jc w:val="both"/>
        <w:divId w:val="1638804738"/>
      </w:pPr>
      <w:r>
        <w:rPr>
          <w:rFonts w:hint="eastAsia"/>
          <w:sz w:val="18"/>
          <w:szCs w:val="18"/>
        </w:rPr>
        <w:t>（2）企业合并事项需要经过国家有关主管部门审批的，已获得批准。</w:t>
      </w:r>
    </w:p>
    <w:p w:rsidR="005C49A8" w:rsidRDefault="005C49A8">
      <w:pPr>
        <w:pStyle w:val="a3"/>
        <w:spacing w:before="50" w:beforeAutospacing="0" w:after="0" w:afterAutospacing="0"/>
        <w:ind w:firstLine="420"/>
        <w:jc w:val="both"/>
        <w:divId w:val="1638804738"/>
      </w:pPr>
      <w:r>
        <w:rPr>
          <w:rFonts w:hint="eastAsia"/>
          <w:sz w:val="18"/>
          <w:szCs w:val="18"/>
        </w:rPr>
        <w:t>（3）已办理了必要的财产权转移手续。</w:t>
      </w:r>
    </w:p>
    <w:p w:rsidR="005C49A8" w:rsidRDefault="005C49A8">
      <w:pPr>
        <w:pStyle w:val="a3"/>
        <w:spacing w:before="50" w:beforeAutospacing="0" w:after="0" w:afterAutospacing="0"/>
        <w:ind w:firstLine="420"/>
        <w:jc w:val="both"/>
        <w:divId w:val="1638804738"/>
      </w:pPr>
      <w:r>
        <w:rPr>
          <w:rFonts w:hint="eastAsia"/>
          <w:sz w:val="18"/>
          <w:szCs w:val="18"/>
        </w:rPr>
        <w:t>（4）本公司已支付了合并价款的大部分，并且有能力、有计划支付剩余款项。</w:t>
      </w:r>
    </w:p>
    <w:p w:rsidR="005C49A8" w:rsidRDefault="005C49A8">
      <w:pPr>
        <w:pStyle w:val="a3"/>
        <w:spacing w:before="50" w:beforeAutospacing="0" w:after="0" w:afterAutospacing="0"/>
        <w:ind w:firstLine="420"/>
        <w:jc w:val="both"/>
        <w:divId w:val="1638804738"/>
      </w:pPr>
      <w:r>
        <w:rPr>
          <w:rFonts w:hint="eastAsia"/>
          <w:sz w:val="18"/>
          <w:szCs w:val="18"/>
        </w:rPr>
        <w:t>（5）本公司实际上已经控制了被购买方的财务和经营政策，并享有相应的利益、承担相应的风险。</w:t>
      </w:r>
    </w:p>
    <w:p w:rsidR="005C49A8" w:rsidRDefault="005C49A8">
      <w:pPr>
        <w:pStyle w:val="a3"/>
        <w:spacing w:before="50" w:beforeAutospacing="0" w:after="0" w:afterAutospacing="0"/>
        <w:ind w:firstLine="420"/>
        <w:jc w:val="both"/>
        <w:divId w:val="1638804738"/>
      </w:pPr>
      <w:r>
        <w:rPr>
          <w:rFonts w:hint="eastAsia"/>
          <w:sz w:val="18"/>
          <w:szCs w:val="18"/>
        </w:rPr>
        <w:t>本公司在购买日对作为企业合并对价付出的资产、发生或承担的负债按照公允价值计量，公允价值与其账面价值的差额，计入当期损益。</w:t>
      </w:r>
    </w:p>
    <w:p w:rsidR="005C49A8" w:rsidRDefault="005C49A8">
      <w:pPr>
        <w:pStyle w:val="a3"/>
        <w:spacing w:before="50" w:beforeAutospacing="0" w:after="0" w:afterAutospacing="0"/>
        <w:ind w:firstLine="420"/>
        <w:jc w:val="both"/>
        <w:divId w:val="1638804738"/>
      </w:pPr>
      <w:r>
        <w:rPr>
          <w:rFonts w:hint="eastAsia"/>
          <w:sz w:val="18"/>
          <w:szCs w:val="18"/>
        </w:rPr>
        <w:t>本公司对合并成本大于合并中取得的被购买方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计入当期损益。</w:t>
      </w:r>
    </w:p>
    <w:p w:rsidR="005C49A8" w:rsidRDefault="005C49A8">
      <w:pPr>
        <w:pStyle w:val="a3"/>
        <w:spacing w:before="50" w:beforeAutospacing="0" w:after="0" w:afterAutospacing="0"/>
        <w:ind w:firstLine="420"/>
        <w:jc w:val="both"/>
        <w:divId w:val="1638804738"/>
      </w:pPr>
      <w:r>
        <w:rPr>
          <w:rFonts w:hint="eastAsia"/>
          <w:sz w:val="18"/>
          <w:szCs w:val="18"/>
        </w:rPr>
        <w:t>通过多次交换交易分步实现的非同一控制下企业合并，属于一揽子交易的，将各项交易作为一项取得控制权的交易进行会计处理；不属于一揽子交易的，合并日之前持有的股权投资采用权益法核算的，以购买日之前所持被购买方的股权投资的账面价值与购买日新增投资成本之和，作为该项投资的初始投资成本；购买日之前持有的股权投资因采用权益法核算而确认的其他综合收益，在处置该项投资时采用与被投资单位直接处置相关资产或负债相同的基础进行会计处理。合并日之前持有的股权投资采用金融工具确认和计量准则核算的，以该股权投资在合并日的公允价值加上新增投资成本之和，作为合并日的初始投资成本。原持有股权的公允价值与账面价值之间的差额以及原计入其他综合收益的累计公允价值变动应全部转入合并日当期的投资收益。</w:t>
      </w:r>
    </w:p>
    <w:p w:rsidR="005C49A8" w:rsidRDefault="005C49A8" w:rsidP="00C50357">
      <w:pPr>
        <w:widowControl/>
        <w:numPr>
          <w:ilvl w:val="0"/>
          <w:numId w:val="4"/>
        </w:numPr>
        <w:spacing w:before="100" w:beforeAutospacing="1" w:after="100" w:afterAutospacing="1"/>
        <w:divId w:val="1638804738"/>
        <w:rPr>
          <w:sz w:val="18"/>
          <w:szCs w:val="18"/>
        </w:rPr>
      </w:pPr>
      <w:r>
        <w:rPr>
          <w:rFonts w:hint="eastAsia"/>
          <w:sz w:val="18"/>
          <w:szCs w:val="18"/>
        </w:rPr>
        <w:t>．为合并发生的相关费用</w:t>
      </w:r>
    </w:p>
    <w:p w:rsidR="005C49A8" w:rsidRDefault="005C49A8">
      <w:pPr>
        <w:pStyle w:val="a3"/>
        <w:spacing w:before="50" w:beforeAutospacing="0" w:after="0" w:afterAutospacing="0"/>
        <w:ind w:firstLine="420"/>
        <w:jc w:val="both"/>
        <w:divId w:val="1638804738"/>
      </w:pPr>
      <w:r>
        <w:rPr>
          <w:rFonts w:hint="eastAsia"/>
          <w:sz w:val="18"/>
          <w:szCs w:val="18"/>
        </w:rPr>
        <w:t>为企业合并发生的审计、法律服务、评估咨询等中介费用以及其他直接相关费用，于发生时计入当期损益；为企业合并而发行权益性证券的交易费用，可直接归属于权益性交易的从权益中扣减。</w:t>
      </w:r>
    </w:p>
    <w:p w:rsidR="008820E4" w:rsidRDefault="005C49A8">
      <w:pPr>
        <w:pStyle w:val="3"/>
        <w:spacing w:line="280" w:lineRule="exact"/>
        <w:jc w:val="left"/>
        <w:rPr>
          <w:rFonts w:ascii="宋体" w:hAnsi="宋体" w:cs="宋体"/>
          <w:b/>
          <w:bCs/>
        </w:rPr>
      </w:pPr>
      <w:bookmarkStart w:id="22" w:name="_Toc989013"/>
      <w:r>
        <w:rPr>
          <w:rFonts w:ascii="宋体" w:hAnsi="宋体" w:cs="宋体"/>
          <w:b/>
          <w:bCs/>
        </w:rPr>
        <w:t>7、控制的判断标准和合并财务报表的编制方法</w:t>
      </w:r>
      <w:bookmarkEnd w:id="22"/>
    </w:p>
    <w:p w:rsidR="005C49A8" w:rsidRDefault="005C49A8" w:rsidP="00C50357">
      <w:pPr>
        <w:widowControl/>
        <w:numPr>
          <w:ilvl w:val="0"/>
          <w:numId w:val="5"/>
        </w:numPr>
        <w:spacing w:before="100" w:beforeAutospacing="1" w:after="100" w:afterAutospacing="1"/>
        <w:divId w:val="631447948"/>
        <w:rPr>
          <w:sz w:val="18"/>
          <w:szCs w:val="18"/>
        </w:rPr>
      </w:pPr>
      <w:r>
        <w:rPr>
          <w:rStyle w:val="a4"/>
          <w:rFonts w:hint="eastAsia"/>
          <w:sz w:val="18"/>
          <w:szCs w:val="18"/>
        </w:rPr>
        <w:t>控制的判断标准</w:t>
      </w:r>
    </w:p>
    <w:p w:rsidR="005C49A8" w:rsidRDefault="005C49A8">
      <w:pPr>
        <w:pStyle w:val="a3"/>
        <w:spacing w:before="0" w:beforeAutospacing="0" w:after="0" w:afterAutospacing="0"/>
        <w:ind w:firstLine="420"/>
        <w:jc w:val="both"/>
        <w:divId w:val="631447948"/>
      </w:pPr>
      <w:r>
        <w:rPr>
          <w:rFonts w:hint="eastAsia"/>
          <w:sz w:val="18"/>
          <w:szCs w:val="18"/>
        </w:rPr>
        <w:t>控制，是指投资方拥有对被投资方的权力</w:t>
      </w:r>
      <w:r>
        <w:rPr>
          <w:rFonts w:ascii="Arial Narrow" w:hAnsi="Arial Narrow"/>
          <w:sz w:val="18"/>
          <w:szCs w:val="18"/>
        </w:rPr>
        <w:t>,</w:t>
      </w:r>
      <w:r>
        <w:rPr>
          <w:rFonts w:hint="eastAsia"/>
          <w:sz w:val="18"/>
          <w:szCs w:val="18"/>
        </w:rPr>
        <w:t>通过参与被投资方的相关活动而享有可变回报，并且有能力运用对被投资方的权力影响其回报金额。</w:t>
      </w:r>
    </w:p>
    <w:p w:rsidR="005C49A8" w:rsidRDefault="005C49A8">
      <w:pPr>
        <w:pStyle w:val="a3"/>
        <w:spacing w:before="0" w:beforeAutospacing="0" w:after="0" w:afterAutospacing="0"/>
        <w:ind w:firstLine="420"/>
        <w:jc w:val="both"/>
        <w:divId w:val="631447948"/>
      </w:pPr>
      <w:r>
        <w:rPr>
          <w:rFonts w:hint="eastAsia"/>
          <w:sz w:val="18"/>
          <w:szCs w:val="18"/>
        </w:rPr>
        <w:t>本公司在综合考虑所有相关事实和情况的基础上对是否控制被投资方进行判断。一旦相关事实和情况的变化导致对控制定义所涉及的相关要素发生变化的，本公司会进行重新评估。相关事实和情况主要包括：</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1</w:t>
      </w:r>
      <w:r>
        <w:rPr>
          <w:rFonts w:hint="eastAsia"/>
          <w:sz w:val="18"/>
          <w:szCs w:val="18"/>
        </w:rPr>
        <w:t>）被投资方的设立目的。</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2</w:t>
      </w:r>
      <w:r>
        <w:rPr>
          <w:rFonts w:hint="eastAsia"/>
          <w:sz w:val="18"/>
          <w:szCs w:val="18"/>
        </w:rPr>
        <w:t>）被投资方的相关活动以及如何对相关活动作出决策。</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3</w:t>
      </w:r>
      <w:r>
        <w:rPr>
          <w:rFonts w:hint="eastAsia"/>
          <w:sz w:val="18"/>
          <w:szCs w:val="18"/>
        </w:rPr>
        <w:t>）投资方享有的权利是否使其目前有能力主导被投资方的相关活动。</w:t>
      </w:r>
    </w:p>
    <w:p w:rsidR="005C49A8" w:rsidRDefault="005C49A8">
      <w:pPr>
        <w:pStyle w:val="a3"/>
        <w:spacing w:before="0" w:beforeAutospacing="0" w:after="0" w:afterAutospacing="0"/>
        <w:ind w:firstLine="420"/>
        <w:jc w:val="both"/>
        <w:divId w:val="631447948"/>
      </w:pPr>
      <w:r>
        <w:rPr>
          <w:rFonts w:hint="eastAsia"/>
          <w:sz w:val="18"/>
          <w:szCs w:val="18"/>
        </w:rPr>
        <w:lastRenderedPageBreak/>
        <w:t>（</w:t>
      </w:r>
      <w:r>
        <w:rPr>
          <w:rFonts w:ascii="Arial Narrow" w:hAnsi="Arial Narrow"/>
          <w:sz w:val="18"/>
          <w:szCs w:val="18"/>
        </w:rPr>
        <w:t>4</w:t>
      </w:r>
      <w:r>
        <w:rPr>
          <w:rFonts w:hint="eastAsia"/>
          <w:sz w:val="18"/>
          <w:szCs w:val="18"/>
        </w:rPr>
        <w:t>）投资方是否通过参与被投资方的相关活动而享有可变回报。</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5</w:t>
      </w:r>
      <w:r>
        <w:rPr>
          <w:rFonts w:hint="eastAsia"/>
          <w:sz w:val="18"/>
          <w:szCs w:val="18"/>
        </w:rPr>
        <w:t>）投资方是否有能力运用对被投资方的权力影响其回报金额。</w:t>
      </w:r>
    </w:p>
    <w:p w:rsidR="005C49A8" w:rsidRDefault="005C49A8">
      <w:pPr>
        <w:pStyle w:val="a3"/>
        <w:spacing w:before="0" w:beforeAutospacing="0" w:after="0" w:afterAutospacing="0"/>
        <w:ind w:firstLine="420"/>
        <w:jc w:val="both"/>
        <w:divId w:val="631447948"/>
      </w:pPr>
      <w:r>
        <w:rPr>
          <w:rFonts w:hint="eastAsia"/>
          <w:sz w:val="18"/>
          <w:szCs w:val="18"/>
        </w:rPr>
        <w:t>（</w:t>
      </w:r>
      <w:r>
        <w:rPr>
          <w:rFonts w:ascii="Arial Narrow" w:hAnsi="Arial Narrow"/>
          <w:sz w:val="18"/>
          <w:szCs w:val="18"/>
        </w:rPr>
        <w:t>6</w:t>
      </w:r>
      <w:r>
        <w:rPr>
          <w:rFonts w:hint="eastAsia"/>
          <w:sz w:val="18"/>
          <w:szCs w:val="18"/>
        </w:rPr>
        <w:t>）投资方与其他方的关系。</w:t>
      </w:r>
    </w:p>
    <w:p w:rsidR="005C49A8" w:rsidRDefault="005C49A8" w:rsidP="00C50357">
      <w:pPr>
        <w:widowControl/>
        <w:numPr>
          <w:ilvl w:val="0"/>
          <w:numId w:val="6"/>
        </w:numPr>
        <w:spacing w:before="100" w:beforeAutospacing="1" w:after="100" w:afterAutospacing="1"/>
        <w:divId w:val="631447948"/>
        <w:rPr>
          <w:sz w:val="18"/>
          <w:szCs w:val="18"/>
        </w:rPr>
      </w:pPr>
      <w:r>
        <w:rPr>
          <w:rFonts w:hint="eastAsia"/>
          <w:sz w:val="18"/>
          <w:szCs w:val="18"/>
        </w:rPr>
        <w:t>．</w:t>
      </w:r>
      <w:r>
        <w:rPr>
          <w:rStyle w:val="a4"/>
          <w:rFonts w:hint="eastAsia"/>
          <w:sz w:val="18"/>
          <w:szCs w:val="18"/>
        </w:rPr>
        <w:t>合并范围</w:t>
      </w:r>
    </w:p>
    <w:p w:rsidR="005C49A8" w:rsidRDefault="005C49A8">
      <w:pPr>
        <w:pStyle w:val="a3"/>
        <w:spacing w:before="0" w:beforeAutospacing="0" w:after="0" w:afterAutospacing="0"/>
        <w:ind w:firstLine="420"/>
        <w:jc w:val="both"/>
        <w:divId w:val="631447948"/>
      </w:pPr>
      <w:r>
        <w:rPr>
          <w:rFonts w:hint="eastAsia"/>
          <w:sz w:val="18"/>
          <w:szCs w:val="18"/>
        </w:rPr>
        <w:t>本公司合并财务报表的合并范围以控制为基础确定，所有子公司（包括本公司所控制的单独主体）均纳入合并财务报表。</w:t>
      </w:r>
    </w:p>
    <w:p w:rsidR="005C49A8" w:rsidRDefault="005C49A8" w:rsidP="00C50357">
      <w:pPr>
        <w:widowControl/>
        <w:numPr>
          <w:ilvl w:val="0"/>
          <w:numId w:val="7"/>
        </w:numPr>
        <w:spacing w:before="100" w:beforeAutospacing="1" w:after="100" w:afterAutospacing="1"/>
        <w:divId w:val="631447948"/>
        <w:rPr>
          <w:sz w:val="18"/>
          <w:szCs w:val="18"/>
        </w:rPr>
      </w:pPr>
      <w:r>
        <w:rPr>
          <w:rFonts w:hint="eastAsia"/>
          <w:sz w:val="18"/>
          <w:szCs w:val="18"/>
        </w:rPr>
        <w:t>．</w:t>
      </w:r>
      <w:r>
        <w:rPr>
          <w:rStyle w:val="a4"/>
          <w:rFonts w:hint="eastAsia"/>
          <w:sz w:val="18"/>
          <w:szCs w:val="18"/>
        </w:rPr>
        <w:t>合并程序</w:t>
      </w:r>
    </w:p>
    <w:p w:rsidR="005C49A8" w:rsidRDefault="005C49A8">
      <w:pPr>
        <w:pStyle w:val="a3"/>
        <w:spacing w:before="50" w:beforeAutospacing="0" w:after="0" w:afterAutospacing="0"/>
        <w:ind w:firstLine="420"/>
        <w:jc w:val="both"/>
        <w:divId w:val="631447948"/>
      </w:pPr>
      <w:r>
        <w:rPr>
          <w:rFonts w:hint="eastAsia"/>
          <w:sz w:val="18"/>
          <w:szCs w:val="18"/>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5C49A8" w:rsidRDefault="005C49A8">
      <w:pPr>
        <w:pStyle w:val="a3"/>
        <w:spacing w:before="50" w:beforeAutospacing="0" w:after="0" w:afterAutospacing="0"/>
        <w:ind w:firstLine="420"/>
        <w:jc w:val="both"/>
        <w:divId w:val="631447948"/>
      </w:pPr>
      <w:r>
        <w:rPr>
          <w:rFonts w:hint="eastAsia"/>
          <w:sz w:val="18"/>
          <w:szCs w:val="18"/>
        </w:rPr>
        <w:t>所有纳入合并财务报表合并范围的子公司所采用的会计政策、会计期间与本公司一致，如子公司采用的会计政策、会计期间与本公司不一致的，在编制合并财务报表时，按本公司的会计政策、会计期间进行必要的调整。</w:t>
      </w:r>
    </w:p>
    <w:p w:rsidR="005C49A8" w:rsidRDefault="005C49A8">
      <w:pPr>
        <w:pStyle w:val="a3"/>
        <w:spacing w:before="50" w:beforeAutospacing="0" w:after="0" w:afterAutospacing="0"/>
        <w:ind w:firstLine="420"/>
        <w:jc w:val="both"/>
        <w:divId w:val="631447948"/>
      </w:pPr>
      <w:r>
        <w:rPr>
          <w:rFonts w:hint="eastAsia"/>
          <w:sz w:val="18"/>
          <w:szCs w:val="18"/>
        </w:rPr>
        <w:t>合并财务报表时抵销本公司与各子公司、各子公司相互之间发生的内部交易对合并资产负债表、合并利润表、合并现金流量表、合并股东权益变动表的影响。如果站在企业集团合并财务报表角度与以本公司或子公司为会计主体对同一交易的认定不同时，从企业集团的角度对该交易予以调整。</w:t>
      </w:r>
    </w:p>
    <w:p w:rsidR="005C49A8" w:rsidRDefault="005C49A8">
      <w:pPr>
        <w:pStyle w:val="a3"/>
        <w:spacing w:before="50" w:beforeAutospacing="0" w:after="0" w:afterAutospacing="0"/>
        <w:ind w:firstLine="420"/>
        <w:jc w:val="both"/>
        <w:divId w:val="631447948"/>
      </w:pPr>
      <w:r>
        <w:rPr>
          <w:rFonts w:hint="eastAsia"/>
          <w:sz w:val="18"/>
          <w:szCs w:val="18"/>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5C49A8" w:rsidRDefault="005C49A8">
      <w:pPr>
        <w:pStyle w:val="a3"/>
        <w:spacing w:before="50" w:beforeAutospacing="0" w:after="0" w:afterAutospacing="0"/>
        <w:ind w:firstLine="420"/>
        <w:jc w:val="both"/>
        <w:divId w:val="631447948"/>
      </w:pPr>
      <w:r>
        <w:rPr>
          <w:rFonts w:hint="eastAsia"/>
          <w:sz w:val="18"/>
          <w:szCs w:val="18"/>
        </w:rPr>
        <w:t>对于同一控制下企业合并取得的子公司，以其资产、负债（包括最终控制方收购该子公司而形成的商誉）在最终控制方财务报表中的账面价值为基础对其财务报表进行调整。</w:t>
      </w:r>
    </w:p>
    <w:p w:rsidR="005C49A8" w:rsidRDefault="005C49A8">
      <w:pPr>
        <w:pStyle w:val="a3"/>
        <w:spacing w:before="50" w:beforeAutospacing="0" w:after="0" w:afterAutospacing="0"/>
        <w:ind w:firstLine="420"/>
        <w:jc w:val="both"/>
        <w:divId w:val="631447948"/>
      </w:pPr>
      <w:r>
        <w:rPr>
          <w:rFonts w:hint="eastAsia"/>
          <w:sz w:val="18"/>
          <w:szCs w:val="18"/>
        </w:rPr>
        <w:t>对于非同一控制下企业合并取得的子公司，以购买日可辨认净资产公允价值为基础对其财务报表进行调整</w:t>
      </w:r>
    </w:p>
    <w:p w:rsidR="005C49A8" w:rsidRDefault="005C49A8" w:rsidP="00C50357">
      <w:pPr>
        <w:widowControl/>
        <w:numPr>
          <w:ilvl w:val="0"/>
          <w:numId w:val="8"/>
        </w:numPr>
        <w:divId w:val="631447948"/>
        <w:rPr>
          <w:rFonts w:ascii="Calibri" w:hAnsi="Calibri" w:cs="Calibri"/>
          <w:szCs w:val="21"/>
        </w:rPr>
      </w:pPr>
      <w:r>
        <w:rPr>
          <w:rFonts w:cs="Calibri" w:hint="eastAsia"/>
          <w:sz w:val="18"/>
          <w:szCs w:val="18"/>
        </w:rPr>
        <w:t>增加子公司或业务</w:t>
      </w:r>
    </w:p>
    <w:p w:rsidR="005C49A8" w:rsidRDefault="005C49A8">
      <w:pPr>
        <w:pStyle w:val="a3"/>
        <w:spacing w:before="50" w:beforeAutospacing="0" w:after="0" w:afterAutospacing="0"/>
        <w:ind w:firstLine="420"/>
        <w:jc w:val="both"/>
        <w:divId w:val="631447948"/>
      </w:pPr>
      <w:r>
        <w:rPr>
          <w:rFonts w:hint="eastAsia"/>
          <w:sz w:val="18"/>
          <w:szCs w:val="18"/>
        </w:rPr>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rsidR="005C49A8" w:rsidRDefault="005C49A8">
      <w:pPr>
        <w:pStyle w:val="a3"/>
        <w:spacing w:before="50" w:beforeAutospacing="0" w:after="0" w:afterAutospacing="0"/>
        <w:ind w:firstLine="420"/>
        <w:jc w:val="both"/>
        <w:divId w:val="631447948"/>
      </w:pPr>
      <w:r>
        <w:rPr>
          <w:rFonts w:hint="eastAsia"/>
          <w:sz w:val="18"/>
          <w:szCs w:val="18"/>
        </w:rPr>
        <w:t>因追加投资等原因能够对同一控制下的被投资方实施控制的，视同参与合并的各方在最终控制方开始控制时即以目前的状态存在进行调整。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5C49A8" w:rsidRDefault="005C49A8">
      <w:pPr>
        <w:pStyle w:val="a3"/>
        <w:spacing w:before="50" w:beforeAutospacing="0" w:after="0" w:afterAutospacing="0"/>
        <w:ind w:firstLine="420"/>
        <w:jc w:val="both"/>
        <w:divId w:val="631447948"/>
      </w:pPr>
      <w:r>
        <w:rPr>
          <w:rFonts w:hint="eastAsia"/>
          <w:sz w:val="18"/>
          <w:szCs w:val="18"/>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5C49A8" w:rsidRDefault="005C49A8">
      <w:pPr>
        <w:pStyle w:val="a3"/>
        <w:spacing w:before="50" w:beforeAutospacing="0" w:after="0" w:afterAutospacing="0"/>
        <w:ind w:firstLine="420"/>
        <w:jc w:val="both"/>
        <w:divId w:val="631447948"/>
      </w:pPr>
      <w:r>
        <w:rPr>
          <w:rFonts w:hint="eastAsia"/>
          <w:sz w:val="18"/>
          <w:szCs w:val="18"/>
        </w:rPr>
        <w:t>因追加投资等原因能够对非同一控制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rsidR="005C49A8" w:rsidRDefault="005C49A8" w:rsidP="00C50357">
      <w:pPr>
        <w:widowControl/>
        <w:numPr>
          <w:ilvl w:val="0"/>
          <w:numId w:val="9"/>
        </w:numPr>
        <w:divId w:val="631447948"/>
        <w:rPr>
          <w:rFonts w:ascii="Calibri" w:hAnsi="Calibri" w:cs="Calibri"/>
          <w:szCs w:val="21"/>
        </w:rPr>
      </w:pPr>
      <w:r>
        <w:rPr>
          <w:rFonts w:cs="Calibri" w:hint="eastAsia"/>
          <w:sz w:val="18"/>
          <w:szCs w:val="18"/>
        </w:rPr>
        <w:t>处置子公司或业务</w:t>
      </w:r>
    </w:p>
    <w:p w:rsidR="005C49A8" w:rsidRDefault="005C49A8">
      <w:pPr>
        <w:pStyle w:val="a3"/>
        <w:spacing w:before="0" w:beforeAutospacing="0" w:after="0" w:afterAutospacing="0"/>
        <w:ind w:firstLine="420"/>
        <w:jc w:val="both"/>
        <w:divId w:val="631447948"/>
      </w:pPr>
      <w:r>
        <w:rPr>
          <w:rFonts w:hint="eastAsia"/>
          <w:sz w:val="18"/>
          <w:szCs w:val="18"/>
        </w:rPr>
        <w:t>1）一般处理方法</w:t>
      </w:r>
    </w:p>
    <w:p w:rsidR="005C49A8" w:rsidRDefault="005C49A8">
      <w:pPr>
        <w:pStyle w:val="a3"/>
        <w:spacing w:before="0" w:beforeAutospacing="0" w:after="0" w:afterAutospacing="0"/>
        <w:ind w:firstLine="420"/>
        <w:jc w:val="both"/>
        <w:divId w:val="631447948"/>
      </w:pPr>
      <w:r>
        <w:rPr>
          <w:rFonts w:hint="eastAsia"/>
          <w:sz w:val="18"/>
          <w:szCs w:val="18"/>
        </w:rPr>
        <w:lastRenderedPageBreak/>
        <w:t>在报告期内，本公司处置子公司或业务，则该子公司或业务期初至处置日的收入、费用、利润纳入合并利润表；该子公司或业务期初至处置日的现金流量纳入合并现金流量表。</w:t>
      </w:r>
    </w:p>
    <w:p w:rsidR="005C49A8" w:rsidRDefault="005C49A8">
      <w:pPr>
        <w:pStyle w:val="a3"/>
        <w:spacing w:before="0" w:beforeAutospacing="0" w:after="0" w:afterAutospacing="0"/>
        <w:ind w:firstLine="420"/>
        <w:jc w:val="both"/>
        <w:divId w:val="631447948"/>
      </w:pPr>
      <w:r>
        <w:rPr>
          <w:rFonts w:hint="eastAsia"/>
          <w:sz w:val="18"/>
          <w:szCs w:val="18"/>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rsidR="005C49A8" w:rsidRDefault="005C49A8">
      <w:pPr>
        <w:pStyle w:val="a3"/>
        <w:spacing w:before="0" w:beforeAutospacing="0" w:after="0" w:afterAutospacing="0"/>
        <w:ind w:firstLine="420"/>
        <w:jc w:val="both"/>
        <w:divId w:val="631447948"/>
      </w:pPr>
      <w:r>
        <w:rPr>
          <w:rFonts w:hint="eastAsia"/>
          <w:sz w:val="18"/>
          <w:szCs w:val="18"/>
        </w:rPr>
        <w:t>2）分步处置子公司</w:t>
      </w:r>
    </w:p>
    <w:p w:rsidR="005C49A8" w:rsidRDefault="005C49A8">
      <w:pPr>
        <w:pStyle w:val="a3"/>
        <w:spacing w:before="0" w:beforeAutospacing="0" w:after="0" w:afterAutospacing="0"/>
        <w:ind w:firstLine="420"/>
        <w:jc w:val="both"/>
        <w:divId w:val="631447948"/>
      </w:pPr>
      <w:r>
        <w:rPr>
          <w:rFonts w:hint="eastAsia"/>
          <w:sz w:val="18"/>
          <w:szCs w:val="18"/>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rsidR="005C49A8" w:rsidRDefault="005C49A8">
      <w:pPr>
        <w:pStyle w:val="a3"/>
        <w:spacing w:before="0" w:beforeAutospacing="0" w:after="0" w:afterAutospacing="0"/>
        <w:ind w:firstLine="420"/>
        <w:jc w:val="both"/>
        <w:divId w:val="631447948"/>
      </w:pPr>
      <w:r>
        <w:rPr>
          <w:rFonts w:hint="eastAsia"/>
          <w:sz w:val="18"/>
          <w:szCs w:val="18"/>
        </w:rPr>
        <w:t>A.这些交易是同时或者在考虑了彼此影响的情况下订立的；</w:t>
      </w:r>
    </w:p>
    <w:p w:rsidR="005C49A8" w:rsidRDefault="005C49A8">
      <w:pPr>
        <w:pStyle w:val="a3"/>
        <w:spacing w:before="0" w:beforeAutospacing="0" w:after="0" w:afterAutospacing="0"/>
        <w:ind w:firstLine="420"/>
        <w:jc w:val="both"/>
        <w:divId w:val="631447948"/>
      </w:pPr>
      <w:r>
        <w:rPr>
          <w:rFonts w:hint="eastAsia"/>
          <w:sz w:val="18"/>
          <w:szCs w:val="18"/>
        </w:rPr>
        <w:t>B.这些交易整体才能达成一项完整的商业结果；</w:t>
      </w:r>
    </w:p>
    <w:p w:rsidR="005C49A8" w:rsidRDefault="005C49A8">
      <w:pPr>
        <w:pStyle w:val="a3"/>
        <w:spacing w:before="0" w:beforeAutospacing="0" w:after="0" w:afterAutospacing="0"/>
        <w:ind w:firstLine="420"/>
        <w:jc w:val="both"/>
        <w:divId w:val="631447948"/>
      </w:pPr>
      <w:r>
        <w:rPr>
          <w:rFonts w:hint="eastAsia"/>
          <w:sz w:val="18"/>
          <w:szCs w:val="18"/>
        </w:rPr>
        <w:t>C.一项交易的发生取决于其他至少一项交易的发生；</w:t>
      </w:r>
    </w:p>
    <w:p w:rsidR="005C49A8" w:rsidRDefault="005C49A8">
      <w:pPr>
        <w:pStyle w:val="a3"/>
        <w:spacing w:before="0" w:beforeAutospacing="0" w:after="0" w:afterAutospacing="0"/>
        <w:ind w:firstLine="420"/>
        <w:jc w:val="both"/>
        <w:divId w:val="631447948"/>
      </w:pPr>
      <w:r>
        <w:rPr>
          <w:rFonts w:hint="eastAsia"/>
          <w:sz w:val="18"/>
          <w:szCs w:val="18"/>
        </w:rPr>
        <w:t>D.一项交易单独看是不经济的，但是和其他交易一并考虑时是经济的。</w:t>
      </w:r>
    </w:p>
    <w:p w:rsidR="005C49A8" w:rsidRDefault="005C49A8">
      <w:pPr>
        <w:pStyle w:val="a3"/>
        <w:spacing w:before="0" w:beforeAutospacing="0" w:after="0" w:afterAutospacing="0"/>
        <w:ind w:firstLine="420"/>
        <w:jc w:val="both"/>
        <w:divId w:val="631447948"/>
      </w:pPr>
      <w:r>
        <w:rPr>
          <w:rFonts w:hint="eastAsia"/>
          <w:sz w:val="18"/>
          <w:szCs w:val="18"/>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5C49A8" w:rsidRDefault="005C49A8">
      <w:pPr>
        <w:pStyle w:val="a3"/>
        <w:spacing w:before="0" w:beforeAutospacing="0" w:after="0" w:afterAutospacing="0"/>
        <w:ind w:firstLine="420"/>
        <w:jc w:val="both"/>
        <w:divId w:val="631447948"/>
      </w:pPr>
      <w:r>
        <w:rPr>
          <w:rFonts w:hint="eastAsia"/>
          <w:sz w:val="18"/>
          <w:szCs w:val="18"/>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rsidR="005C49A8" w:rsidRDefault="005C49A8" w:rsidP="00C50357">
      <w:pPr>
        <w:widowControl/>
        <w:numPr>
          <w:ilvl w:val="0"/>
          <w:numId w:val="10"/>
        </w:numPr>
        <w:divId w:val="631447948"/>
        <w:rPr>
          <w:rFonts w:ascii="Calibri" w:hAnsi="Calibri" w:cs="Calibri"/>
          <w:szCs w:val="21"/>
        </w:rPr>
      </w:pPr>
      <w:r>
        <w:rPr>
          <w:rFonts w:cs="Calibri" w:hint="eastAsia"/>
          <w:sz w:val="18"/>
          <w:szCs w:val="18"/>
        </w:rPr>
        <w:t>购买子公司少数股权</w:t>
      </w:r>
    </w:p>
    <w:p w:rsidR="005C49A8" w:rsidRDefault="005C49A8">
      <w:pPr>
        <w:pStyle w:val="a3"/>
        <w:spacing w:before="0" w:beforeAutospacing="0" w:after="0" w:afterAutospacing="0"/>
        <w:ind w:firstLine="420"/>
        <w:jc w:val="both"/>
        <w:divId w:val="631447948"/>
      </w:pPr>
      <w:r>
        <w:rPr>
          <w:rFonts w:hint="eastAsia"/>
          <w:sz w:val="18"/>
          <w:szCs w:val="18"/>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5C49A8" w:rsidRDefault="005C49A8" w:rsidP="00C50357">
      <w:pPr>
        <w:widowControl/>
        <w:numPr>
          <w:ilvl w:val="0"/>
          <w:numId w:val="11"/>
        </w:numPr>
        <w:divId w:val="631447948"/>
        <w:rPr>
          <w:rFonts w:ascii="Calibri" w:hAnsi="Calibri" w:cs="Calibri"/>
          <w:szCs w:val="21"/>
        </w:rPr>
      </w:pPr>
      <w:r>
        <w:rPr>
          <w:rFonts w:cs="Calibri" w:hint="eastAsia"/>
          <w:sz w:val="18"/>
          <w:szCs w:val="18"/>
        </w:rPr>
        <w:t>不丧失控制权的情况下部分处置对子公司的股权投资</w:t>
      </w:r>
    </w:p>
    <w:p w:rsidR="005C49A8" w:rsidRDefault="005C49A8">
      <w:pPr>
        <w:pStyle w:val="a3"/>
        <w:divId w:val="631447948"/>
      </w:pPr>
      <w:r>
        <w:rPr>
          <w:rFonts w:hint="eastAsia"/>
          <w:sz w:val="18"/>
          <w:szCs w:val="18"/>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rsidR="008820E4" w:rsidRDefault="005C49A8">
      <w:pPr>
        <w:pStyle w:val="3"/>
        <w:spacing w:line="280" w:lineRule="exact"/>
        <w:jc w:val="left"/>
        <w:rPr>
          <w:rFonts w:ascii="宋体" w:hAnsi="宋体" w:cs="宋体"/>
          <w:b/>
          <w:bCs/>
        </w:rPr>
      </w:pPr>
      <w:bookmarkStart w:id="23" w:name="_Toc989014"/>
      <w:r>
        <w:rPr>
          <w:rFonts w:ascii="宋体" w:hAnsi="宋体" w:cs="宋体"/>
          <w:b/>
          <w:bCs/>
        </w:rPr>
        <w:t>8、合营安排分类及共同经营会计处理方法</w:t>
      </w:r>
      <w:bookmarkEnd w:id="23"/>
    </w:p>
    <w:p w:rsidR="005C49A8" w:rsidRDefault="005C49A8" w:rsidP="00C50357">
      <w:pPr>
        <w:widowControl/>
        <w:numPr>
          <w:ilvl w:val="0"/>
          <w:numId w:val="12"/>
        </w:numPr>
        <w:spacing w:before="100" w:beforeAutospacing="1" w:after="100" w:afterAutospacing="1"/>
        <w:divId w:val="1825001478"/>
        <w:rPr>
          <w:sz w:val="18"/>
          <w:szCs w:val="18"/>
        </w:rPr>
      </w:pPr>
      <w:r>
        <w:rPr>
          <w:rStyle w:val="a4"/>
          <w:rFonts w:hint="eastAsia"/>
          <w:sz w:val="18"/>
          <w:szCs w:val="18"/>
        </w:rPr>
        <w:t>合营安排的分类</w:t>
      </w:r>
    </w:p>
    <w:p w:rsidR="005C49A8" w:rsidRDefault="005C49A8">
      <w:pPr>
        <w:pStyle w:val="a3"/>
        <w:spacing w:before="0" w:beforeAutospacing="0" w:after="0" w:afterAutospacing="0"/>
        <w:ind w:firstLine="420"/>
        <w:jc w:val="both"/>
        <w:divId w:val="1825001478"/>
      </w:pPr>
      <w:r>
        <w:rPr>
          <w:rFonts w:hint="eastAsia"/>
          <w:sz w:val="18"/>
          <w:szCs w:val="18"/>
        </w:rPr>
        <w:t>本公司根据合营安排的结构、法律形式以及合营安排中约定的条款、其他相关事实和情况等因素，将合营安排分为共同经营和合营企业。</w:t>
      </w:r>
    </w:p>
    <w:p w:rsidR="005C49A8" w:rsidRDefault="005C49A8">
      <w:pPr>
        <w:pStyle w:val="a3"/>
        <w:spacing w:before="0" w:beforeAutospacing="0" w:after="0" w:afterAutospacing="0"/>
        <w:ind w:firstLine="420"/>
        <w:jc w:val="both"/>
        <w:divId w:val="1825001478"/>
      </w:pPr>
      <w:r>
        <w:rPr>
          <w:rFonts w:hint="eastAsia"/>
          <w:sz w:val="18"/>
          <w:szCs w:val="18"/>
        </w:rPr>
        <w:t>未通过单独主体达成的合营安排，划分为共同经营；通过单独主体达成的合营安排，通常划分为合营企业；但有确凿证据表明满足下列任一条件并且符合相关法律法规规定的合营安排划分为共同经营：</w:t>
      </w:r>
    </w:p>
    <w:p w:rsidR="005C49A8" w:rsidRDefault="005C49A8" w:rsidP="00CF103B">
      <w:pPr>
        <w:widowControl/>
        <w:ind w:left="426"/>
        <w:divId w:val="1825001478"/>
        <w:rPr>
          <w:rFonts w:ascii="Calibri" w:hAnsi="Calibri" w:cs="Calibri"/>
          <w:szCs w:val="21"/>
        </w:rPr>
      </w:pPr>
      <w:r>
        <w:rPr>
          <w:rFonts w:cs="Calibri" w:hint="eastAsia"/>
          <w:sz w:val="18"/>
          <w:szCs w:val="18"/>
        </w:rPr>
        <w:t>合营安排的法律形式表明，合营方对该安排中的相关资产和负债分别享有权利和承担义务。</w:t>
      </w:r>
    </w:p>
    <w:p w:rsidR="005C49A8" w:rsidRDefault="005C49A8" w:rsidP="00CF103B">
      <w:pPr>
        <w:widowControl/>
        <w:ind w:left="426"/>
        <w:divId w:val="1825001478"/>
        <w:rPr>
          <w:rFonts w:ascii="Calibri" w:hAnsi="Calibri" w:cs="Calibri"/>
          <w:szCs w:val="21"/>
        </w:rPr>
      </w:pPr>
      <w:r>
        <w:rPr>
          <w:rFonts w:cs="Calibri" w:hint="eastAsia"/>
          <w:sz w:val="18"/>
          <w:szCs w:val="18"/>
        </w:rPr>
        <w:t>合营安排的合同条款约定，合营方对该安排中的相关资产和负债分别享有权利和承担义务。</w:t>
      </w:r>
    </w:p>
    <w:p w:rsidR="005C49A8" w:rsidRDefault="005C49A8" w:rsidP="00CF103B">
      <w:pPr>
        <w:widowControl/>
        <w:ind w:left="426"/>
        <w:divId w:val="1825001478"/>
        <w:rPr>
          <w:rFonts w:ascii="Calibri" w:hAnsi="Calibri" w:cs="Calibri"/>
          <w:szCs w:val="21"/>
        </w:rPr>
      </w:pPr>
      <w:r>
        <w:rPr>
          <w:rFonts w:cs="Calibri" w:hint="eastAsia"/>
          <w:sz w:val="18"/>
          <w:szCs w:val="18"/>
        </w:rPr>
        <w:t>其他相关事实和情况表明，合营方对该安排中的相关资产和负债分别享有权利和承担义务，如合营方享有与合营安排相关的几乎所有产出，并且该安排中负债的清偿持续依赖于合营方的支持。</w:t>
      </w:r>
    </w:p>
    <w:p w:rsidR="005C49A8" w:rsidRDefault="005C49A8" w:rsidP="00C50357">
      <w:pPr>
        <w:widowControl/>
        <w:numPr>
          <w:ilvl w:val="0"/>
          <w:numId w:val="14"/>
        </w:numPr>
        <w:spacing w:before="100" w:beforeAutospacing="1" w:after="100" w:afterAutospacing="1"/>
        <w:divId w:val="1825001478"/>
        <w:rPr>
          <w:rFonts w:ascii="宋体" w:hAnsi="宋体" w:cs="宋体"/>
          <w:sz w:val="18"/>
          <w:szCs w:val="18"/>
        </w:rPr>
      </w:pPr>
      <w:r>
        <w:rPr>
          <w:rFonts w:hint="eastAsia"/>
          <w:sz w:val="18"/>
          <w:szCs w:val="18"/>
        </w:rPr>
        <w:t>．</w:t>
      </w:r>
      <w:r>
        <w:rPr>
          <w:rStyle w:val="a4"/>
          <w:rFonts w:hint="eastAsia"/>
          <w:sz w:val="18"/>
          <w:szCs w:val="18"/>
        </w:rPr>
        <w:t>共同经营会计处理方法</w:t>
      </w:r>
    </w:p>
    <w:p w:rsidR="005C49A8" w:rsidRDefault="005C49A8">
      <w:pPr>
        <w:pStyle w:val="a3"/>
        <w:spacing w:before="0" w:beforeAutospacing="0" w:after="0" w:afterAutospacing="0"/>
        <w:ind w:firstLine="420"/>
        <w:jc w:val="both"/>
        <w:divId w:val="1825001478"/>
      </w:pPr>
      <w:r>
        <w:rPr>
          <w:rFonts w:hint="eastAsia"/>
          <w:sz w:val="18"/>
          <w:szCs w:val="18"/>
        </w:rPr>
        <w:lastRenderedPageBreak/>
        <w:t>本公司确认共同经营中利益份额中与本公司相关的下列项目，并按照相关企业会计准则的规定进行会计处理：</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确认单独所持有的资产，以及按其份额确认共同持有的资产；</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确认单独所承担的负债，以及按其份额确认共同承担的负债；</w:t>
      </w:r>
    </w:p>
    <w:p w:rsidR="005C49A8" w:rsidRDefault="005C49A8" w:rsidP="00CF103B">
      <w:pPr>
        <w:widowControl/>
        <w:ind w:left="426"/>
        <w:divId w:val="1825001478"/>
        <w:rPr>
          <w:rFonts w:ascii="Calibri" w:hAnsi="Calibri" w:cs="Calibri"/>
          <w:szCs w:val="21"/>
        </w:rPr>
      </w:pPr>
      <w:r>
        <w:rPr>
          <w:rFonts w:cs="Calibri" w:hint="eastAsia"/>
          <w:sz w:val="18"/>
          <w:szCs w:val="18"/>
        </w:rPr>
        <w:t>确认出售其享有的共同经营产出份额所产生的收入；</w:t>
      </w:r>
    </w:p>
    <w:p w:rsidR="005C49A8" w:rsidRDefault="005C49A8" w:rsidP="00CF103B">
      <w:pPr>
        <w:widowControl/>
        <w:ind w:left="426"/>
        <w:divId w:val="1825001478"/>
        <w:rPr>
          <w:rFonts w:ascii="Calibri" w:hAnsi="Calibri" w:cs="Calibri"/>
          <w:szCs w:val="21"/>
        </w:rPr>
      </w:pPr>
      <w:r>
        <w:rPr>
          <w:rFonts w:cs="Calibri" w:hint="eastAsia"/>
          <w:sz w:val="18"/>
          <w:szCs w:val="18"/>
        </w:rPr>
        <w:t>按其份额确认共同经营因出售产出所产生的收入；</w:t>
      </w:r>
    </w:p>
    <w:p w:rsidR="005C49A8" w:rsidRDefault="005C49A8" w:rsidP="00CF103B">
      <w:pPr>
        <w:widowControl/>
        <w:ind w:left="426"/>
        <w:divId w:val="1825001478"/>
        <w:rPr>
          <w:rFonts w:ascii="Calibri" w:hAnsi="Calibri" w:cs="Calibri"/>
          <w:szCs w:val="21"/>
        </w:rPr>
      </w:pPr>
      <w:r>
        <w:rPr>
          <w:rFonts w:cs="Calibri" w:hint="eastAsia"/>
          <w:sz w:val="18"/>
          <w:szCs w:val="18"/>
        </w:rPr>
        <w:t>确认单独所发生的费用，以及按其份额确认共同经营发生的费用。</w:t>
      </w:r>
    </w:p>
    <w:p w:rsidR="005C49A8" w:rsidRDefault="005C49A8">
      <w:pPr>
        <w:pStyle w:val="a3"/>
        <w:spacing w:before="0" w:beforeAutospacing="0" w:after="0" w:afterAutospacing="0"/>
        <w:ind w:firstLine="420"/>
        <w:jc w:val="both"/>
        <w:divId w:val="1825001478"/>
      </w:pPr>
      <w:r>
        <w:rPr>
          <w:rFonts w:hint="eastAsia"/>
          <w:sz w:val="18"/>
          <w:szCs w:val="18"/>
        </w:rPr>
        <w:t>本公司向共同经营投出或出售资产等（该资产构成业务的除外），在该资产等由共同经营出售给第三方之前，仅确认因该交易产生的损益中归属于共同经营其他参与方的部分。投出或出售的资产发生符合《企业会计准则第</w:t>
      </w:r>
      <w:r>
        <w:rPr>
          <w:rFonts w:ascii="Times New Roman" w:hAnsi="Times New Roman" w:cs="Times New Roman"/>
          <w:sz w:val="18"/>
          <w:szCs w:val="18"/>
        </w:rPr>
        <w:t>8</w:t>
      </w:r>
      <w:r>
        <w:rPr>
          <w:rFonts w:hint="eastAsia"/>
          <w:sz w:val="18"/>
          <w:szCs w:val="18"/>
        </w:rPr>
        <w:t>号——资产减值》等规定的资产减值损失的，本公司全额确认该损失。</w:t>
      </w:r>
    </w:p>
    <w:p w:rsidR="005C49A8" w:rsidRDefault="005C49A8">
      <w:pPr>
        <w:pStyle w:val="a3"/>
        <w:spacing w:before="0" w:beforeAutospacing="0" w:after="0" w:afterAutospacing="0"/>
        <w:ind w:firstLine="420"/>
        <w:jc w:val="both"/>
        <w:divId w:val="1825001478"/>
      </w:pPr>
      <w:r>
        <w:rPr>
          <w:rFonts w:hint="eastAsia"/>
          <w:sz w:val="18"/>
          <w:szCs w:val="18"/>
        </w:rPr>
        <w:t>本公司自共同经营购买资产等（该资产构成业务的除外），在将该资产等出售给第三方之前，仅确认因该交易产生的损益中归属于共同经营其他参与方的部分。购入的资产发生符合《企业会计准则第</w:t>
      </w:r>
      <w:r>
        <w:rPr>
          <w:rFonts w:ascii="Times New Roman" w:hAnsi="Times New Roman" w:cs="Times New Roman"/>
          <w:sz w:val="18"/>
          <w:szCs w:val="18"/>
        </w:rPr>
        <w:t>8</w:t>
      </w:r>
      <w:r>
        <w:rPr>
          <w:rFonts w:hint="eastAsia"/>
          <w:sz w:val="18"/>
          <w:szCs w:val="18"/>
        </w:rPr>
        <w:t>号——资产减值》等规定的资产减值损失的，本公司按承担的份额确认该部分损失。</w:t>
      </w:r>
    </w:p>
    <w:p w:rsidR="005C49A8" w:rsidRDefault="005C49A8">
      <w:pPr>
        <w:pStyle w:val="a3"/>
        <w:spacing w:before="0" w:beforeAutospacing="0" w:after="0" w:afterAutospacing="0"/>
        <w:ind w:firstLine="420"/>
        <w:jc w:val="both"/>
        <w:divId w:val="1825001478"/>
      </w:pPr>
      <w:r>
        <w:rPr>
          <w:rFonts w:hint="eastAsia"/>
          <w:sz w:val="18"/>
          <w:szCs w:val="18"/>
        </w:rPr>
        <w:t>本公司对共同经营不享有共同控制，如果本公司享有该共同经营相关资产且承担该共同经营相关负债的，仍按上述原则进行会计处理，否则，应当按照相关企业会计准则的规定进行会计处理。</w:t>
      </w:r>
    </w:p>
    <w:p w:rsidR="008820E4" w:rsidRDefault="005C49A8">
      <w:pPr>
        <w:pStyle w:val="3"/>
        <w:spacing w:line="280" w:lineRule="exact"/>
        <w:jc w:val="left"/>
        <w:rPr>
          <w:rFonts w:ascii="宋体" w:hAnsi="宋体" w:cs="宋体"/>
          <w:b/>
          <w:bCs/>
        </w:rPr>
      </w:pPr>
      <w:bookmarkStart w:id="24" w:name="_Toc989015"/>
      <w:r>
        <w:rPr>
          <w:rFonts w:ascii="宋体" w:hAnsi="宋体" w:cs="宋体"/>
          <w:b/>
          <w:bCs/>
        </w:rPr>
        <w:t>9、现金及现金等价物的确定标准</w:t>
      </w:r>
      <w:bookmarkEnd w:id="24"/>
    </w:p>
    <w:p w:rsidR="005C49A8" w:rsidRDefault="005C49A8" w:rsidP="004742E9">
      <w:pPr>
        <w:pStyle w:val="a3"/>
        <w:ind w:firstLineChars="200" w:firstLine="360"/>
        <w:divId w:val="134445532"/>
        <w:rPr>
          <w:sz w:val="18"/>
          <w:szCs w:val="18"/>
        </w:rPr>
      </w:pPr>
      <w:r>
        <w:rPr>
          <w:rFonts w:hint="eastAsia"/>
          <w:sz w:val="18"/>
          <w:szCs w:val="18"/>
        </w:rPr>
        <w:t>在编制现金流量表时，将本公司库存现金以及可以随时用于支付的存款确认为现金。将同时具备期限短（一般从购买日起三个月内到期）、流动性强、易于转换为已知金额的现金、价值变动风险很小四个条件的投资，确定为现金等价物。</w:t>
      </w:r>
    </w:p>
    <w:p w:rsidR="008820E4" w:rsidRDefault="005C49A8">
      <w:pPr>
        <w:pStyle w:val="3"/>
        <w:spacing w:line="280" w:lineRule="exact"/>
        <w:jc w:val="left"/>
        <w:rPr>
          <w:rFonts w:ascii="宋体" w:hAnsi="宋体" w:cs="宋体"/>
          <w:b/>
          <w:bCs/>
        </w:rPr>
      </w:pPr>
      <w:bookmarkStart w:id="25" w:name="_Toc989016"/>
      <w:r>
        <w:rPr>
          <w:rFonts w:ascii="宋体" w:hAnsi="宋体" w:cs="宋体"/>
          <w:b/>
          <w:bCs/>
        </w:rPr>
        <w:t>10、外币业务和外币报表折算</w:t>
      </w:r>
      <w:bookmarkEnd w:id="25"/>
    </w:p>
    <w:p w:rsidR="005C49A8" w:rsidRDefault="005C49A8" w:rsidP="00C50357">
      <w:pPr>
        <w:widowControl/>
        <w:numPr>
          <w:ilvl w:val="0"/>
          <w:numId w:val="16"/>
        </w:numPr>
        <w:spacing w:before="100" w:beforeAutospacing="1" w:after="100" w:afterAutospacing="1"/>
        <w:divId w:val="1651132089"/>
        <w:rPr>
          <w:sz w:val="18"/>
          <w:szCs w:val="18"/>
        </w:rPr>
      </w:pPr>
      <w:r>
        <w:rPr>
          <w:rFonts w:hint="eastAsia"/>
          <w:sz w:val="18"/>
          <w:szCs w:val="18"/>
        </w:rPr>
        <w:t>．</w:t>
      </w:r>
      <w:r>
        <w:rPr>
          <w:rFonts w:ascii="Times New Roman" w:hAnsi="Times New Roman" w:cs="Times New Roman"/>
          <w:sz w:val="14"/>
          <w:szCs w:val="14"/>
        </w:rPr>
        <w:t xml:space="preserve">  </w:t>
      </w:r>
      <w:r>
        <w:rPr>
          <w:rStyle w:val="a4"/>
          <w:rFonts w:hint="eastAsia"/>
          <w:sz w:val="18"/>
          <w:szCs w:val="18"/>
        </w:rPr>
        <w:t>合营安排的分类</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根据合营安排的结构、法律形式以及合营安排中约定的条款、其他相关事实和情况等因素，将合营安排分为共同经营和合营企业。共同经营，是指合营方享有该安排相关资产且承担该安排相关负债的合营安排。合营企业是指合营方仅对该安排的净资产享有权利的合营安排。</w:t>
      </w:r>
    </w:p>
    <w:p w:rsidR="005C49A8" w:rsidRDefault="005C49A8" w:rsidP="00C50357">
      <w:pPr>
        <w:widowControl/>
        <w:numPr>
          <w:ilvl w:val="0"/>
          <w:numId w:val="17"/>
        </w:numPr>
        <w:spacing w:before="100" w:beforeAutospacing="1" w:after="100" w:afterAutospacing="1"/>
        <w:divId w:val="1651132089"/>
        <w:rPr>
          <w:sz w:val="18"/>
          <w:szCs w:val="18"/>
        </w:rPr>
      </w:pPr>
      <w:r>
        <w:rPr>
          <w:rFonts w:hint="eastAsia"/>
          <w:sz w:val="18"/>
          <w:szCs w:val="18"/>
        </w:rPr>
        <w:t>．</w:t>
      </w:r>
      <w:r>
        <w:rPr>
          <w:rFonts w:ascii="Times New Roman" w:hAnsi="Times New Roman" w:cs="Times New Roman"/>
          <w:sz w:val="14"/>
          <w:szCs w:val="14"/>
        </w:rPr>
        <w:t xml:space="preserve">  </w:t>
      </w:r>
      <w:r>
        <w:rPr>
          <w:rStyle w:val="a4"/>
          <w:rFonts w:hint="eastAsia"/>
          <w:sz w:val="18"/>
          <w:szCs w:val="18"/>
        </w:rPr>
        <w:t>共同经营会计处理方法</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本公司确认共同经营中利益份额中与本公司相关的下列项目，并按照相关企业会计准则的规定进行会计处理：</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确认单独所持有的资产，以及按其份额确认共同持有的资产；</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确认单独所承担的负债，以及按其份额确认共同承担的负债；</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确认出售其享有的共同经营产出份额所产生的收入；</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按其份额确认共同经营因出售产出所产生的收入；</w:t>
      </w:r>
    </w:p>
    <w:p w:rsidR="005C49A8" w:rsidRDefault="005C49A8" w:rsidP="004742E9">
      <w:pPr>
        <w:pStyle w:val="a3"/>
        <w:spacing w:before="0" w:beforeAutospacing="0" w:after="0" w:afterAutospacing="0"/>
        <w:ind w:firstLine="420"/>
        <w:jc w:val="both"/>
        <w:divId w:val="1651132089"/>
        <w:rPr>
          <w:sz w:val="18"/>
          <w:szCs w:val="18"/>
        </w:rPr>
      </w:pPr>
      <w:r>
        <w:rPr>
          <w:rFonts w:hint="eastAsia"/>
          <w:sz w:val="18"/>
          <w:szCs w:val="18"/>
        </w:rPr>
        <w:t>确认单独所发生的费用，以及按其份额确认共同经营发生的费用。</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向共同经营投出或出售资产等（该资产构成业务的除外），在该资产等由共同经营出售给第三方之前，仅确认因该交易产生的损益中归属于共同经营其他参与方的部分。投出或出售的资产发生资产减值损失的，本公司全额确认该损失。</w:t>
      </w:r>
    </w:p>
    <w:p w:rsidR="005C49A8" w:rsidRPr="004742E9" w:rsidRDefault="005C49A8" w:rsidP="004742E9">
      <w:pPr>
        <w:pStyle w:val="a3"/>
        <w:spacing w:before="0" w:beforeAutospacing="0" w:after="0" w:afterAutospacing="0"/>
        <w:ind w:firstLine="420"/>
        <w:jc w:val="both"/>
        <w:divId w:val="1651132089"/>
        <w:rPr>
          <w:sz w:val="18"/>
          <w:szCs w:val="18"/>
        </w:rPr>
      </w:pPr>
      <w:r w:rsidRPr="004742E9">
        <w:rPr>
          <w:rFonts w:hint="eastAsia"/>
          <w:sz w:val="18"/>
          <w:szCs w:val="18"/>
        </w:rPr>
        <w:t>本公司自共同经营购买资产等（该资产构成业务的除外），在将该资产等出售给第三方之前，仅确认因该交易产生的损益中归属于共同经营其他参与方的部分。购入的资产发生资产减值损失的，本公司按承担的份额确认该部分损失。</w:t>
      </w:r>
    </w:p>
    <w:p w:rsidR="008820E4" w:rsidRDefault="005C49A8">
      <w:pPr>
        <w:pStyle w:val="3"/>
        <w:spacing w:line="280" w:lineRule="exact"/>
        <w:jc w:val="left"/>
        <w:rPr>
          <w:rFonts w:ascii="宋体" w:hAnsi="宋体" w:cs="宋体"/>
          <w:b/>
          <w:bCs/>
        </w:rPr>
      </w:pPr>
      <w:bookmarkStart w:id="26" w:name="_Toc989017"/>
      <w:r>
        <w:rPr>
          <w:rFonts w:ascii="宋体" w:hAnsi="宋体" w:cs="宋体"/>
          <w:b/>
          <w:bCs/>
        </w:rPr>
        <w:lastRenderedPageBreak/>
        <w:t>11、金融工具</w:t>
      </w:r>
      <w:bookmarkEnd w:id="26"/>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本公司在成为金融工具合同的一方时确认一项金融资产或金融负债。</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实际利率法是指计算金融资产或金融负债的摊余成本以及将利息收入或利息费用分摊计入各会计期间的方法。</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实际利率，是指将金融资产或金融负债在预计存续期的估计未来现金流量，折现为该金融资产账面余额或该金融负债摊余成本所使用的利率。在确定实际利率时，在考虑金融资产或金融负债所有合同条款</w:t>
      </w:r>
      <w:r w:rsidRPr="004742E9">
        <w:rPr>
          <w:sz w:val="18"/>
          <w:szCs w:val="18"/>
        </w:rPr>
        <w:t>(</w:t>
      </w:r>
      <w:r w:rsidRPr="004742E9">
        <w:rPr>
          <w:rFonts w:hint="eastAsia"/>
          <w:sz w:val="18"/>
          <w:szCs w:val="18"/>
        </w:rPr>
        <w:t>如提前还款、展期、看涨期权或其他类似期权等</w:t>
      </w:r>
      <w:r w:rsidRPr="004742E9">
        <w:rPr>
          <w:sz w:val="18"/>
          <w:szCs w:val="18"/>
        </w:rPr>
        <w:t>)</w:t>
      </w:r>
      <w:r w:rsidRPr="004742E9">
        <w:rPr>
          <w:rFonts w:hint="eastAsia"/>
          <w:sz w:val="18"/>
          <w:szCs w:val="18"/>
        </w:rPr>
        <w:t>的基础上估计预期现金流量，但不考虑预期信用损失。</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w:t>
      </w:r>
      <w:r w:rsidRPr="004742E9">
        <w:rPr>
          <w:sz w:val="18"/>
          <w:szCs w:val="18"/>
        </w:rPr>
        <w:t>(</w:t>
      </w:r>
      <w:r w:rsidRPr="004742E9">
        <w:rPr>
          <w:rFonts w:hint="eastAsia"/>
          <w:sz w:val="18"/>
          <w:szCs w:val="18"/>
        </w:rPr>
        <w:t>仅适用于金融资产</w:t>
      </w:r>
      <w:r w:rsidRPr="004742E9">
        <w:rPr>
          <w:sz w:val="18"/>
          <w:szCs w:val="18"/>
        </w:rPr>
        <w:t>)</w:t>
      </w:r>
      <w:r w:rsidRPr="004742E9">
        <w:rPr>
          <w:rFonts w:hint="eastAsia"/>
          <w:sz w:val="18"/>
          <w:szCs w:val="18"/>
        </w:rPr>
        <w:t>。</w:t>
      </w:r>
    </w:p>
    <w:p w:rsidR="005C49A8" w:rsidRDefault="005C49A8" w:rsidP="00C50357">
      <w:pPr>
        <w:widowControl/>
        <w:numPr>
          <w:ilvl w:val="0"/>
          <w:numId w:val="1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金融资产的分类、确认和计量</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本公司根据所管理金融资产的业务模式和金融资产的合同现金流量特征，将金融资产划分为以下三类：</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以摊余成本计量的金融资产。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以公允价值计量且其变动计入其他综合收益的金融资产。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金融资产在初始确认时以公允价值计量，但是因销售商品或提供服务等产生的应收账款或应收票据未包含重大融资成分或不考虑不超过一年的融资成分的，按照交易价格进行初始计量。</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对于以公允价值计量且其变动计入当期损益的金融资产，相关交易费用直接计入当期损益，其他类别的金融资产相关交易费用计入其初始确认金额。</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金融资产的后续计量取决于其分类，当且仅当本公司改变管理金融资产的业务模式时，才对所有受影响的相关金融资产进行重分类。</w:t>
      </w:r>
    </w:p>
    <w:p w:rsidR="005C49A8" w:rsidRDefault="005C49A8" w:rsidP="00C50357">
      <w:pPr>
        <w:widowControl/>
        <w:numPr>
          <w:ilvl w:val="0"/>
          <w:numId w:val="20"/>
        </w:numPr>
        <w:spacing w:before="100" w:beforeAutospacing="1" w:after="100" w:afterAutospacing="1"/>
        <w:divId w:val="919800037"/>
        <w:rPr>
          <w:sz w:val="18"/>
          <w:szCs w:val="18"/>
        </w:rPr>
      </w:pPr>
      <w:r>
        <w:rPr>
          <w:rFonts w:hint="eastAsia"/>
          <w:sz w:val="18"/>
          <w:szCs w:val="18"/>
        </w:rPr>
        <w:t>分类为以摊余成本计量的金融资产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合同条款规定在特定日期产生的现金流量仅为对本金和以未偿付本金金额为基础的利息的支付，且管理该金融资产的业务模式是以收取合同现金流量为目标，则本公司将该金融资产分类为以摊余成本计量的金融资产。本公司分类为以摊余成本计量的金融资产包括货币资金、应收票据、应收账款、其他应收款、长期应收款等。</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实际利率法确认利息收入，按摊余成本进行后续计量，其发生减值时或终止确认、修改产生的利得或损失，计入当期损益。除下列情况外，本公司根据金融资产账面余额乘以实际利率计算确定利息收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sz w:val="18"/>
          <w:szCs w:val="18"/>
        </w:rPr>
        <w:t>1</w:t>
      </w:r>
      <w:r w:rsidRPr="004742E9">
        <w:rPr>
          <w:rFonts w:hint="eastAsia"/>
          <w:sz w:val="18"/>
          <w:szCs w:val="18"/>
        </w:rPr>
        <w:t>）对于购入或源生的已发生信用减值的金融资产，本公司自初始确认起，按照该金融资产的摊余成本和经信用调整的实际利率计算确定其利息收入。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sz w:val="18"/>
          <w:szCs w:val="18"/>
        </w:rPr>
        <w:t>2</w:t>
      </w:r>
      <w:r w:rsidRPr="004742E9">
        <w:rPr>
          <w:rFonts w:hint="eastAsia"/>
          <w:sz w:val="18"/>
          <w:szCs w:val="18"/>
        </w:rPr>
        <w:t>）</w:t>
      </w:r>
      <w:r w:rsidRPr="004742E9">
        <w:rPr>
          <w:sz w:val="18"/>
          <w:szCs w:val="18"/>
        </w:rPr>
        <w:t xml:space="preserve"> </w:t>
      </w:r>
      <w:r w:rsidRPr="004742E9">
        <w:rPr>
          <w:rFonts w:hint="eastAsia"/>
          <w:sz w:val="18"/>
          <w:szCs w:val="18"/>
        </w:rPr>
        <w:t>对于购入或源生的未发生信用减值、但在后续期间成为已发生信用减值的金融资产，本公司在后续期间，按照该金融资产的摊余成本和实际利率计算确定其利息收入。若该金融工具在后续期间因其信用风险有所改善而不再存在信用减值，本公司转按实际利率乘以该金融资产账面余额来计算确定利息收入。</w:t>
      </w:r>
    </w:p>
    <w:p w:rsidR="005C49A8" w:rsidRDefault="005C49A8" w:rsidP="00C50357">
      <w:pPr>
        <w:widowControl/>
        <w:numPr>
          <w:ilvl w:val="0"/>
          <w:numId w:val="21"/>
        </w:numPr>
        <w:spacing w:before="100" w:beforeAutospacing="1" w:after="100" w:afterAutospacing="1"/>
        <w:divId w:val="919800037"/>
        <w:rPr>
          <w:sz w:val="18"/>
          <w:szCs w:val="18"/>
        </w:rPr>
      </w:pPr>
      <w:r>
        <w:rPr>
          <w:rFonts w:hint="eastAsia"/>
          <w:sz w:val="18"/>
          <w:szCs w:val="18"/>
        </w:rPr>
        <w:t>分类为以公允价值计量且其变动计入其他综合收益的金融资产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金融资产的合同条款规定在特定日期产生的现金流量仅为对本金和以未偿付本金金额为基础的利息的支付，且管理该金融资产的业务模式既以收取合同现金流量为目标又以出售该金融资产为目标，则本公司将该金融资产分类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lastRenderedPageBreak/>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rsidR="005C49A8" w:rsidRDefault="005C49A8" w:rsidP="00C50357">
      <w:pPr>
        <w:widowControl/>
        <w:numPr>
          <w:ilvl w:val="0"/>
          <w:numId w:val="22"/>
        </w:numPr>
        <w:spacing w:before="100" w:beforeAutospacing="1" w:after="100" w:afterAutospacing="1"/>
        <w:divId w:val="919800037"/>
        <w:rPr>
          <w:sz w:val="18"/>
          <w:szCs w:val="18"/>
        </w:rPr>
      </w:pPr>
      <w:r>
        <w:rPr>
          <w:rFonts w:hint="eastAsia"/>
          <w:sz w:val="18"/>
          <w:szCs w:val="18"/>
        </w:rPr>
        <w:t>指定为以公允价值计量且其变动计入其他综合收益的金融资产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在初始确认时，本公司可以单项金融资产为基础不可撤销地将非交易性权益工具投资指定为以公允价值计量且其变动计入其他综合收益的金融资产。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rsidR="005C49A8" w:rsidRDefault="005C49A8" w:rsidP="00C50357">
      <w:pPr>
        <w:widowControl/>
        <w:numPr>
          <w:ilvl w:val="0"/>
          <w:numId w:val="23"/>
        </w:numPr>
        <w:spacing w:before="100" w:beforeAutospacing="1" w:after="100" w:afterAutospacing="1"/>
        <w:divId w:val="919800037"/>
        <w:rPr>
          <w:sz w:val="18"/>
          <w:szCs w:val="18"/>
        </w:rPr>
      </w:pPr>
      <w:r>
        <w:rPr>
          <w:rFonts w:hint="eastAsia"/>
          <w:sz w:val="18"/>
          <w:szCs w:val="18"/>
        </w:rPr>
        <w:t>分类为以公允价值计量且其变动计入当期损益的金融资产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不符合分类为以摊余成本计量或以公允价值计量且其变动计入其他综合收益的金融资产条件、亦不指定为以公允价值计量且其变动计入其他综合收益的金融资产均分类为以公允价值计量且其变动计入当期损益的金融资产。</w:t>
      </w:r>
    </w:p>
    <w:p w:rsidR="005C49A8" w:rsidRPr="004742E9" w:rsidRDefault="005C49A8" w:rsidP="004742E9">
      <w:pPr>
        <w:pStyle w:val="a3"/>
        <w:spacing w:before="0" w:beforeAutospacing="0" w:after="0" w:afterAutospacing="0"/>
        <w:ind w:firstLine="420"/>
        <w:jc w:val="both"/>
        <w:divId w:val="919800037"/>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24"/>
        </w:numPr>
        <w:spacing w:before="100" w:beforeAutospacing="1" w:after="100" w:afterAutospacing="1"/>
        <w:divId w:val="919800037"/>
        <w:rPr>
          <w:sz w:val="18"/>
          <w:szCs w:val="18"/>
        </w:rPr>
      </w:pPr>
      <w:r>
        <w:rPr>
          <w:rFonts w:hint="eastAsia"/>
          <w:sz w:val="18"/>
          <w:szCs w:val="18"/>
        </w:rPr>
        <w:t>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在初始确认时，本公司为了消除或显著减少会计错配，可以单项金融资产为基础不可撤销地将金融资产指定为以公允价值计量且其变动计入当期损益的金融资产。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混合合同包含一项或多项嵌入衍生工具，且其主合同不属于以上金融资产的，本公司可以将其整体指定为以公允价值计量且其变动计入当期损益的金融工具。但下列情况除外：</w:t>
      </w:r>
      <w:r w:rsidRPr="004742E9">
        <w:rPr>
          <w:sz w:val="18"/>
          <w:szCs w:val="18"/>
        </w:rPr>
        <w:t xml:space="preserve"> </w:t>
      </w:r>
    </w:p>
    <w:p w:rsidR="005C49A8" w:rsidRDefault="005C49A8" w:rsidP="00C50357">
      <w:pPr>
        <w:widowControl/>
        <w:numPr>
          <w:ilvl w:val="0"/>
          <w:numId w:val="2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嵌入衍生工具不会对混合合同的现金流量产生重大改变。</w:t>
      </w:r>
    </w:p>
    <w:p w:rsidR="005C49A8" w:rsidRDefault="005C49A8" w:rsidP="00C50357">
      <w:pPr>
        <w:widowControl/>
        <w:numPr>
          <w:ilvl w:val="0"/>
          <w:numId w:val="2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在初次确定类似的混合合同是否需要分拆时，几乎不需分析就能明确其包含的嵌入衍生工具不应分拆。如嵌入贷款的提前还款权，允许持有人以接近摊余成本的金额提前偿还贷款，该提前还款权不需要分拆。</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2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金融负债的分类、确认和计量</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期工具的衍生工具。</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金融负债在初始确认时以公允价值计量。对于以公允价值计量且其变动计入当期损益的金融负债，相关的交易费用直接计入当期损益；对于其他类别的金融负债，相关交易费用计入初始确认金额。</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金融负债的后续计量取决于其分类：</w:t>
      </w:r>
    </w:p>
    <w:p w:rsidR="005C49A8" w:rsidRDefault="005C49A8" w:rsidP="00C50357">
      <w:pPr>
        <w:widowControl/>
        <w:numPr>
          <w:ilvl w:val="0"/>
          <w:numId w:val="27"/>
        </w:numPr>
        <w:spacing w:before="100" w:beforeAutospacing="1" w:after="100" w:afterAutospacing="1"/>
        <w:divId w:val="919800037"/>
        <w:rPr>
          <w:sz w:val="18"/>
          <w:szCs w:val="18"/>
        </w:rPr>
      </w:pPr>
      <w:r>
        <w:rPr>
          <w:rFonts w:hint="eastAsia"/>
          <w:sz w:val="18"/>
          <w:szCs w:val="18"/>
        </w:rPr>
        <w:t>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此类金融负债包括交易性金融负债（含属于金融负债的衍生工具）和初始确认时指定为以公允价值计量且其变动计入当期损益的金融负债。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期工具的衍生工具、符合财务担保合同的衍生工具除外。交易性金融负债（含属于金融负债的衍生工具），按照公允价值进行后续计量，除与套期会计有关外，所有公允价值变动均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在初始确认时，为了提供更相关的会计信息，本公司将满足下列条件之一的金融负债不可撤销地指定为以公允价值计量且其变动计入当期损益的金融负债：</w:t>
      </w:r>
    </w:p>
    <w:p w:rsidR="005C49A8" w:rsidRDefault="005C49A8" w:rsidP="00C50357">
      <w:pPr>
        <w:widowControl/>
        <w:numPr>
          <w:ilvl w:val="0"/>
          <w:numId w:val="2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能够消除或显著减少会计错配。</w:t>
      </w:r>
    </w:p>
    <w:p w:rsidR="005C49A8" w:rsidRDefault="005C49A8" w:rsidP="00C50357">
      <w:pPr>
        <w:widowControl/>
        <w:numPr>
          <w:ilvl w:val="0"/>
          <w:numId w:val="28"/>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rsidR="005C49A8" w:rsidRDefault="005C49A8" w:rsidP="00C50357">
      <w:pPr>
        <w:widowControl/>
        <w:numPr>
          <w:ilvl w:val="0"/>
          <w:numId w:val="29"/>
        </w:numPr>
        <w:spacing w:before="100" w:beforeAutospacing="1" w:after="100" w:afterAutospacing="1"/>
        <w:divId w:val="919800037"/>
        <w:rPr>
          <w:sz w:val="18"/>
          <w:szCs w:val="18"/>
        </w:rPr>
      </w:pPr>
      <w:r>
        <w:rPr>
          <w:rFonts w:hint="eastAsia"/>
          <w:sz w:val="18"/>
          <w:szCs w:val="18"/>
        </w:rPr>
        <w:t>其他金融负债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除下列各项外，公司将金融负债分类为以摊余成本计量的金融负债，对此类金融负债采用实际利率法，按照摊余成本进行后续计量，终止确认或摊销产生的利得或损失计入当期损益：</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以公允价值计量且其变动计入当期损益的金融负债。</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金融资产转移不符合终止确认条件或继续涉入被转移金融资产所形成的金融负债。</w:t>
      </w:r>
    </w:p>
    <w:p w:rsidR="005C49A8" w:rsidRDefault="005C49A8" w:rsidP="00C50357">
      <w:pPr>
        <w:widowControl/>
        <w:numPr>
          <w:ilvl w:val="0"/>
          <w:numId w:val="3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不属于本条前两类情形的财务担保合同，以及不属于本条第</w:t>
      </w:r>
      <w:r>
        <w:rPr>
          <w:rFonts w:ascii="Arial" w:hAnsi="Arial" w:cs="Arial"/>
          <w:sz w:val="18"/>
          <w:szCs w:val="18"/>
        </w:rPr>
        <w:t>1</w:t>
      </w:r>
      <w:r>
        <w:rPr>
          <w:rFonts w:hint="eastAsia"/>
          <w:sz w:val="18"/>
          <w:szCs w:val="18"/>
        </w:rPr>
        <w:t>）类情形的以低于市场利率贷款的贷款承诺。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rsidR="005C49A8" w:rsidRDefault="005C49A8" w:rsidP="00C50357">
      <w:pPr>
        <w:widowControl/>
        <w:numPr>
          <w:ilvl w:val="0"/>
          <w:numId w:val="31"/>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金融资产和金融负债的终止确认</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1</w:t>
      </w:r>
      <w:r w:rsidRPr="004742E9">
        <w:rPr>
          <w:rFonts w:hint="eastAsia"/>
          <w:sz w:val="18"/>
          <w:szCs w:val="18"/>
        </w:rPr>
        <w:t>）金融资产满足下列条件之一的，终止确认金融资产，即从其账户和资产负债表内予以转销：</w:t>
      </w:r>
    </w:p>
    <w:p w:rsidR="005C49A8" w:rsidRDefault="005C49A8" w:rsidP="00C50357">
      <w:pPr>
        <w:widowControl/>
        <w:numPr>
          <w:ilvl w:val="0"/>
          <w:numId w:val="32"/>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收取该金融资产现金流量的合同权利终止。</w:t>
      </w:r>
    </w:p>
    <w:p w:rsidR="005C49A8" w:rsidRDefault="005C49A8" w:rsidP="00C50357">
      <w:pPr>
        <w:widowControl/>
        <w:numPr>
          <w:ilvl w:val="0"/>
          <w:numId w:val="32"/>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该金融资产已转移，且该转移满足金融资产终止确认的规定。</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2</w:t>
      </w:r>
      <w:r w:rsidRPr="004742E9">
        <w:rPr>
          <w:rFonts w:hint="eastAsia"/>
          <w:sz w:val="18"/>
          <w:szCs w:val="18"/>
        </w:rPr>
        <w:t>）金融负债终止确认条件</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金融负债（或其一部分）的现时义务已经解除的，则终止确认该金融负债（或该部分金融负债）。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计入当期损益。</w:t>
      </w:r>
    </w:p>
    <w:p w:rsidR="005C49A8" w:rsidRDefault="005C49A8" w:rsidP="00C50357">
      <w:pPr>
        <w:widowControl/>
        <w:numPr>
          <w:ilvl w:val="0"/>
          <w:numId w:val="33"/>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金融资产转移的确认依据和计量方法</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本公司在发生金融资产转移时，评估其保留金融资产所有权上的风险和报酬的程度，并分别下列情形处理：</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转移了金融资产所有权上几乎所有风险和报酬的，则终止确认该金融资产，并将转移中产生或保留的权利和义务单独确认为资产或负债。</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保留了金融资产所有权上几乎所有风险和报酬的，则继续确认该金融资产。</w:t>
      </w:r>
    </w:p>
    <w:p w:rsidR="005C49A8" w:rsidRDefault="005C49A8" w:rsidP="00CF103B">
      <w:pPr>
        <w:pStyle w:val="a3"/>
        <w:spacing w:before="0" w:beforeAutospacing="0" w:after="0" w:afterAutospacing="0"/>
        <w:ind w:firstLine="420"/>
        <w:jc w:val="both"/>
        <w:divId w:val="919800037"/>
        <w:rPr>
          <w:sz w:val="18"/>
          <w:szCs w:val="18"/>
        </w:rPr>
      </w:pPr>
      <w:r>
        <w:rPr>
          <w:rFonts w:hint="eastAsia"/>
          <w:sz w:val="18"/>
          <w:szCs w:val="18"/>
        </w:rPr>
        <w:t>既没有转移也没有保留金融资产所有权上几乎所有风险和报酬的（即除本条（</w:t>
      </w:r>
      <w:r w:rsidRPr="00CF103B">
        <w:rPr>
          <w:sz w:val="18"/>
          <w:szCs w:val="18"/>
        </w:rPr>
        <w:t>1</w:t>
      </w:r>
      <w:r>
        <w:rPr>
          <w:rFonts w:hint="eastAsia"/>
          <w:sz w:val="18"/>
          <w:szCs w:val="18"/>
        </w:rPr>
        <w:t>）、（</w:t>
      </w:r>
      <w:r w:rsidRPr="00CF103B">
        <w:rPr>
          <w:sz w:val="18"/>
          <w:szCs w:val="18"/>
        </w:rPr>
        <w:t>2</w:t>
      </w:r>
      <w:r>
        <w:rPr>
          <w:rFonts w:hint="eastAsia"/>
          <w:sz w:val="18"/>
          <w:szCs w:val="18"/>
        </w:rPr>
        <w:t>）之外的其他情形），则根据其是否保留了对金融资产的控制，分别下列情形处理：</w:t>
      </w:r>
    </w:p>
    <w:p w:rsidR="005C49A8" w:rsidRDefault="005C49A8" w:rsidP="00C50357">
      <w:pPr>
        <w:widowControl/>
        <w:numPr>
          <w:ilvl w:val="0"/>
          <w:numId w:val="3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未保留对该金融资产控制的，则终止确认该金融资产，并将转移中产生或保留的权利和义务单独确认为资产或负债。</w:t>
      </w:r>
    </w:p>
    <w:p w:rsidR="005C49A8" w:rsidRDefault="005C49A8" w:rsidP="00C50357">
      <w:pPr>
        <w:widowControl/>
        <w:numPr>
          <w:ilvl w:val="0"/>
          <w:numId w:val="35"/>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在判断金融资产转移是否满足上述金融资产终止确认条件时，采用实质重于形式的原则。公司将金融资产转移区分为金融资产整体转移和部分转移。</w:t>
      </w:r>
    </w:p>
    <w:p w:rsidR="005C49A8" w:rsidRDefault="005C49A8" w:rsidP="00C50357">
      <w:pPr>
        <w:widowControl/>
        <w:numPr>
          <w:ilvl w:val="0"/>
          <w:numId w:val="36"/>
        </w:numPr>
        <w:spacing w:before="100" w:beforeAutospacing="1" w:after="100" w:afterAutospacing="1"/>
        <w:divId w:val="919800037"/>
        <w:rPr>
          <w:sz w:val="18"/>
          <w:szCs w:val="18"/>
        </w:rPr>
      </w:pPr>
      <w:r>
        <w:rPr>
          <w:rFonts w:hint="eastAsia"/>
          <w:sz w:val="18"/>
          <w:szCs w:val="18"/>
        </w:rPr>
        <w:t>金融资产整体转移满足终止确认条件的，将下列两项金额的差额计入当期损益：</w:t>
      </w:r>
    </w:p>
    <w:p w:rsidR="005C49A8" w:rsidRDefault="005C49A8" w:rsidP="00C50357">
      <w:pPr>
        <w:widowControl/>
        <w:numPr>
          <w:ilvl w:val="0"/>
          <w:numId w:val="37"/>
        </w:numPr>
        <w:spacing w:before="100" w:beforeAutospacing="1" w:after="100" w:afterAutospacing="1"/>
        <w:divId w:val="919800037"/>
        <w:rPr>
          <w:sz w:val="18"/>
          <w:szCs w:val="18"/>
        </w:rPr>
      </w:pPr>
      <w:r>
        <w:rPr>
          <w:rFonts w:hint="eastAsia"/>
          <w:sz w:val="18"/>
          <w:szCs w:val="18"/>
        </w:rPr>
        <w:lastRenderedPageBreak/>
        <w:t>）</w:t>
      </w:r>
      <w:r>
        <w:rPr>
          <w:rFonts w:ascii="Times New Roman" w:hAnsi="Times New Roman" w:cs="Times New Roman"/>
          <w:sz w:val="14"/>
          <w:szCs w:val="14"/>
        </w:rPr>
        <w:t xml:space="preserve">  </w:t>
      </w:r>
      <w:r>
        <w:rPr>
          <w:rFonts w:hint="eastAsia"/>
          <w:sz w:val="18"/>
          <w:szCs w:val="18"/>
        </w:rPr>
        <w:t>被转移金融资产在终止确认日的账面价值。</w:t>
      </w:r>
    </w:p>
    <w:p w:rsidR="005C49A8" w:rsidRDefault="005C49A8" w:rsidP="00C50357">
      <w:pPr>
        <w:widowControl/>
        <w:numPr>
          <w:ilvl w:val="0"/>
          <w:numId w:val="37"/>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因转移金融资产而收到的对价，与原直接计入其他综合收益的公允价值变动累计额中对应终止确认部分的金额（涉及转移的金融资产为以公允价值计量且其变动计入其他综合收益的金融资产）之和。</w:t>
      </w:r>
    </w:p>
    <w:p w:rsidR="005C49A8" w:rsidRDefault="005C49A8" w:rsidP="00C50357">
      <w:pPr>
        <w:widowControl/>
        <w:numPr>
          <w:ilvl w:val="0"/>
          <w:numId w:val="38"/>
        </w:numPr>
        <w:spacing w:before="100" w:beforeAutospacing="1" w:after="100" w:afterAutospacing="1"/>
        <w:divId w:val="919800037"/>
        <w:rPr>
          <w:sz w:val="18"/>
          <w:szCs w:val="18"/>
        </w:rPr>
      </w:pP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rsidR="005C49A8" w:rsidRDefault="005C49A8" w:rsidP="00C50357">
      <w:pPr>
        <w:widowControl/>
        <w:numPr>
          <w:ilvl w:val="0"/>
          <w:numId w:val="3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终止确认部分在终止确认日的账面价值。</w:t>
      </w:r>
    </w:p>
    <w:p w:rsidR="005C49A8" w:rsidRDefault="005C49A8" w:rsidP="00C50357">
      <w:pPr>
        <w:widowControl/>
        <w:numPr>
          <w:ilvl w:val="0"/>
          <w:numId w:val="3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终止确认部分收到的对价，与原计入其他综合收益的公允价值变动累计额中对应终止确认部分的金额（涉及转移的金融资产为以公允价值计量且其变动计入其他综合收益的金融资产）之和。</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金融资产转移不满足终止确认条件的，继续确认该金融资产，所收到的对价确认为一项金融负债。</w:t>
      </w:r>
    </w:p>
    <w:p w:rsidR="005C49A8" w:rsidRDefault="005C49A8" w:rsidP="00C50357">
      <w:pPr>
        <w:widowControl/>
        <w:numPr>
          <w:ilvl w:val="0"/>
          <w:numId w:val="40"/>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金融资产和金融负债公允价值的确定方法</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初始取得或衍生的金融资产或承担的金融负债，以市场交易价格作为确定其公允价值的基础。</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5C49A8" w:rsidRDefault="005C49A8" w:rsidP="00C50357">
      <w:pPr>
        <w:widowControl/>
        <w:numPr>
          <w:ilvl w:val="0"/>
          <w:numId w:val="41"/>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本公司对以摊余成本计量的金融资产以预期信用损失为基础进行减值会计处理并确认损失准备。</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lastRenderedPageBreak/>
        <w:t>除上述采用简化计量方法和购买或源生的已发生信用减值以外的其他金融资产，本公司在每个资产负债表日评估相关金融工具的信用风险自初始确认后是否已显著增加，并按照下列情形分别计量其损失准备、确认预期信用损失及其变动：</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如果该金融工具的信用风险自初始确认后并未显著增加，处于第一阶段，则按照相当于该金融工具未来</w:t>
      </w:r>
      <w:r>
        <w:rPr>
          <w:rFonts w:ascii="Arial" w:hAnsi="Arial" w:cs="Arial"/>
          <w:sz w:val="18"/>
          <w:szCs w:val="18"/>
        </w:rPr>
        <w:t>12</w:t>
      </w:r>
      <w:r>
        <w:rPr>
          <w:rFonts w:hint="eastAsia"/>
          <w:sz w:val="18"/>
          <w:szCs w:val="18"/>
        </w:rPr>
        <w:t>个月内预期信用损失的金额计量其损失准备，并按照账面余额和实际利率计算利息收入。</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rsidR="005C49A8" w:rsidRDefault="005C49A8" w:rsidP="00C50357">
      <w:pPr>
        <w:widowControl/>
        <w:numPr>
          <w:ilvl w:val="1"/>
          <w:numId w:val="42"/>
        </w:numPr>
        <w:tabs>
          <w:tab w:val="clear" w:pos="1440"/>
          <w:tab w:val="num" w:pos="1276"/>
        </w:tabs>
        <w:spacing w:before="100" w:beforeAutospacing="1" w:after="100" w:afterAutospacing="1"/>
        <w:ind w:left="426"/>
        <w:divId w:val="919800037"/>
        <w:rPr>
          <w:sz w:val="18"/>
          <w:szCs w:val="18"/>
        </w:rPr>
      </w:pPr>
      <w:r>
        <w:rPr>
          <w:rFonts w:hint="eastAsia"/>
          <w:sz w:val="18"/>
          <w:szCs w:val="18"/>
        </w:rPr>
        <w:t>如果该金融工具自初始确认后已经发生信用减值的，处于第三阶段，本公司按照相当于该金融工具整个存续期内预期信用损失的金额计量其损失准备，并按照摊余成本和实际利率计算利息收入。</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sidRPr="004742E9">
        <w:rPr>
          <w:sz w:val="18"/>
          <w:szCs w:val="18"/>
        </w:rPr>
        <w:t>12</w:t>
      </w:r>
      <w:r w:rsidRPr="004742E9">
        <w:rPr>
          <w:rFonts w:hint="eastAsia"/>
          <w:sz w:val="18"/>
          <w:szCs w:val="18"/>
        </w:rPr>
        <w:t>个月内预期信用损失的金额计量该金融工具的损失准备，由此形成的损失准备的转回金额作为减值利得计入当期损益。</w:t>
      </w:r>
    </w:p>
    <w:p w:rsidR="005C49A8" w:rsidRDefault="005C49A8" w:rsidP="00C50357">
      <w:pPr>
        <w:widowControl/>
        <w:numPr>
          <w:ilvl w:val="0"/>
          <w:numId w:val="43"/>
        </w:numPr>
        <w:spacing w:before="100" w:beforeAutospacing="1" w:after="100" w:afterAutospacing="1"/>
        <w:divId w:val="919800037"/>
        <w:rPr>
          <w:sz w:val="18"/>
          <w:szCs w:val="18"/>
        </w:rPr>
      </w:pPr>
      <w:r>
        <w:rPr>
          <w:rFonts w:hint="eastAsia"/>
          <w:sz w:val="18"/>
          <w:szCs w:val="18"/>
        </w:rPr>
        <w:t>信用风险显著增加</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本公司在评估信用风险是否显著增加时会考虑如下因素：</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债务人经营成果实际或预期是否发生显著变化；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债务人所处的监管、经济或技术环境是否发生显著不利变化；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债务人预期表现和还款行为是否发生显著变化；</w:t>
      </w:r>
    </w:p>
    <w:p w:rsidR="005C49A8" w:rsidRDefault="005C49A8" w:rsidP="00C50357">
      <w:pPr>
        <w:widowControl/>
        <w:numPr>
          <w:ilvl w:val="0"/>
          <w:numId w:val="44"/>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本公司对金融工具信用管理方法是否发生变化等。</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w:t>
      </w:r>
      <w:r w:rsidRPr="004742E9">
        <w:rPr>
          <w:rFonts w:hint="eastAsia"/>
          <w:sz w:val="18"/>
          <w:szCs w:val="18"/>
        </w:rPr>
        <w:lastRenderedPageBreak/>
        <w:t>时期内经济形势和经营环境存在不利变化，但未必一定降低借款人履行其合同现金流量义务的能力，则该金融工具被视为具有较低的信用风险。</w:t>
      </w:r>
    </w:p>
    <w:p w:rsidR="005C49A8" w:rsidRDefault="005C49A8" w:rsidP="00C50357">
      <w:pPr>
        <w:widowControl/>
        <w:numPr>
          <w:ilvl w:val="0"/>
          <w:numId w:val="45"/>
        </w:numPr>
        <w:spacing w:before="100" w:beforeAutospacing="1" w:after="100" w:afterAutospacing="1"/>
        <w:divId w:val="919800037"/>
        <w:rPr>
          <w:sz w:val="18"/>
          <w:szCs w:val="18"/>
        </w:rPr>
      </w:pPr>
      <w:r>
        <w:rPr>
          <w:rFonts w:hint="eastAsia"/>
          <w:sz w:val="18"/>
          <w:szCs w:val="18"/>
        </w:rPr>
        <w:t>已发生信用减值的金融资产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发行方或债务人发生重大财务困难；</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债务人违反合同，如偿付利息或本金违约或逾期等；</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债权人出于与债务人财务困难有关的经济或合同考虑，给予债务人在任何其他情况下都不会做出的让步；</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债务人很可能破产或进行其他财务重组；</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发行方或债务人财务困难导致该金融资产的活跃市场消失；</w:t>
      </w:r>
    </w:p>
    <w:p w:rsidR="005C49A8" w:rsidRDefault="005C49A8" w:rsidP="00C50357">
      <w:pPr>
        <w:widowControl/>
        <w:numPr>
          <w:ilvl w:val="1"/>
          <w:numId w:val="46"/>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以大幅折扣购买或源生一项金融资产，该折扣反映了发生信用损失的事实。</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金融资产发生信用减值，有可能是多个事件的共同作用所致，未必是可单独识别的事件所致。</w:t>
      </w:r>
    </w:p>
    <w:p w:rsidR="005C49A8" w:rsidRDefault="005C49A8" w:rsidP="00C50357">
      <w:pPr>
        <w:widowControl/>
        <w:numPr>
          <w:ilvl w:val="0"/>
          <w:numId w:val="47"/>
        </w:numPr>
        <w:spacing w:before="100" w:beforeAutospacing="1" w:after="100" w:afterAutospacing="1"/>
        <w:divId w:val="919800037"/>
        <w:rPr>
          <w:sz w:val="18"/>
          <w:szCs w:val="18"/>
        </w:rPr>
      </w:pPr>
      <w:r>
        <w:rPr>
          <w:rFonts w:hint="eastAsia"/>
          <w:sz w:val="18"/>
          <w:szCs w:val="18"/>
        </w:rPr>
        <w:t>预期信用损失的确定</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本公司基于单项和组合评估金融工具的预期信用损失，在评估预期信用损失时，考虑有关过去事项、当前状况以及未来经济状况预测的合理且有依据的信息。</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以共同信用风险特征为依据，将金融工具分为不同组合。本公司采用的共同信用风险特征包括：金融工具类型、信用风险评级、账龄组合、逾期账龄组合、合同结算周期、债务人所处行业等。相关金融工具的单项评估标准和组合信用风险特征详见相关金融工具的会计政策。</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本公司按照下列方法确定相关金融工具的预期信用损失：</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1</w:t>
      </w:r>
      <w:r w:rsidRPr="004742E9">
        <w:rPr>
          <w:rFonts w:hint="eastAsia"/>
          <w:sz w:val="18"/>
          <w:szCs w:val="18"/>
        </w:rPr>
        <w:t>）对于金融资产，信用损失为本公司应收取的合同现金流量与预期收取的现金流量之间差额的现值。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2</w:t>
      </w:r>
      <w:r w:rsidRPr="004742E9">
        <w:rPr>
          <w:rFonts w:hint="eastAsia"/>
          <w:sz w:val="18"/>
          <w:szCs w:val="18"/>
        </w:rPr>
        <w:t>）对于租赁应收款项，信用损失为本公司应收取的合同现金流量与预期收取的现金流量之间差额的现值。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3</w:t>
      </w:r>
      <w:r w:rsidRPr="004742E9">
        <w:rPr>
          <w:rFonts w:hint="eastAsia"/>
          <w:sz w:val="18"/>
          <w:szCs w:val="18"/>
        </w:rPr>
        <w:t>）对于财务担保合同，信用损失为本公司就该合同持有人发生的信用损失向其做出赔付的预计付款额，减去本公司预期向该合同持有人、债务人或任何其他方收取的金额之间差额的现值。</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sz w:val="18"/>
          <w:szCs w:val="18"/>
        </w:rPr>
        <w:t>4</w:t>
      </w:r>
      <w:r w:rsidRPr="004742E9">
        <w:rPr>
          <w:rFonts w:hint="eastAsia"/>
          <w:sz w:val="18"/>
          <w:szCs w:val="18"/>
        </w:rPr>
        <w:t>）对于资产负债表日已发生信用减值但并非购买或源生已发生信用减值的金融资产，信用损失为该金融资产账面余额与按原实际利率折现的估计未来现金流量的现值之间的差额。</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rsidR="005C49A8" w:rsidRDefault="005C49A8" w:rsidP="00C50357">
      <w:pPr>
        <w:widowControl/>
        <w:numPr>
          <w:ilvl w:val="0"/>
          <w:numId w:val="48"/>
        </w:numPr>
        <w:spacing w:before="100" w:beforeAutospacing="1" w:after="100" w:afterAutospacing="1"/>
        <w:divId w:val="919800037"/>
        <w:rPr>
          <w:sz w:val="18"/>
          <w:szCs w:val="18"/>
        </w:rPr>
      </w:pPr>
      <w:r>
        <w:rPr>
          <w:rFonts w:hint="eastAsia"/>
          <w:sz w:val="18"/>
          <w:szCs w:val="18"/>
        </w:rPr>
        <w:lastRenderedPageBreak/>
        <w:t>减记金融资产</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当本公司不再合理预期金融资产合同现金流量能够全部或部分收回的，直接减记该金融资产的账面余额。这种减记构成相关金融资产的终止确认。</w:t>
      </w:r>
    </w:p>
    <w:p w:rsidR="005C49A8" w:rsidRDefault="005C49A8" w:rsidP="00C50357">
      <w:pPr>
        <w:widowControl/>
        <w:numPr>
          <w:ilvl w:val="0"/>
          <w:numId w:val="49"/>
        </w:numPr>
        <w:spacing w:before="100" w:beforeAutospacing="1" w:after="100" w:afterAutospacing="1"/>
        <w:divId w:val="919800037"/>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金融资产及金融负债的抵销</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金融资产和金融负债在资产负债表内分别列示，没有相互抵销。但是，同时满足下列条件的，以相互抵销后的净额在资产负债表内列示：</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1</w:t>
      </w:r>
      <w:r w:rsidRPr="004742E9">
        <w:rPr>
          <w:rFonts w:hint="eastAsia"/>
          <w:sz w:val="18"/>
          <w:szCs w:val="18"/>
        </w:rPr>
        <w:t>）本公司具有抵销已确认金额的法定权利，且该种法定权利是当前可执行的；</w:t>
      </w:r>
    </w:p>
    <w:p w:rsidR="005C49A8" w:rsidRPr="004742E9" w:rsidRDefault="005C49A8">
      <w:pPr>
        <w:pStyle w:val="a3"/>
        <w:spacing w:before="0" w:beforeAutospacing="0" w:after="0" w:afterAutospacing="0" w:line="360" w:lineRule="auto"/>
        <w:ind w:firstLine="420"/>
        <w:jc w:val="both"/>
        <w:divId w:val="919800037"/>
        <w:rPr>
          <w:sz w:val="18"/>
          <w:szCs w:val="18"/>
        </w:rPr>
      </w:pPr>
      <w:r w:rsidRPr="004742E9">
        <w:rPr>
          <w:rFonts w:hint="eastAsia"/>
          <w:sz w:val="18"/>
          <w:szCs w:val="18"/>
        </w:rPr>
        <w:t>（</w:t>
      </w:r>
      <w:r w:rsidRPr="004742E9">
        <w:rPr>
          <w:sz w:val="18"/>
          <w:szCs w:val="18"/>
        </w:rPr>
        <w:t>2</w:t>
      </w:r>
      <w:r w:rsidRPr="004742E9">
        <w:rPr>
          <w:rFonts w:hint="eastAsia"/>
          <w:sz w:val="18"/>
          <w:szCs w:val="18"/>
        </w:rPr>
        <w:t>）本公司计划以净额结算，或同时变现该金融资产和清偿该金融负债。</w:t>
      </w:r>
    </w:p>
    <w:p w:rsidR="008820E4" w:rsidRDefault="005C49A8">
      <w:pPr>
        <w:pStyle w:val="3"/>
        <w:spacing w:line="280" w:lineRule="exact"/>
        <w:jc w:val="left"/>
        <w:rPr>
          <w:rFonts w:ascii="宋体" w:hAnsi="宋体" w:cs="宋体"/>
          <w:b/>
          <w:bCs/>
        </w:rPr>
      </w:pPr>
      <w:bookmarkStart w:id="27" w:name="_Toc989018"/>
      <w:r>
        <w:rPr>
          <w:rFonts w:ascii="宋体" w:hAnsi="宋体" w:cs="宋体"/>
          <w:b/>
          <w:bCs/>
        </w:rPr>
        <w:t>12、应收票据</w:t>
      </w:r>
      <w:bookmarkEnd w:id="27"/>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本公司在成为金融工具合同的一方时确认一项金融资产或金融负债。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实际利率法是指计算金融资产或金融负债的摊余成本以及将利息收入或利息费用分摊计入各会计期间的方法。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实际利率，是指将金融资产或金融负债在预计存续期的估计未来现金流量，折现为该金融资产账面余额或该金融负债摊余成本所使用的利率。在确定实际利率时，在考虑金融资产或金融负债所有合同条款</w:t>
      </w:r>
      <w:r w:rsidRPr="004742E9">
        <w:rPr>
          <w:sz w:val="18"/>
          <w:szCs w:val="18"/>
        </w:rPr>
        <w:t>(</w:t>
      </w:r>
      <w:r w:rsidRPr="004742E9">
        <w:rPr>
          <w:rFonts w:hint="eastAsia"/>
          <w:sz w:val="18"/>
          <w:szCs w:val="18"/>
        </w:rPr>
        <w:t>如提前还款、展期、看涨期权或其他类似期权等</w:t>
      </w:r>
      <w:r w:rsidRPr="004742E9">
        <w:rPr>
          <w:sz w:val="18"/>
          <w:szCs w:val="18"/>
        </w:rPr>
        <w:t>)</w:t>
      </w:r>
      <w:r w:rsidRPr="004742E9">
        <w:rPr>
          <w:rFonts w:hint="eastAsia"/>
          <w:sz w:val="18"/>
          <w:szCs w:val="18"/>
        </w:rPr>
        <w:t>的基础上估计预期现金流量，但不考虑预期信用损失。</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w:t>
      </w:r>
      <w:r w:rsidRPr="004742E9">
        <w:rPr>
          <w:sz w:val="18"/>
          <w:szCs w:val="18"/>
        </w:rPr>
        <w:t>(</w:t>
      </w:r>
      <w:r w:rsidRPr="004742E9">
        <w:rPr>
          <w:rFonts w:hint="eastAsia"/>
          <w:sz w:val="18"/>
          <w:szCs w:val="18"/>
        </w:rPr>
        <w:t>仅适用于金融资产</w:t>
      </w:r>
      <w:r w:rsidRPr="004742E9">
        <w:rPr>
          <w:sz w:val="18"/>
          <w:szCs w:val="18"/>
        </w:rPr>
        <w:t>)</w:t>
      </w:r>
      <w:r w:rsidRPr="004742E9">
        <w:rPr>
          <w:rFonts w:hint="eastAsia"/>
          <w:sz w:val="18"/>
          <w:szCs w:val="18"/>
        </w:rPr>
        <w:t>。</w:t>
      </w:r>
    </w:p>
    <w:p w:rsidR="005C49A8" w:rsidRDefault="005C49A8" w:rsidP="00C50357">
      <w:pPr>
        <w:widowControl/>
        <w:numPr>
          <w:ilvl w:val="0"/>
          <w:numId w:val="5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金融资产的分类、确认和计量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本公司根据所管理金融资产的业务模式和金融资产的合同现金流量特征，将金融资产划分为以下三类：</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以摊余成本计量的金融资产。</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以公允价值计量且其变动计入其他综合收益的金融资产。</w:t>
      </w:r>
    </w:p>
    <w:p w:rsidR="005C49A8" w:rsidRDefault="005C49A8" w:rsidP="00C50357">
      <w:pPr>
        <w:widowControl/>
        <w:numPr>
          <w:ilvl w:val="1"/>
          <w:numId w:val="51"/>
        </w:numPr>
        <w:tabs>
          <w:tab w:val="clear" w:pos="1440"/>
          <w:tab w:val="num" w:pos="851"/>
        </w:tabs>
        <w:spacing w:before="100" w:beforeAutospacing="1" w:after="100" w:afterAutospacing="1"/>
        <w:ind w:left="426" w:hanging="426"/>
        <w:divId w:val="1174419743"/>
        <w:rPr>
          <w:sz w:val="18"/>
          <w:szCs w:val="18"/>
        </w:rPr>
      </w:pPr>
      <w:r>
        <w:rPr>
          <w:rFonts w:hint="eastAsia"/>
          <w:sz w:val="18"/>
          <w:szCs w:val="18"/>
        </w:rPr>
        <w:t>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金融资产在初始确认时以公允价值计量，但是因销售商品或提供服务等产生的应收账款或应收票据未包含重大融资成分或不考虑不超过一年的融资成分的，按照交易价格进行初始计量。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对于以公允价值计量且其变动计入当期损益的金融资产，相关交易费用直接计入当期损益，其他类别的金融资产相关交易费用计入其初始确认金额。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金融资产的后续计量取决于其分类，当且仅当本公司改变管理金融资产的业务模式时，才对所有受影响的相关金融资产进行重分类。</w:t>
      </w:r>
    </w:p>
    <w:p w:rsidR="005C49A8" w:rsidRDefault="005C49A8" w:rsidP="00C50357">
      <w:pPr>
        <w:widowControl/>
        <w:numPr>
          <w:ilvl w:val="0"/>
          <w:numId w:val="52"/>
        </w:numPr>
        <w:spacing w:before="100" w:beforeAutospacing="1" w:after="100" w:afterAutospacing="1"/>
        <w:divId w:val="1174419743"/>
        <w:rPr>
          <w:sz w:val="18"/>
          <w:szCs w:val="18"/>
        </w:rPr>
      </w:pPr>
      <w:r>
        <w:rPr>
          <w:rFonts w:hint="eastAsia"/>
          <w:sz w:val="18"/>
          <w:szCs w:val="18"/>
        </w:rPr>
        <w:t>分类为以摊余成本计量的金融资产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的合同条款规定在特定日期产生的现金流量仅为对本金和以未偿付本金金额为基础的利息的支付，且管理该金融资产的业务模式是以收取合同现金流量为目标，则本公司将该金融资产分类为以摊余成本计量的金融资产。本公司分类为以摊余成本计量的金融资产包括货币资金、应收票据、应收账款、其他应收款、长期应收款等。</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实际利率法确认利息收入，按摊余成本进行后续计量，其发生减值时或终止确认、修改产生的利得或损失，计入当期损益。除下列情况外，本公司根据金融资产账面余额乘以实际利率计算确定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1</w:t>
      </w:r>
      <w:r w:rsidRPr="004742E9">
        <w:rPr>
          <w:rFonts w:hint="eastAsia"/>
          <w:sz w:val="18"/>
          <w:szCs w:val="18"/>
        </w:rPr>
        <w:t>）对于购入或源生的已发生信用减值的金融资产，本公司自初始确认起，按照该金融资产的摊余成本和经信用调整的实际利率计算确定其利息收入。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2</w:t>
      </w:r>
      <w:r w:rsidRPr="004742E9">
        <w:rPr>
          <w:rFonts w:hint="eastAsia"/>
          <w:sz w:val="18"/>
          <w:szCs w:val="18"/>
        </w:rPr>
        <w:t>）</w:t>
      </w:r>
      <w:r w:rsidRPr="004742E9">
        <w:rPr>
          <w:sz w:val="18"/>
          <w:szCs w:val="18"/>
        </w:rPr>
        <w:t xml:space="preserve"> </w:t>
      </w:r>
      <w:r w:rsidRPr="004742E9">
        <w:rPr>
          <w:rFonts w:hint="eastAsia"/>
          <w:sz w:val="18"/>
          <w:szCs w:val="18"/>
        </w:rPr>
        <w:t>对于购入或源生的未发生信用减值、但在后续期间成为已发生信用减值的金融资产，本公司在后续期间，按照该金融资产的摊余成本和实际利率计算确定其利息收入。若该金融工具在后续期间因其信用风险有所改善而不再存在信用减值，本公司转按实际利率乘以该金融资产账面余额来计算确定利息收入。</w:t>
      </w:r>
    </w:p>
    <w:p w:rsidR="005C49A8" w:rsidRDefault="005C49A8" w:rsidP="00C50357">
      <w:pPr>
        <w:widowControl/>
        <w:numPr>
          <w:ilvl w:val="0"/>
          <w:numId w:val="53"/>
        </w:numPr>
        <w:spacing w:before="100" w:beforeAutospacing="1" w:after="100" w:afterAutospacing="1"/>
        <w:divId w:val="1174419743"/>
        <w:rPr>
          <w:sz w:val="18"/>
          <w:szCs w:val="18"/>
        </w:rPr>
      </w:pPr>
      <w:r>
        <w:rPr>
          <w:rFonts w:hint="eastAsia"/>
          <w:sz w:val="18"/>
          <w:szCs w:val="18"/>
        </w:rPr>
        <w:t>分类为以公允价值计量且其变动计入其他综合收益的金融资产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的合同条款规定在特定日期产生的现金流量仅为对本金和以未偿付本金金额为基础的利息的支付，且管理该金融资产的业务模式既以收取合同现金流量为目标又以出售该金融资产为目标，则本公司将该金融资产分类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rsidR="005C49A8" w:rsidRDefault="005C49A8" w:rsidP="00C50357">
      <w:pPr>
        <w:widowControl/>
        <w:numPr>
          <w:ilvl w:val="0"/>
          <w:numId w:val="54"/>
        </w:numPr>
        <w:spacing w:before="100" w:beforeAutospacing="1" w:after="100" w:afterAutospacing="1"/>
        <w:divId w:val="1174419743"/>
        <w:rPr>
          <w:sz w:val="18"/>
          <w:szCs w:val="18"/>
        </w:rPr>
      </w:pPr>
      <w:r>
        <w:rPr>
          <w:rFonts w:hint="eastAsia"/>
          <w:sz w:val="18"/>
          <w:szCs w:val="18"/>
        </w:rPr>
        <w:t>指定为以公允价值计量且其变动计入其他综合收益的金融资产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在初始确认时，本公司可以单项金融资产为基础不可撤销地将非交易性权益工具投资指定为以公允价值计量且其变动计入其他综合收益的金融资产。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rsidR="005C49A8" w:rsidRDefault="005C49A8" w:rsidP="00C50357">
      <w:pPr>
        <w:widowControl/>
        <w:numPr>
          <w:ilvl w:val="0"/>
          <w:numId w:val="55"/>
        </w:numPr>
        <w:spacing w:before="100" w:beforeAutospacing="1" w:after="100" w:afterAutospacing="1"/>
        <w:divId w:val="1174419743"/>
        <w:rPr>
          <w:sz w:val="18"/>
          <w:szCs w:val="18"/>
        </w:rPr>
      </w:pPr>
      <w:r>
        <w:rPr>
          <w:rFonts w:hint="eastAsia"/>
          <w:sz w:val="18"/>
          <w:szCs w:val="18"/>
        </w:rPr>
        <w:t>分类为以公允价值计量且其变动计入当期损益的金融资产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不符合分类为以摊余成本计量或以公允价值计量且其变动计入其他综合收益的金融资产条件、亦不指定为以公允价值计量且其变动计入其他综合收益的金融资产均分类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56"/>
        </w:numPr>
        <w:spacing w:before="100" w:beforeAutospacing="1" w:after="100" w:afterAutospacing="1"/>
        <w:divId w:val="1174419743"/>
        <w:rPr>
          <w:sz w:val="18"/>
          <w:szCs w:val="18"/>
        </w:rPr>
      </w:pPr>
      <w:r>
        <w:rPr>
          <w:rFonts w:hint="eastAsia"/>
          <w:sz w:val="18"/>
          <w:szCs w:val="18"/>
        </w:rPr>
        <w:t>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在初始确认时，本公司为了消除或显著减少会计错配，可以单项金融资产为基础不可撤销地将金融资产指定为以公允价值计量且其变动计入当期损益的金融资产。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混合合同包含一项或多项嵌入衍生工具，且其主合同不属于以上金融资产的，本公司可以将其整体指定为以公允价值计量且其变动计入当期损益的金融工具。但下列情况除外：</w:t>
      </w:r>
      <w:r w:rsidRPr="004742E9">
        <w:rPr>
          <w:sz w:val="18"/>
          <w:szCs w:val="18"/>
        </w:rPr>
        <w:t xml:space="preserve"> </w:t>
      </w:r>
    </w:p>
    <w:p w:rsidR="005C49A8" w:rsidRDefault="005C49A8" w:rsidP="00C50357">
      <w:pPr>
        <w:widowControl/>
        <w:numPr>
          <w:ilvl w:val="0"/>
          <w:numId w:val="5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嵌入衍生工具不会对混合合同的现金流量产生重大改变。</w:t>
      </w:r>
    </w:p>
    <w:p w:rsidR="005C49A8" w:rsidRDefault="005C49A8" w:rsidP="00C50357">
      <w:pPr>
        <w:widowControl/>
        <w:numPr>
          <w:ilvl w:val="0"/>
          <w:numId w:val="5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在初次确定类似的混合合同是否需要分拆时，几乎不需分析就能明确其包含的嵌入衍生工具不应分拆。如嵌入贷款的提前还款权，允许持有人以接近摊余成本的金额提前偿还贷款，该提前还款权不需要分拆。</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本公司对此类金融资产采用公允价值进行后续计量，将公允价值变动形成的利得或损失以及与此类金融资产相关的股利和利息收入计入当期损益。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本公司对此类金融资产根据其流动性在交易性金融资产、其他非流动金融资产项目列报。</w:t>
      </w:r>
    </w:p>
    <w:p w:rsidR="005C49A8" w:rsidRDefault="005C49A8" w:rsidP="00C50357">
      <w:pPr>
        <w:widowControl/>
        <w:numPr>
          <w:ilvl w:val="0"/>
          <w:numId w:val="58"/>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金融负债的分类、确认和计量</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期工具的衍生工具。</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金融负债在初始确认时以公允价值计量。对于以公允价值计量且其变动计入当期损益的金融负债，相关的交易费用直接计入当期损益；对于其他类别的金融负债，相关交易费用计入初始确认金额。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金融负债的后续计量取决于其分类：</w:t>
      </w:r>
    </w:p>
    <w:p w:rsidR="005C49A8" w:rsidRDefault="005C49A8" w:rsidP="00C50357">
      <w:pPr>
        <w:widowControl/>
        <w:numPr>
          <w:ilvl w:val="0"/>
          <w:numId w:val="59"/>
        </w:numPr>
        <w:spacing w:before="100" w:beforeAutospacing="1" w:after="100" w:afterAutospacing="1"/>
        <w:divId w:val="1174419743"/>
        <w:rPr>
          <w:sz w:val="18"/>
          <w:szCs w:val="18"/>
        </w:rPr>
      </w:pPr>
      <w:r>
        <w:rPr>
          <w:rFonts w:hint="eastAsia"/>
          <w:sz w:val="18"/>
          <w:szCs w:val="18"/>
        </w:rPr>
        <w:t>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此类金融负债包括交易性金融负债（含属于金融负债的衍生工具）和初始确认时指定为以公允价值计量且其变动计入当期损益的金融负债。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期工具的衍生工具、符合财务担保合同的衍生工具除外。交易性金融负债（含属于金融负债的衍生工具），按照公允价值进行后续计量，除与套期会计有关外，所有公允价值变动均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在初始确认时，为了提供更相关的会计信息，本公司将满足下列条件之一的金融负债不可撤销地指定为以公允价值计量且其变动计入当期损益的金融负债：</w:t>
      </w:r>
    </w:p>
    <w:p w:rsidR="005C49A8" w:rsidRDefault="005C49A8" w:rsidP="00C50357">
      <w:pPr>
        <w:widowControl/>
        <w:numPr>
          <w:ilvl w:val="0"/>
          <w:numId w:val="6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能够消除或显著减少会计错配。</w:t>
      </w:r>
    </w:p>
    <w:p w:rsidR="005C49A8" w:rsidRDefault="005C49A8" w:rsidP="00C50357">
      <w:pPr>
        <w:widowControl/>
        <w:numPr>
          <w:ilvl w:val="0"/>
          <w:numId w:val="60"/>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rsidR="005C49A8" w:rsidRDefault="005C49A8" w:rsidP="00C50357">
      <w:pPr>
        <w:widowControl/>
        <w:numPr>
          <w:ilvl w:val="0"/>
          <w:numId w:val="61"/>
        </w:numPr>
        <w:spacing w:before="100" w:beforeAutospacing="1" w:after="100" w:afterAutospacing="1"/>
        <w:divId w:val="1174419743"/>
        <w:rPr>
          <w:sz w:val="18"/>
          <w:szCs w:val="18"/>
        </w:rPr>
      </w:pPr>
      <w:r>
        <w:rPr>
          <w:rFonts w:hint="eastAsia"/>
          <w:sz w:val="18"/>
          <w:szCs w:val="18"/>
        </w:rPr>
        <w:t>其他金融负债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除下列各项外，公司将金融负债分类为以摊余成本计量的金融负债，对此类金融负债采用实际利率法，按照摊余成本进行后续计量，终止确认或摊销产生的利得或损失计入当期损益：</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以公允价值计量且其变动计入当期损益的金融负债。</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金融资产转移不符合终止确认条件或继续涉入被转移金融资产所形成的金融负债。</w:t>
      </w:r>
    </w:p>
    <w:p w:rsidR="005C49A8" w:rsidRDefault="005C49A8" w:rsidP="00C50357">
      <w:pPr>
        <w:widowControl/>
        <w:numPr>
          <w:ilvl w:val="0"/>
          <w:numId w:val="6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不属于本条前两类情形的财务担保合同，以及不属于本条第</w:t>
      </w:r>
      <w:r>
        <w:rPr>
          <w:rFonts w:ascii="Arial" w:hAnsi="Arial" w:cs="Arial"/>
          <w:sz w:val="18"/>
          <w:szCs w:val="18"/>
        </w:rPr>
        <w:t>1</w:t>
      </w:r>
      <w:r>
        <w:rPr>
          <w:rFonts w:hint="eastAsia"/>
          <w:sz w:val="18"/>
          <w:szCs w:val="18"/>
        </w:rPr>
        <w:t>）类情形的以低于市场利率贷款的贷款承诺。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rsidR="005C49A8" w:rsidRDefault="005C49A8" w:rsidP="00C50357">
      <w:pPr>
        <w:widowControl/>
        <w:numPr>
          <w:ilvl w:val="0"/>
          <w:numId w:val="63"/>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金融资产和金融负债的终止确认</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1</w:t>
      </w:r>
      <w:r w:rsidRPr="004742E9">
        <w:rPr>
          <w:rFonts w:hint="eastAsia"/>
          <w:sz w:val="18"/>
          <w:szCs w:val="18"/>
        </w:rPr>
        <w:t>）金融资产满足下列条件之一的，终止确认金融资产，即从其账户和资产负债表内予以转销：</w:t>
      </w:r>
    </w:p>
    <w:p w:rsidR="005C49A8" w:rsidRDefault="005C49A8" w:rsidP="00C50357">
      <w:pPr>
        <w:widowControl/>
        <w:numPr>
          <w:ilvl w:val="0"/>
          <w:numId w:val="64"/>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收取该金融资产现金流量的合同权利终止。</w:t>
      </w:r>
    </w:p>
    <w:p w:rsidR="005C49A8" w:rsidRDefault="005C49A8" w:rsidP="00C50357">
      <w:pPr>
        <w:widowControl/>
        <w:numPr>
          <w:ilvl w:val="0"/>
          <w:numId w:val="64"/>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该金融资产已转移，且该转移满足金融资产终止确认的规定。</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2</w:t>
      </w:r>
      <w:r w:rsidRPr="004742E9">
        <w:rPr>
          <w:rFonts w:hint="eastAsia"/>
          <w:sz w:val="18"/>
          <w:szCs w:val="18"/>
        </w:rPr>
        <w:t>）金融负债终止确认条件</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金融负债（或其一部分）的现时义务已经解除的，则终止确认该金融负债（或该部分金融负债）。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计入当期损益。</w:t>
      </w:r>
    </w:p>
    <w:p w:rsidR="005C49A8" w:rsidRDefault="005C49A8" w:rsidP="00C50357">
      <w:pPr>
        <w:widowControl/>
        <w:numPr>
          <w:ilvl w:val="0"/>
          <w:numId w:val="65"/>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金融资产转移的确认依据和计量方法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本公司在发生金融资产转移时，评估其保留金融资产所有权上的风险和报酬的程度，并分别下列情形处理：</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转移了金融资产所有权上几乎所有风险和报酬的，则终止确认该金融资产，并将转移中产生或保留的权利和义务单独确认为资产或负债。</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保留了金融资产所有权上几乎所有风险和报酬的，则继续确认该金融资产。</w:t>
      </w:r>
    </w:p>
    <w:p w:rsidR="005C49A8" w:rsidRDefault="005C49A8" w:rsidP="00C50357">
      <w:pPr>
        <w:widowControl/>
        <w:numPr>
          <w:ilvl w:val="1"/>
          <w:numId w:val="66"/>
        </w:numPr>
        <w:tabs>
          <w:tab w:val="clear" w:pos="1440"/>
          <w:tab w:val="num" w:pos="1276"/>
        </w:tabs>
        <w:spacing w:before="100" w:beforeAutospacing="1" w:after="100" w:afterAutospacing="1"/>
        <w:ind w:left="426"/>
        <w:divId w:val="1174419743"/>
        <w:rPr>
          <w:sz w:val="18"/>
          <w:szCs w:val="18"/>
        </w:rPr>
      </w:pPr>
      <w:r>
        <w:rPr>
          <w:rFonts w:hint="eastAsia"/>
          <w:sz w:val="18"/>
          <w:szCs w:val="18"/>
        </w:rPr>
        <w:t>既没有转移也没有保留金融资产所有权上几乎所有风险和报酬的（即除本条（</w:t>
      </w:r>
      <w:r>
        <w:rPr>
          <w:rFonts w:ascii="Arial" w:hAnsi="Arial" w:cs="Arial"/>
          <w:sz w:val="18"/>
          <w:szCs w:val="18"/>
        </w:rPr>
        <w:t>1</w:t>
      </w:r>
      <w:r>
        <w:rPr>
          <w:rFonts w:hint="eastAsia"/>
          <w:sz w:val="18"/>
          <w:szCs w:val="18"/>
        </w:rPr>
        <w:t>）、（</w:t>
      </w:r>
      <w:r>
        <w:rPr>
          <w:rFonts w:ascii="Arial" w:hAnsi="Arial" w:cs="Arial"/>
          <w:sz w:val="18"/>
          <w:szCs w:val="18"/>
        </w:rPr>
        <w:t>2</w:t>
      </w:r>
      <w:r>
        <w:rPr>
          <w:rFonts w:hint="eastAsia"/>
          <w:sz w:val="18"/>
          <w:szCs w:val="18"/>
        </w:rPr>
        <w:t>）之外的其他情形），则根据其是否保留了对金融资产的控制，分别下列情形处理：</w:t>
      </w:r>
    </w:p>
    <w:p w:rsidR="005C49A8" w:rsidRDefault="005C49A8" w:rsidP="00C50357">
      <w:pPr>
        <w:widowControl/>
        <w:numPr>
          <w:ilvl w:val="0"/>
          <w:numId w:val="6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未保留对该金融资产控制的，则终止确认该金融资产，并将转移中产生或保留的权利和义务单独确认为资产或负债。</w:t>
      </w:r>
    </w:p>
    <w:p w:rsidR="005C49A8" w:rsidRDefault="005C49A8" w:rsidP="00C50357">
      <w:pPr>
        <w:widowControl/>
        <w:numPr>
          <w:ilvl w:val="0"/>
          <w:numId w:val="67"/>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在判断金融资产转移是否满足上述金融资产终止确认条件时，采用实质重于形式的原则。公司将金融资产转移区分为金融资产整体转移和部分转移。</w:t>
      </w:r>
    </w:p>
    <w:p w:rsidR="005C49A8" w:rsidRDefault="005C49A8" w:rsidP="00C50357">
      <w:pPr>
        <w:widowControl/>
        <w:numPr>
          <w:ilvl w:val="0"/>
          <w:numId w:val="68"/>
        </w:numPr>
        <w:spacing w:before="100" w:beforeAutospacing="1" w:after="100" w:afterAutospacing="1"/>
        <w:divId w:val="1174419743"/>
        <w:rPr>
          <w:sz w:val="18"/>
          <w:szCs w:val="18"/>
        </w:rPr>
      </w:pPr>
      <w:r>
        <w:rPr>
          <w:rFonts w:hint="eastAsia"/>
          <w:sz w:val="18"/>
          <w:szCs w:val="18"/>
        </w:rPr>
        <w:lastRenderedPageBreak/>
        <w:t>金融资产整体转移满足终止确认条件的，将下列两项金额的差额计入当期损益：</w:t>
      </w:r>
    </w:p>
    <w:p w:rsidR="005C49A8" w:rsidRDefault="005C49A8" w:rsidP="00C50357">
      <w:pPr>
        <w:widowControl/>
        <w:numPr>
          <w:ilvl w:val="0"/>
          <w:numId w:val="69"/>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被转移金融资产在终止确认日的账面价值。</w:t>
      </w:r>
    </w:p>
    <w:p w:rsidR="005C49A8" w:rsidRDefault="005C49A8" w:rsidP="00C50357">
      <w:pPr>
        <w:widowControl/>
        <w:numPr>
          <w:ilvl w:val="0"/>
          <w:numId w:val="69"/>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因转移金融资产而收到的对价，与原直接计入其他综合收益的公允价值变动累计额中对应终止确认部分的金额（涉及转移的金融资产为以公允价值计量且其变动计入其他综合收益的金融资产）之和。</w:t>
      </w:r>
    </w:p>
    <w:p w:rsidR="005C49A8" w:rsidRDefault="005C49A8" w:rsidP="00C50357">
      <w:pPr>
        <w:widowControl/>
        <w:numPr>
          <w:ilvl w:val="0"/>
          <w:numId w:val="70"/>
        </w:numPr>
        <w:spacing w:before="100" w:beforeAutospacing="1" w:after="100" w:afterAutospacing="1"/>
        <w:divId w:val="1174419743"/>
        <w:rPr>
          <w:sz w:val="18"/>
          <w:szCs w:val="18"/>
        </w:rPr>
      </w:pP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rsidR="005C49A8" w:rsidRDefault="005C49A8" w:rsidP="00C50357">
      <w:pPr>
        <w:widowControl/>
        <w:numPr>
          <w:ilvl w:val="0"/>
          <w:numId w:val="7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终止确认部分在终止确认日的账面价值。</w:t>
      </w:r>
    </w:p>
    <w:p w:rsidR="005C49A8" w:rsidRDefault="005C49A8" w:rsidP="00C50357">
      <w:pPr>
        <w:widowControl/>
        <w:numPr>
          <w:ilvl w:val="0"/>
          <w:numId w:val="7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终止确认部分收到的对价，与原计入其他综合收益的公允价值变动累计额中对应终止确认部分的金额（涉及转移的金融资产为以公允价值计量且其变动计入其他综合收益的金融资产）之和。</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金融资产转移不满足终止确认条件的，继续确认该金融资产，所收到的对价确认为一项金融负债。</w:t>
      </w:r>
    </w:p>
    <w:p w:rsidR="005C49A8" w:rsidRDefault="005C49A8" w:rsidP="00C50357">
      <w:pPr>
        <w:widowControl/>
        <w:numPr>
          <w:ilvl w:val="0"/>
          <w:numId w:val="72"/>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金融资产和金融负债公允价值的确定方法</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初始取得或衍生的金融资产或承担的金融负债，以市场交易价格作为确定其公允价值的基础。</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5C49A8" w:rsidRDefault="005C49A8" w:rsidP="00C50357">
      <w:pPr>
        <w:widowControl/>
        <w:numPr>
          <w:ilvl w:val="0"/>
          <w:numId w:val="73"/>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本公司对以摊余成本计量的金融资产以预期信用损失为基础进行减值会计处理并确认损失准备。</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对于购买或源生的已发生信用减值的金融资产，在资产负债表日仅将自初始确认后整个存续期内预期信用损失的累计变动确认为损失准备。在每个资产负债表日，将整个存续期内预期信用损失的变动金</w:t>
      </w:r>
      <w:r>
        <w:rPr>
          <w:rFonts w:hint="eastAsia"/>
          <w:sz w:val="21"/>
          <w:szCs w:val="21"/>
        </w:rPr>
        <w:t>额作为减值损失或利得计入</w:t>
      </w:r>
      <w:r w:rsidRPr="004742E9">
        <w:rPr>
          <w:rFonts w:hint="eastAsia"/>
          <w:sz w:val="18"/>
          <w:szCs w:val="18"/>
        </w:rPr>
        <w:lastRenderedPageBreak/>
        <w:t>当期损益。即使该资产负债表日确定的整个存续期内预期信用损失小于初始确认时估计现金流量所反映的预期信用损失的金额，也将预期信用损失的有利变动确认为减值利得。</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除上述采用简化计量方法和购买或源生的已发生信用减值以外的其他金融资产，本公司在每个资产负债表日评估相关金融工具的信用风险自初始确认后是否已显著增加，并按照下列情形分别计量其损失准备、确认预期信用损失及其变动：</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如果该金融工具的信用风险自初始确认后并未显著增加，处于第一阶段，则按照相当于该金融工具未来</w:t>
      </w:r>
      <w:r>
        <w:rPr>
          <w:rFonts w:ascii="Arial" w:hAnsi="Arial" w:cs="Arial"/>
          <w:sz w:val="18"/>
          <w:szCs w:val="18"/>
        </w:rPr>
        <w:t>12</w:t>
      </w:r>
      <w:r>
        <w:rPr>
          <w:rFonts w:hint="eastAsia"/>
          <w:sz w:val="18"/>
          <w:szCs w:val="18"/>
        </w:rPr>
        <w:t>个月内预期信用损失的金额计量其损失准备，并按照账面余额和实际利率计算利息收入。</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rsidR="005C49A8" w:rsidRDefault="005C49A8" w:rsidP="00C50357">
      <w:pPr>
        <w:widowControl/>
        <w:numPr>
          <w:ilvl w:val="1"/>
          <w:numId w:val="74"/>
        </w:numPr>
        <w:tabs>
          <w:tab w:val="clear" w:pos="1440"/>
          <w:tab w:val="num" w:pos="1276"/>
        </w:tabs>
        <w:spacing w:before="100" w:beforeAutospacing="1" w:after="100" w:afterAutospacing="1"/>
        <w:ind w:left="426"/>
        <w:divId w:val="1174419743"/>
        <w:rPr>
          <w:sz w:val="18"/>
          <w:szCs w:val="18"/>
        </w:rPr>
      </w:pPr>
      <w:r>
        <w:rPr>
          <w:rFonts w:hint="eastAsia"/>
          <w:sz w:val="18"/>
          <w:szCs w:val="18"/>
        </w:rPr>
        <w:t>如果该金融工具自初始确认后已经发生信用减值的，处于第三阶段，本公司按照相当于该金融工具整个存续期内预期信用损失的金额计量其损失准备，并按照摊余成本和实际利率计算利息收入。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sidRPr="004742E9">
        <w:rPr>
          <w:sz w:val="18"/>
          <w:szCs w:val="18"/>
        </w:rPr>
        <w:t>12</w:t>
      </w:r>
      <w:r w:rsidRPr="004742E9">
        <w:rPr>
          <w:rFonts w:hint="eastAsia"/>
          <w:sz w:val="18"/>
          <w:szCs w:val="18"/>
        </w:rPr>
        <w:t>个月内预期信用损失的金额计量该金融工具的损失准备，由此形成的损失准备的转回金额作为减值利得计入当期损益。</w:t>
      </w:r>
    </w:p>
    <w:p w:rsidR="005C49A8" w:rsidRDefault="005C49A8" w:rsidP="00C50357">
      <w:pPr>
        <w:widowControl/>
        <w:numPr>
          <w:ilvl w:val="0"/>
          <w:numId w:val="75"/>
        </w:numPr>
        <w:spacing w:before="100" w:beforeAutospacing="1" w:after="100" w:afterAutospacing="1"/>
        <w:divId w:val="1174419743"/>
        <w:rPr>
          <w:sz w:val="18"/>
          <w:szCs w:val="18"/>
        </w:rPr>
      </w:pPr>
      <w:r>
        <w:rPr>
          <w:rFonts w:hint="eastAsia"/>
          <w:sz w:val="18"/>
          <w:szCs w:val="18"/>
        </w:rPr>
        <w:t>信用风险显著增加</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本公司在评估信用风险是否显著增加时会考虑如下因素：</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债务人经营成果实际或预期是否发生显著变化；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债务人所处的监管、经济或技术环境是否发生显著不利变化；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债务人预期表现和还款行为是否发生显著变化；</w:t>
      </w:r>
    </w:p>
    <w:p w:rsidR="005C49A8" w:rsidRDefault="005C49A8" w:rsidP="00C50357">
      <w:pPr>
        <w:widowControl/>
        <w:numPr>
          <w:ilvl w:val="0"/>
          <w:numId w:val="76"/>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本公司对金融工具信用管理方法是否发生变化等。</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rsidR="005C49A8" w:rsidRDefault="005C49A8" w:rsidP="00C50357">
      <w:pPr>
        <w:widowControl/>
        <w:numPr>
          <w:ilvl w:val="0"/>
          <w:numId w:val="77"/>
        </w:numPr>
        <w:spacing w:before="100" w:beforeAutospacing="1" w:after="100" w:afterAutospacing="1"/>
        <w:divId w:val="1174419743"/>
        <w:rPr>
          <w:sz w:val="18"/>
          <w:szCs w:val="18"/>
        </w:rPr>
      </w:pPr>
      <w:r>
        <w:rPr>
          <w:rFonts w:hint="eastAsia"/>
          <w:sz w:val="18"/>
          <w:szCs w:val="18"/>
        </w:rPr>
        <w:t>已发生信用减值的金融资产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发行方或债务人发生重大财务困难；</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债务人违反合同，如偿付利息或本金违约或逾期等；</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债权人出于与债务人财务困难有关的经济或合同考虑，给予债务人在任何其他情况下都不会做出的让步；</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债务人很可能破产或进行其他财务重组；</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发行方或债务人财务困难导致该金融资产的活跃市场消失；</w:t>
      </w:r>
    </w:p>
    <w:p w:rsidR="005C49A8" w:rsidRDefault="005C49A8" w:rsidP="00C50357">
      <w:pPr>
        <w:widowControl/>
        <w:numPr>
          <w:ilvl w:val="1"/>
          <w:numId w:val="78"/>
        </w:numPr>
        <w:tabs>
          <w:tab w:val="clear" w:pos="1440"/>
          <w:tab w:val="num" w:pos="1276"/>
        </w:tabs>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以大幅折扣购买或源生一项金融资产，该折扣反映了发生信用损失的事实。</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金融资产发生信用减值，有可能是多个事件的共同作用所致，未必是可单独识别的事件所致。</w:t>
      </w:r>
    </w:p>
    <w:p w:rsidR="005C49A8" w:rsidRDefault="005C49A8" w:rsidP="00C50357">
      <w:pPr>
        <w:widowControl/>
        <w:numPr>
          <w:ilvl w:val="0"/>
          <w:numId w:val="79"/>
        </w:numPr>
        <w:spacing w:before="100" w:beforeAutospacing="1" w:after="100" w:afterAutospacing="1"/>
        <w:divId w:val="1174419743"/>
        <w:rPr>
          <w:sz w:val="18"/>
          <w:szCs w:val="18"/>
        </w:rPr>
      </w:pPr>
      <w:r>
        <w:rPr>
          <w:rFonts w:hint="eastAsia"/>
          <w:sz w:val="18"/>
          <w:szCs w:val="18"/>
        </w:rPr>
        <w:t>预期信用损失的确定</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本公司基于单项和组合评估金融工具的预期信用损失，在评估预期信用损失时，考虑有关过去事项、当前状况以及未来经济状况预测的合理且有依据的信息。</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以共同信用风险特征为依据，将金融工具分为不同组合。本公司采用的共同信用风险特征包括：金融工具类型、信用风险评级、账龄组合、逾期账龄组合、合同结算周期、债务人所处行业等。相关金融工具的单项评估标准和组合信用风险特征详见相关金融工具的会计政策。</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本公司按照下列方法确定相关金融工具的预期信用损失：</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1</w:t>
      </w:r>
      <w:r w:rsidRPr="004742E9">
        <w:rPr>
          <w:rFonts w:hint="eastAsia"/>
          <w:sz w:val="18"/>
          <w:szCs w:val="18"/>
        </w:rPr>
        <w:t>）对于金融资产，信用损失为本公司应收取的合同现金流量与预期收取的现金流量之间差额的现值。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2</w:t>
      </w:r>
      <w:r w:rsidRPr="004742E9">
        <w:rPr>
          <w:rFonts w:hint="eastAsia"/>
          <w:sz w:val="18"/>
          <w:szCs w:val="18"/>
        </w:rPr>
        <w:t>）对于租赁应收款项，信用损失为本公司应收取的合同现金流量与预期收取的现金流量之间差额的现值。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3</w:t>
      </w:r>
      <w:r w:rsidRPr="004742E9">
        <w:rPr>
          <w:rFonts w:hint="eastAsia"/>
          <w:sz w:val="18"/>
          <w:szCs w:val="18"/>
        </w:rPr>
        <w:t>）对于财务担保合同，信用损失为本公司就该合同持有人发生的信用损失向其做出赔付的预计付款额，减去本公司预期向该合同持有人、债务人或任何其他方收取的金额之间差额的现值。</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sz w:val="18"/>
          <w:szCs w:val="18"/>
        </w:rPr>
        <w:t>4</w:t>
      </w:r>
      <w:r w:rsidRPr="004742E9">
        <w:rPr>
          <w:rFonts w:hint="eastAsia"/>
          <w:sz w:val="18"/>
          <w:szCs w:val="18"/>
        </w:rPr>
        <w:t>）对于资产负债表日已发生信用减值但并非购买或源生已发生信用减值的金融资产，信用损失为该金融资产账面余额与按原实际利率折现的估计未来现金流量的现值之间的差额。</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lastRenderedPageBreak/>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rsidR="005C49A8" w:rsidRDefault="005C49A8" w:rsidP="00C50357">
      <w:pPr>
        <w:widowControl/>
        <w:numPr>
          <w:ilvl w:val="0"/>
          <w:numId w:val="80"/>
        </w:numPr>
        <w:spacing w:before="100" w:beforeAutospacing="1" w:after="100" w:afterAutospacing="1"/>
        <w:divId w:val="1174419743"/>
        <w:rPr>
          <w:sz w:val="18"/>
          <w:szCs w:val="18"/>
        </w:rPr>
      </w:pPr>
      <w:r>
        <w:rPr>
          <w:rFonts w:hint="eastAsia"/>
          <w:sz w:val="18"/>
          <w:szCs w:val="18"/>
        </w:rPr>
        <w:t>减记金融资产</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当本公司不再合理预期金融资产合同现金流量能够全部或部分收回的，直接减记该金融资产的账面余额。这种减记构成相关金融资产的终止确认。</w:t>
      </w:r>
    </w:p>
    <w:p w:rsidR="005C49A8" w:rsidRDefault="005C49A8" w:rsidP="00C50357">
      <w:pPr>
        <w:widowControl/>
        <w:numPr>
          <w:ilvl w:val="0"/>
          <w:numId w:val="81"/>
        </w:numPr>
        <w:spacing w:before="100" w:beforeAutospacing="1" w:after="100" w:afterAutospacing="1"/>
        <w:divId w:val="1174419743"/>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金融资产及金融负债的抵销</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金融资产和金融负债在资产负债表内分别列示，没有相互抵销。但是，同时满足下列条件的，以相互抵销后的净额在资产负债表内列示：</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1</w:t>
      </w:r>
      <w:r w:rsidRPr="004742E9">
        <w:rPr>
          <w:rFonts w:hint="eastAsia"/>
          <w:sz w:val="18"/>
          <w:szCs w:val="18"/>
        </w:rPr>
        <w:t>）本公司具有抵销已确认金额的法定权利，且该种法定权利是当前可执行的；</w:t>
      </w:r>
    </w:p>
    <w:p w:rsidR="005C49A8" w:rsidRPr="004742E9" w:rsidRDefault="005C49A8">
      <w:pPr>
        <w:pStyle w:val="a3"/>
        <w:spacing w:before="0" w:beforeAutospacing="0" w:after="0" w:afterAutospacing="0" w:line="360" w:lineRule="auto"/>
        <w:ind w:firstLine="420"/>
        <w:jc w:val="both"/>
        <w:divId w:val="1174419743"/>
        <w:rPr>
          <w:sz w:val="18"/>
          <w:szCs w:val="18"/>
        </w:rPr>
      </w:pPr>
      <w:r w:rsidRPr="004742E9">
        <w:rPr>
          <w:rFonts w:hint="eastAsia"/>
          <w:sz w:val="18"/>
          <w:szCs w:val="18"/>
        </w:rPr>
        <w:t>（</w:t>
      </w:r>
      <w:r w:rsidRPr="004742E9">
        <w:rPr>
          <w:sz w:val="18"/>
          <w:szCs w:val="18"/>
        </w:rPr>
        <w:t>2</w:t>
      </w:r>
      <w:r w:rsidRPr="004742E9">
        <w:rPr>
          <w:rFonts w:hint="eastAsia"/>
          <w:sz w:val="18"/>
          <w:szCs w:val="18"/>
        </w:rPr>
        <w:t>）本公司计划以净额结算，或同时变现该金融资产和清偿该金融负债。</w:t>
      </w:r>
    </w:p>
    <w:p w:rsidR="008820E4" w:rsidRDefault="005C49A8">
      <w:pPr>
        <w:pStyle w:val="3"/>
        <w:spacing w:line="280" w:lineRule="exact"/>
        <w:jc w:val="left"/>
        <w:rPr>
          <w:rFonts w:ascii="宋体" w:hAnsi="宋体" w:cs="宋体"/>
          <w:b/>
          <w:bCs/>
        </w:rPr>
      </w:pPr>
      <w:bookmarkStart w:id="28" w:name="_Toc989019"/>
      <w:r>
        <w:rPr>
          <w:rFonts w:ascii="宋体" w:hAnsi="宋体" w:cs="宋体"/>
          <w:b/>
          <w:bCs/>
        </w:rPr>
        <w:t>13、应收账款</w:t>
      </w:r>
      <w:bookmarkEnd w:id="28"/>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本公司对应收账款的预期信用损失的确定方法及会计处理方法详见本附注（十）</w:t>
      </w:r>
      <w:r w:rsidRPr="004742E9">
        <w:rPr>
          <w:sz w:val="18"/>
          <w:szCs w:val="18"/>
        </w:rPr>
        <w:t>6.</w:t>
      </w:r>
      <w:r w:rsidRPr="004742E9">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对信用风险与组合信用风险显著不同的应收账款，本公司按单项计提预期信用损失。本公司对单项金额重大且在初始确认后已经发生信用减值的应收账款单独确定其信用损失。</w:t>
      </w:r>
    </w:p>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5000" w:type="pct"/>
        <w:jc w:val="center"/>
        <w:tblCellMar>
          <w:left w:w="0" w:type="dxa"/>
          <w:right w:w="0" w:type="dxa"/>
        </w:tblCellMar>
        <w:tblLook w:val="04A0" w:firstRow="1" w:lastRow="0" w:firstColumn="1" w:lastColumn="0" w:noHBand="0" w:noVBand="1"/>
        <w:tblCaption w:val="D:\大华\华孚\2024年度\TB|0-合并TB-华孚时尚股份有限公司-2024年度.xlsx|W附注模板|_jds6|0|desc|||0|1"/>
      </w:tblPr>
      <w:tblGrid>
        <w:gridCol w:w="959"/>
        <w:gridCol w:w="2977"/>
        <w:gridCol w:w="5917"/>
      </w:tblGrid>
      <w:tr w:rsidR="005C49A8" w:rsidTr="004742E9">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组合名称</w:t>
            </w:r>
          </w:p>
        </w:tc>
        <w:tc>
          <w:tcPr>
            <w:tcW w:w="297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确定组合的依据</w:t>
            </w:r>
          </w:p>
        </w:tc>
        <w:tc>
          <w:tcPr>
            <w:tcW w:w="591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计提方法</w:t>
            </w:r>
          </w:p>
        </w:tc>
      </w:tr>
      <w:tr w:rsidR="005C49A8" w:rsidTr="00CF103B">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预期信用风险组合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本组合以应收账款的账龄作为信用风险特征</w:t>
            </w:r>
          </w:p>
        </w:tc>
        <w:tc>
          <w:tcPr>
            <w:tcW w:w="5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sidRPr="004742E9">
              <w:rPr>
                <w:rFonts w:cs="Times New Roman" w:hint="eastAsia"/>
                <w:sz w:val="18"/>
                <w:szCs w:val="18"/>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应收账款账龄与预期信用损失率对照表，计算预期信用损失。</w:t>
            </w:r>
          </w:p>
        </w:tc>
      </w:tr>
      <w:tr w:rsidR="005C49A8" w:rsidTr="00CF103B">
        <w:trPr>
          <w:divId w:val="1102184625"/>
          <w:trHeight w:val="340"/>
          <w:jc w:val="center"/>
        </w:trPr>
        <w:tc>
          <w:tcPr>
            <w:tcW w:w="95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性质组合</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Pr>
                <w:rFonts w:cs="Times New Roman" w:hint="eastAsia"/>
                <w:sz w:val="18"/>
                <w:szCs w:val="18"/>
              </w:rPr>
              <w:t>根据业务性质，认定无信用风险，主要包括合并范围内关联方的款项、信用证结算的销售货款</w:t>
            </w:r>
          </w:p>
        </w:tc>
        <w:tc>
          <w:tcPr>
            <w:tcW w:w="5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Pr="004742E9" w:rsidRDefault="005C49A8">
            <w:pPr>
              <w:pStyle w:val="a3"/>
              <w:spacing w:before="0" w:beforeAutospacing="0" w:after="0" w:afterAutospacing="0"/>
              <w:jc w:val="both"/>
              <w:rPr>
                <w:rFonts w:cs="Times New Roman"/>
                <w:sz w:val="18"/>
                <w:szCs w:val="18"/>
              </w:rPr>
            </w:pPr>
            <w:r w:rsidRPr="004742E9">
              <w:rPr>
                <w:rFonts w:cs="Times New Roman" w:hint="eastAsia"/>
                <w:sz w:val="18"/>
                <w:szCs w:val="18"/>
              </w:rPr>
              <w:t>参考历史信用损失经验，结合当前状况以及对未来经济状况的预测，通过违约风险敞口和整个存续期预期信用损失率，计算预期信用损失</w:t>
            </w:r>
          </w:p>
        </w:tc>
      </w:tr>
    </w:tbl>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账龄组合的账龄与预期信用损失率对照表如下：</w:t>
      </w:r>
    </w:p>
    <w:tbl>
      <w:tblPr>
        <w:tblW w:w="9889" w:type="dxa"/>
        <w:tblCellMar>
          <w:left w:w="0" w:type="dxa"/>
          <w:right w:w="0" w:type="dxa"/>
        </w:tblCellMar>
        <w:tblLook w:val="04A0" w:firstRow="1" w:lastRow="0" w:firstColumn="1" w:lastColumn="0" w:noHBand="0" w:noVBand="1"/>
      </w:tblPr>
      <w:tblGrid>
        <w:gridCol w:w="3936"/>
        <w:gridCol w:w="5953"/>
      </w:tblGrid>
      <w:tr w:rsidR="005C49A8" w:rsidTr="004742E9">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账龄</w:t>
            </w:r>
          </w:p>
        </w:tc>
        <w:tc>
          <w:tcPr>
            <w:tcW w:w="595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应收账款预期信用损失率（</w:t>
            </w:r>
            <w:r>
              <w:rPr>
                <w:rFonts w:ascii="Arial" w:hAnsi="Arial" w:cs="Arial"/>
                <w:sz w:val="18"/>
                <w:szCs w:val="18"/>
              </w:rPr>
              <w:t>%</w:t>
            </w:r>
            <w:r>
              <w:rPr>
                <w:rFonts w:cs="Times New Roman" w:hint="eastAsia"/>
                <w:sz w:val="18"/>
                <w:szCs w:val="18"/>
              </w:rPr>
              <w:t>）</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cs="Times New Roman" w:hint="eastAsia"/>
                <w:sz w:val="18"/>
                <w:szCs w:val="18"/>
              </w:rPr>
              <w:t>年以内</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5.00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cs="Times New Roman" w:hint="eastAsia"/>
                <w:sz w:val="18"/>
                <w:szCs w:val="18"/>
              </w:rPr>
              <w:t>－</w:t>
            </w:r>
            <w:r>
              <w:rPr>
                <w:rFonts w:ascii="Arial" w:hAnsi="Arial" w:cs="Arial"/>
                <w:sz w:val="18"/>
                <w:szCs w:val="18"/>
              </w:rPr>
              <w:t>2</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10.00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2</w:t>
            </w:r>
            <w:r>
              <w:rPr>
                <w:rFonts w:cs="Times New Roman" w:hint="eastAsia"/>
                <w:sz w:val="18"/>
                <w:szCs w:val="18"/>
              </w:rPr>
              <w:t>－</w:t>
            </w:r>
            <w:r>
              <w:rPr>
                <w:rFonts w:ascii="Arial" w:hAnsi="Arial" w:cs="Arial"/>
                <w:sz w:val="18"/>
                <w:szCs w:val="18"/>
              </w:rPr>
              <w:t>3</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20.00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lastRenderedPageBreak/>
              <w:t>3</w:t>
            </w:r>
            <w:r>
              <w:rPr>
                <w:rFonts w:cs="Times New Roman" w:hint="eastAsia"/>
                <w:sz w:val="18"/>
                <w:szCs w:val="18"/>
              </w:rPr>
              <w:t>－</w:t>
            </w:r>
            <w:r>
              <w:rPr>
                <w:rFonts w:ascii="Arial" w:hAnsi="Arial" w:cs="Arial"/>
                <w:sz w:val="18"/>
                <w:szCs w:val="18"/>
              </w:rPr>
              <w:t>4</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50.00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4</w:t>
            </w:r>
            <w:r>
              <w:rPr>
                <w:rFonts w:cs="Times New Roman" w:hint="eastAsia"/>
                <w:sz w:val="18"/>
                <w:szCs w:val="18"/>
              </w:rPr>
              <w:t>－</w:t>
            </w:r>
            <w:r>
              <w:rPr>
                <w:rFonts w:ascii="Arial" w:hAnsi="Arial" w:cs="Arial"/>
                <w:sz w:val="18"/>
                <w:szCs w:val="18"/>
              </w:rPr>
              <w:t>5</w:t>
            </w:r>
            <w:r>
              <w:rPr>
                <w:rFonts w:cs="Times New Roman" w:hint="eastAsia"/>
                <w:sz w:val="18"/>
                <w:szCs w:val="18"/>
              </w:rPr>
              <w:t>年</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80.00</w:t>
            </w:r>
          </w:p>
        </w:tc>
      </w:tr>
      <w:tr w:rsidR="005C49A8" w:rsidTr="00CF103B">
        <w:trPr>
          <w:divId w:val="1102184625"/>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ascii="Arial" w:hAnsi="Arial" w:cs="Arial"/>
                <w:sz w:val="18"/>
                <w:szCs w:val="18"/>
              </w:rPr>
              <w:t>5</w:t>
            </w:r>
            <w:r>
              <w:rPr>
                <w:rFonts w:cs="Times New Roman" w:hint="eastAsia"/>
                <w:sz w:val="18"/>
                <w:szCs w:val="18"/>
              </w:rPr>
              <w:t>年以上</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rsidP="004742E9">
            <w:pPr>
              <w:pStyle w:val="a3"/>
              <w:spacing w:before="0" w:beforeAutospacing="0" w:after="0" w:afterAutospacing="0"/>
              <w:jc w:val="right"/>
              <w:textAlignment w:val="bottom"/>
              <w:rPr>
                <w:rFonts w:ascii="Times New Roman" w:hAnsi="Times New Roman" w:cs="Times New Roman"/>
                <w:sz w:val="21"/>
                <w:szCs w:val="21"/>
              </w:rPr>
            </w:pPr>
            <w:r>
              <w:rPr>
                <w:rFonts w:cs="Times New Roman" w:hint="eastAsia"/>
                <w:sz w:val="20"/>
                <w:szCs w:val="20"/>
              </w:rPr>
              <w:t>100.00</w:t>
            </w:r>
          </w:p>
        </w:tc>
      </w:tr>
    </w:tbl>
    <w:p w:rsidR="005C49A8" w:rsidRPr="004742E9" w:rsidRDefault="005C49A8">
      <w:pPr>
        <w:pStyle w:val="a3"/>
        <w:spacing w:before="0" w:beforeAutospacing="0" w:after="0" w:afterAutospacing="0" w:line="360" w:lineRule="auto"/>
        <w:ind w:firstLine="420"/>
        <w:jc w:val="both"/>
        <w:divId w:val="1102184625"/>
        <w:rPr>
          <w:sz w:val="18"/>
          <w:szCs w:val="18"/>
        </w:rPr>
      </w:pPr>
      <w:r w:rsidRPr="004742E9">
        <w:rPr>
          <w:rFonts w:hint="eastAsia"/>
          <w:sz w:val="18"/>
          <w:szCs w:val="18"/>
        </w:rPr>
        <w:t>应收账款账龄按自款项实际发生的月份起算。</w:t>
      </w:r>
    </w:p>
    <w:p w:rsidR="008820E4" w:rsidRDefault="005C49A8">
      <w:pPr>
        <w:pStyle w:val="3"/>
        <w:spacing w:line="280" w:lineRule="exact"/>
        <w:jc w:val="left"/>
        <w:rPr>
          <w:rFonts w:ascii="宋体" w:hAnsi="宋体" w:cs="宋体"/>
          <w:b/>
          <w:bCs/>
        </w:rPr>
      </w:pPr>
      <w:bookmarkStart w:id="29" w:name="_Toc989020"/>
      <w:r>
        <w:rPr>
          <w:rFonts w:ascii="宋体" w:hAnsi="宋体" w:cs="宋体"/>
          <w:b/>
          <w:bCs/>
        </w:rPr>
        <w:t>14、应收款项融资</w:t>
      </w:r>
      <w:bookmarkEnd w:id="29"/>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详见本附注（十）。</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本公司对应收款项融资的预期信用损失的确定方法及会计处理方法详见本附注（十）</w:t>
      </w:r>
      <w:r w:rsidRPr="004742E9">
        <w:rPr>
          <w:sz w:val="18"/>
          <w:szCs w:val="18"/>
        </w:rPr>
        <w:t>6.</w:t>
      </w:r>
      <w:r w:rsidRPr="004742E9">
        <w:rPr>
          <w:rFonts w:hint="eastAsia"/>
          <w:sz w:val="18"/>
          <w:szCs w:val="18"/>
        </w:rPr>
        <w:t>金融工具减值。</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对信用风险与组合信用风险显著不同的应收款项融资，本公司按单项计提预期信用损失。本公司对单项金额重大且在初始确认后已经发生信用减值的应收款项融资单独确定其信用损失。</w:t>
      </w:r>
    </w:p>
    <w:p w:rsidR="005C49A8" w:rsidRPr="004742E9" w:rsidRDefault="005C49A8">
      <w:pPr>
        <w:pStyle w:val="a3"/>
        <w:spacing w:before="0" w:beforeAutospacing="0" w:after="0" w:afterAutospacing="0" w:line="360" w:lineRule="auto"/>
        <w:ind w:firstLine="420"/>
        <w:jc w:val="both"/>
        <w:divId w:val="239097704"/>
        <w:rPr>
          <w:sz w:val="18"/>
          <w:szCs w:val="18"/>
        </w:rPr>
      </w:pPr>
      <w:r w:rsidRPr="004742E9">
        <w:rPr>
          <w:rFonts w:hint="eastAsia"/>
          <w:sz w:val="18"/>
          <w:szCs w:val="18"/>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w:t>
      </w:r>
    </w:p>
    <w:p w:rsidR="008820E4" w:rsidRDefault="005C49A8">
      <w:pPr>
        <w:pStyle w:val="3"/>
        <w:spacing w:line="280" w:lineRule="exact"/>
        <w:jc w:val="left"/>
        <w:rPr>
          <w:rFonts w:ascii="宋体" w:hAnsi="宋体" w:cs="宋体"/>
          <w:b/>
          <w:bCs/>
        </w:rPr>
      </w:pPr>
      <w:bookmarkStart w:id="30" w:name="_Toc989021"/>
      <w:r>
        <w:rPr>
          <w:rFonts w:ascii="宋体" w:hAnsi="宋体" w:cs="宋体"/>
          <w:b/>
          <w:bCs/>
        </w:rPr>
        <w:t>15、其他应收款</w:t>
      </w:r>
      <w:bookmarkEnd w:id="3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其他应收款的预期信用损失的确定方法及会计处理方法</w:t>
      </w:r>
    </w:p>
    <w:p w:rsidR="005C49A8" w:rsidRDefault="005C49A8">
      <w:pPr>
        <w:pStyle w:val="a3"/>
        <w:spacing w:before="0" w:beforeAutospacing="0" w:after="0" w:afterAutospacing="0"/>
        <w:ind w:firstLine="420"/>
        <w:jc w:val="both"/>
        <w:divId w:val="536087217"/>
      </w:pPr>
      <w:r>
        <w:rPr>
          <w:rFonts w:hint="eastAsia"/>
          <w:sz w:val="18"/>
          <w:szCs w:val="18"/>
        </w:rPr>
        <w:t>本公司对其他应收款的预期信用损失的确定方法及会计处理方法详见本附注（十）6.金融工具减值。</w:t>
      </w:r>
    </w:p>
    <w:p w:rsidR="005C49A8" w:rsidRDefault="005C49A8">
      <w:pPr>
        <w:pStyle w:val="a3"/>
        <w:spacing w:before="0" w:beforeAutospacing="0" w:after="0" w:afterAutospacing="0"/>
        <w:ind w:firstLine="420"/>
        <w:jc w:val="both"/>
        <w:divId w:val="536087217"/>
      </w:pPr>
      <w:r>
        <w:rPr>
          <w:rFonts w:hint="eastAsia"/>
          <w:sz w:val="18"/>
          <w:szCs w:val="18"/>
        </w:rPr>
        <w:t>对信用风险与组合信用风险显著不同的其他应收款，本公司按单项计提预期信用损失。本公司对单项金额重大且在初始确认后已经发生信用减值的其他应收款单独确定其信用损失。</w:t>
      </w:r>
    </w:p>
    <w:p w:rsidR="005C49A8" w:rsidRDefault="005C49A8">
      <w:pPr>
        <w:pStyle w:val="a3"/>
        <w:spacing w:before="0" w:beforeAutospacing="0" w:after="0" w:afterAutospacing="0"/>
        <w:ind w:firstLine="420"/>
        <w:jc w:val="both"/>
        <w:divId w:val="536087217"/>
      </w:pPr>
      <w:r>
        <w:rPr>
          <w:rFonts w:hint="eastAsia"/>
          <w:sz w:val="18"/>
          <w:szCs w:val="18"/>
        </w:rPr>
        <w:t>当在单项工具层面无法以合理成本评估预期信用损失的充分证据时，本公司参考历史信用损失经验，结合当前状况以及对未来经济状况的判断，依据信用风险特征将其他应收款划分为若干组合，在组合基础上计算预期信用损失。确定组合的依据如下：</w:t>
      </w:r>
    </w:p>
    <w:tbl>
      <w:tblPr>
        <w:tblW w:w="4850" w:type="pct"/>
        <w:tblCellMar>
          <w:left w:w="0" w:type="dxa"/>
          <w:right w:w="0" w:type="dxa"/>
        </w:tblCellMar>
        <w:tblLook w:val="04A0" w:firstRow="1" w:lastRow="0" w:firstColumn="1" w:lastColumn="0" w:noHBand="0" w:noVBand="1"/>
      </w:tblPr>
      <w:tblGrid>
        <w:gridCol w:w="1375"/>
        <w:gridCol w:w="2526"/>
        <w:gridCol w:w="5656"/>
      </w:tblGrid>
      <w:tr w:rsidR="005C49A8" w:rsidTr="00F7271B">
        <w:trPr>
          <w:divId w:val="536087217"/>
          <w:trHeight w:val="340"/>
          <w:tblHeader/>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组合名称</w:t>
            </w:r>
          </w:p>
        </w:tc>
        <w:tc>
          <w:tcPr>
            <w:tcW w:w="219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确定组合的依据</w:t>
            </w:r>
          </w:p>
        </w:tc>
        <w:tc>
          <w:tcPr>
            <w:tcW w:w="491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计提方法</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风险组合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本组合以其他应收款的账龄作为信用风险特征</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其他应收款账龄与预期信用损失率对照表，计算预期信用损失。</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应收财政款组合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根据业务性质，主要包括出口退税款、政府补助</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参考历史信用损失经验，结合当前状况以及对未来经济状况的预测，通过违约风险敞口和整个存续期预期信用损失率，计算预期信用损失</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性质组合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根据业务性质，主要包括股权转让款</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参考历史信用损失经验，不计提坏准备</w:t>
            </w:r>
          </w:p>
        </w:tc>
      </w:tr>
      <w:tr w:rsidR="005C49A8" w:rsidTr="00CF103B">
        <w:trPr>
          <w:divId w:val="536087217"/>
          <w:trHeight w:val="340"/>
        </w:trPr>
        <w:tc>
          <w:tcPr>
            <w:tcW w:w="119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合并范围内关联方组合</w:t>
            </w:r>
          </w:p>
        </w:tc>
        <w:tc>
          <w:tcPr>
            <w:tcW w:w="2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合并范围内关联方</w:t>
            </w:r>
          </w:p>
        </w:tc>
        <w:tc>
          <w:tcPr>
            <w:tcW w:w="4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both"/>
            </w:pPr>
            <w:r>
              <w:rPr>
                <w:rFonts w:hint="eastAsia"/>
                <w:sz w:val="18"/>
                <w:szCs w:val="18"/>
              </w:rPr>
              <w:t>参考历史信用损失经验，不计提坏准备</w:t>
            </w:r>
          </w:p>
        </w:tc>
      </w:tr>
    </w:tbl>
    <w:p w:rsidR="005C49A8" w:rsidRDefault="005C49A8">
      <w:pPr>
        <w:pStyle w:val="a3"/>
        <w:spacing w:before="0" w:beforeAutospacing="0" w:after="0" w:afterAutospacing="0" w:line="360" w:lineRule="auto"/>
        <w:ind w:firstLine="420"/>
        <w:jc w:val="both"/>
        <w:divId w:val="536087217"/>
      </w:pPr>
      <w:r>
        <w:rPr>
          <w:rFonts w:hint="eastAsia"/>
          <w:sz w:val="18"/>
          <w:szCs w:val="18"/>
        </w:rPr>
        <w:t>账龄组合的账龄与预期信用损失率对照表如下：</w:t>
      </w:r>
    </w:p>
    <w:tbl>
      <w:tblPr>
        <w:tblW w:w="9606" w:type="dxa"/>
        <w:tblCellMar>
          <w:left w:w="0" w:type="dxa"/>
          <w:right w:w="0" w:type="dxa"/>
        </w:tblCellMar>
        <w:tblLook w:val="04A0" w:firstRow="1" w:lastRow="0" w:firstColumn="1" w:lastColumn="0" w:noHBand="0" w:noVBand="1"/>
      </w:tblPr>
      <w:tblGrid>
        <w:gridCol w:w="3936"/>
        <w:gridCol w:w="5670"/>
      </w:tblGrid>
      <w:tr w:rsidR="005C49A8" w:rsidTr="00F7271B">
        <w:trPr>
          <w:divId w:val="536087217"/>
          <w:trHeight w:val="340"/>
          <w:tblHeader/>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账龄</w:t>
            </w:r>
          </w:p>
        </w:tc>
        <w:tc>
          <w:tcPr>
            <w:tcW w:w="567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其他应收款预期信用损失率（</w:t>
            </w:r>
            <w:r>
              <w:rPr>
                <w:rFonts w:ascii="Arial" w:hAnsi="Arial" w:cs="Arial"/>
                <w:sz w:val="18"/>
                <w:szCs w:val="18"/>
              </w:rPr>
              <w:t>%</w:t>
            </w:r>
            <w:r>
              <w:rPr>
                <w:rFonts w:hint="eastAsia"/>
                <w:sz w:val="18"/>
                <w:szCs w:val="18"/>
              </w:rPr>
              <w:t>）</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1</w:t>
            </w:r>
            <w:r>
              <w:rPr>
                <w:rFonts w:hint="eastAsia"/>
                <w:sz w:val="18"/>
                <w:szCs w:val="18"/>
              </w:rPr>
              <w:t>年以内</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5.00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1</w:t>
            </w:r>
            <w:r>
              <w:rPr>
                <w:rFonts w:hint="eastAsia"/>
                <w:sz w:val="18"/>
                <w:szCs w:val="18"/>
              </w:rPr>
              <w:t>－</w:t>
            </w:r>
            <w:r>
              <w:rPr>
                <w:rFonts w:ascii="Arial" w:hAnsi="Arial" w:cs="Arial"/>
                <w:sz w:val="18"/>
                <w:szCs w:val="18"/>
              </w:rPr>
              <w:t>2</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10.00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lastRenderedPageBreak/>
              <w:t>2</w:t>
            </w:r>
            <w:r>
              <w:rPr>
                <w:rFonts w:hint="eastAsia"/>
                <w:sz w:val="18"/>
                <w:szCs w:val="18"/>
              </w:rPr>
              <w:t>－</w:t>
            </w:r>
            <w:r>
              <w:rPr>
                <w:rFonts w:ascii="Arial" w:hAnsi="Arial" w:cs="Arial"/>
                <w:sz w:val="18"/>
                <w:szCs w:val="18"/>
              </w:rPr>
              <w:t>3</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20.00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3</w:t>
            </w:r>
            <w:r>
              <w:rPr>
                <w:rFonts w:hint="eastAsia"/>
                <w:sz w:val="18"/>
                <w:szCs w:val="18"/>
              </w:rPr>
              <w:t>－</w:t>
            </w:r>
            <w:r>
              <w:rPr>
                <w:rFonts w:ascii="Arial" w:hAnsi="Arial" w:cs="Arial"/>
                <w:sz w:val="18"/>
                <w:szCs w:val="18"/>
              </w:rPr>
              <w:t>4</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50.00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4</w:t>
            </w:r>
            <w:r>
              <w:rPr>
                <w:rFonts w:hint="eastAsia"/>
                <w:sz w:val="18"/>
                <w:szCs w:val="18"/>
              </w:rPr>
              <w:t>－</w:t>
            </w:r>
            <w:r>
              <w:rPr>
                <w:rFonts w:ascii="Arial" w:hAnsi="Arial" w:cs="Arial"/>
                <w:sz w:val="18"/>
                <w:szCs w:val="18"/>
              </w:rPr>
              <w:t>5</w:t>
            </w:r>
            <w:r>
              <w:rPr>
                <w:rFonts w:hint="eastAsia"/>
                <w:sz w:val="18"/>
                <w:szCs w:val="18"/>
              </w:rPr>
              <w:t>年</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80.00</w:t>
            </w:r>
          </w:p>
        </w:tc>
      </w:tr>
      <w:tr w:rsidR="005C49A8" w:rsidTr="00CF103B">
        <w:trPr>
          <w:divId w:val="536087217"/>
          <w:trHeight w:val="340"/>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ascii="Arial" w:hAnsi="Arial" w:cs="Arial"/>
                <w:sz w:val="18"/>
                <w:szCs w:val="18"/>
              </w:rPr>
              <w:t>5</w:t>
            </w:r>
            <w:r>
              <w:rPr>
                <w:rFonts w:hint="eastAsia"/>
                <w:sz w:val="18"/>
                <w:szCs w:val="18"/>
              </w:rPr>
              <w:t>年以上</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49A8" w:rsidRDefault="005C49A8">
            <w:pPr>
              <w:pStyle w:val="a3"/>
              <w:spacing w:before="0" w:beforeAutospacing="0" w:after="0" w:afterAutospacing="0"/>
              <w:jc w:val="center"/>
              <w:textAlignment w:val="bottom"/>
            </w:pPr>
            <w:r>
              <w:rPr>
                <w:rFonts w:hint="eastAsia"/>
                <w:sz w:val="20"/>
                <w:szCs w:val="20"/>
              </w:rPr>
              <w:t>100.00</w:t>
            </w:r>
          </w:p>
        </w:tc>
      </w:tr>
    </w:tbl>
    <w:p w:rsidR="005C49A8" w:rsidRDefault="005C49A8">
      <w:pPr>
        <w:pStyle w:val="a3"/>
        <w:divId w:val="536087217"/>
        <w:rPr>
          <w:sz w:val="18"/>
          <w:szCs w:val="18"/>
        </w:rPr>
      </w:pPr>
      <w:r>
        <w:rPr>
          <w:rFonts w:hint="eastAsia"/>
          <w:sz w:val="18"/>
          <w:szCs w:val="18"/>
        </w:rPr>
        <w:t>其他应收款账龄按自款项实际发生的月份起算。</w:t>
      </w:r>
    </w:p>
    <w:p w:rsidR="008820E4" w:rsidRDefault="005C49A8">
      <w:pPr>
        <w:pStyle w:val="3"/>
        <w:spacing w:line="280" w:lineRule="exact"/>
        <w:jc w:val="left"/>
        <w:rPr>
          <w:rFonts w:ascii="宋体" w:hAnsi="宋体" w:cs="宋体"/>
          <w:b/>
          <w:bCs/>
        </w:rPr>
      </w:pPr>
      <w:bookmarkStart w:id="31" w:name="_Toc989022"/>
      <w:r>
        <w:rPr>
          <w:rFonts w:ascii="宋体" w:hAnsi="宋体" w:cs="宋体"/>
          <w:b/>
          <w:bCs/>
        </w:rPr>
        <w:t>16、合同资产</w:t>
      </w:r>
      <w:bookmarkEnd w:id="31"/>
    </w:p>
    <w:p w:rsidR="005C49A8" w:rsidRDefault="005C49A8">
      <w:pPr>
        <w:pStyle w:val="a3"/>
        <w:spacing w:before="0" w:beforeAutospacing="0" w:after="0" w:afterAutospacing="0"/>
        <w:ind w:firstLine="420"/>
        <w:jc w:val="both"/>
        <w:divId w:val="1068767171"/>
      </w:pPr>
      <w:r>
        <w:rPr>
          <w:rFonts w:hint="eastAsia"/>
          <w:sz w:val="18"/>
          <w:szCs w:val="18"/>
        </w:rPr>
        <w:t>本公司已向客户转让商品而有权收取对价的权利，且该权利取决于时间流逝之外的其他因素的，确认为合同资产。本公司拥有的无条件(即，仅取决于时间流逝)向客户收取对价的权利作为应收款项单独列示。</w:t>
      </w:r>
    </w:p>
    <w:p w:rsidR="005C49A8" w:rsidRDefault="005C49A8">
      <w:pPr>
        <w:pStyle w:val="a3"/>
        <w:spacing w:before="0" w:beforeAutospacing="0" w:after="0" w:afterAutospacing="0"/>
        <w:ind w:firstLine="420"/>
        <w:jc w:val="both"/>
        <w:divId w:val="1068767171"/>
      </w:pPr>
      <w:r>
        <w:rPr>
          <w:rFonts w:hint="eastAsia"/>
          <w:sz w:val="18"/>
          <w:szCs w:val="18"/>
        </w:rPr>
        <w:t>本公司对合同资产的预期信用损失的确定方法及会计处理方法详见本附注（十）6.金融工具减值。</w:t>
      </w:r>
    </w:p>
    <w:p w:rsidR="005C49A8" w:rsidRDefault="005C49A8">
      <w:pPr>
        <w:pStyle w:val="a3"/>
        <w:spacing w:before="0" w:beforeAutospacing="0" w:after="0" w:afterAutospacing="0"/>
        <w:ind w:firstLine="420"/>
        <w:jc w:val="both"/>
        <w:divId w:val="1068767171"/>
      </w:pPr>
      <w:r>
        <w:rPr>
          <w:rFonts w:hint="eastAsia"/>
          <w:sz w:val="18"/>
          <w:szCs w:val="18"/>
        </w:rPr>
        <w:t>对信用风险与组合信用风险显著不同的合同资产，本公司按单项计提预期信用损失。本公司对单项金额重大且在初始确认后已经发生信用减值的合同资产单独确定其信用损失。</w:t>
      </w:r>
    </w:p>
    <w:p w:rsidR="005C49A8" w:rsidRDefault="005C49A8">
      <w:pPr>
        <w:pStyle w:val="a3"/>
        <w:spacing w:before="0" w:beforeAutospacing="0" w:after="0" w:afterAutospacing="0"/>
        <w:ind w:firstLine="420"/>
        <w:jc w:val="both"/>
        <w:divId w:val="1068767171"/>
      </w:pPr>
      <w:r>
        <w:rPr>
          <w:rFonts w:hint="eastAsia"/>
          <w:sz w:val="18"/>
          <w:szCs w:val="18"/>
        </w:rPr>
        <w:t>当在单项工具层面无法以合理成本评估预期信用损失的充分证据时，本公司参考历史信用损失经验，结合当前状况以及对未来经济状况的判断，依据信用风险特征将合同资产划分为若干组合，在组合基础上计算预期信用损失。</w:t>
      </w:r>
    </w:p>
    <w:p w:rsidR="005C49A8" w:rsidRDefault="005C49A8">
      <w:pPr>
        <w:pStyle w:val="a3"/>
        <w:spacing w:before="0" w:beforeAutospacing="0" w:after="0" w:afterAutospacing="0"/>
        <w:ind w:firstLine="420"/>
        <w:jc w:val="both"/>
        <w:divId w:val="698776505"/>
      </w:pPr>
      <w:r>
        <w:rPr>
          <w:rFonts w:hint="eastAsia"/>
          <w:sz w:val="18"/>
          <w:szCs w:val="18"/>
        </w:rPr>
        <w:t>当在单项工具层面无法以合理成本评估预期信用损失的充分证据时，本公司参考历史信用损失经验，结合当前状况以及对未来经济状况的判断，依据信用风险特征将合同资产划分为若干组合，在组合基础上计算预期信用损失。</w:t>
      </w:r>
    </w:p>
    <w:p w:rsidR="008820E4" w:rsidRDefault="005C49A8">
      <w:pPr>
        <w:pStyle w:val="3"/>
        <w:spacing w:line="280" w:lineRule="exact"/>
        <w:jc w:val="left"/>
        <w:rPr>
          <w:rFonts w:ascii="宋体" w:hAnsi="宋体" w:cs="宋体"/>
          <w:b/>
          <w:bCs/>
        </w:rPr>
      </w:pPr>
      <w:bookmarkStart w:id="32" w:name="_Toc989023"/>
      <w:r>
        <w:rPr>
          <w:rFonts w:ascii="宋体" w:hAnsi="宋体" w:cs="宋体"/>
          <w:b/>
          <w:bCs/>
        </w:rPr>
        <w:t>17、存货</w:t>
      </w:r>
      <w:bookmarkEnd w:id="32"/>
    </w:p>
    <w:p w:rsidR="005C49A8" w:rsidRDefault="005C49A8" w:rsidP="00C50357">
      <w:pPr>
        <w:widowControl/>
        <w:numPr>
          <w:ilvl w:val="2"/>
          <w:numId w:val="82"/>
        </w:numPr>
        <w:tabs>
          <w:tab w:val="clear" w:pos="2160"/>
          <w:tab w:val="num" w:pos="1985"/>
        </w:tabs>
        <w:spacing w:before="100" w:beforeAutospacing="1" w:after="100" w:afterAutospacing="1"/>
        <w:ind w:left="426"/>
        <w:divId w:val="882526065"/>
        <w:rPr>
          <w:sz w:val="18"/>
          <w:szCs w:val="18"/>
        </w:rPr>
      </w:pPr>
      <w:r>
        <w:rPr>
          <w:rFonts w:hint="eastAsia"/>
          <w:sz w:val="18"/>
          <w:szCs w:val="18"/>
        </w:rPr>
        <w:t>．存货的确认条件</w:t>
      </w:r>
    </w:p>
    <w:p w:rsidR="005C49A8" w:rsidRDefault="005C49A8">
      <w:pPr>
        <w:pStyle w:val="a3"/>
        <w:spacing w:before="0" w:beforeAutospacing="0" w:after="0" w:afterAutospacing="0"/>
        <w:ind w:firstLine="424"/>
        <w:divId w:val="882526065"/>
      </w:pPr>
      <w:r>
        <w:rPr>
          <w:rFonts w:hint="eastAsia"/>
          <w:sz w:val="18"/>
          <w:szCs w:val="18"/>
        </w:rPr>
        <w:t>在满足存货定义的基础上，持有的存货同时满足下列条件的，才能予以确认：</w:t>
      </w:r>
    </w:p>
    <w:p w:rsidR="005C49A8" w:rsidRDefault="005C49A8">
      <w:pPr>
        <w:pStyle w:val="a3"/>
        <w:spacing w:before="0" w:beforeAutospacing="0" w:after="0" w:afterAutospacing="0"/>
        <w:ind w:firstLine="420"/>
        <w:jc w:val="both"/>
        <w:divId w:val="882526065"/>
      </w:pPr>
      <w:r>
        <w:rPr>
          <w:rFonts w:hint="eastAsia"/>
          <w:sz w:val="18"/>
          <w:szCs w:val="18"/>
        </w:rPr>
        <w:t>（1）与该存货有关的经济利益很可能流入企业；；</w:t>
      </w:r>
    </w:p>
    <w:p w:rsidR="005C49A8" w:rsidRDefault="005C49A8">
      <w:pPr>
        <w:pStyle w:val="a3"/>
        <w:spacing w:before="0" w:beforeAutospacing="0" w:after="0" w:afterAutospacing="0"/>
        <w:ind w:firstLine="420"/>
        <w:jc w:val="both"/>
        <w:divId w:val="882526065"/>
      </w:pPr>
      <w:r>
        <w:rPr>
          <w:rFonts w:hint="eastAsia"/>
          <w:sz w:val="18"/>
          <w:szCs w:val="18"/>
        </w:rPr>
        <w:t>（2）该存货的成本能够可靠地计量。</w:t>
      </w:r>
    </w:p>
    <w:p w:rsidR="005C49A8" w:rsidRDefault="005C49A8" w:rsidP="00C50357">
      <w:pPr>
        <w:widowControl/>
        <w:numPr>
          <w:ilvl w:val="2"/>
          <w:numId w:val="83"/>
        </w:numPr>
        <w:tabs>
          <w:tab w:val="clear" w:pos="2160"/>
          <w:tab w:val="num" w:pos="1985"/>
        </w:tabs>
        <w:spacing w:before="100" w:beforeAutospacing="1" w:after="100" w:afterAutospacing="1"/>
        <w:ind w:left="426"/>
        <w:divId w:val="882526065"/>
        <w:rPr>
          <w:sz w:val="18"/>
          <w:szCs w:val="18"/>
        </w:rPr>
      </w:pPr>
      <w:r>
        <w:rPr>
          <w:rFonts w:hint="eastAsia"/>
          <w:sz w:val="18"/>
          <w:szCs w:val="18"/>
        </w:rPr>
        <w:t>．存货类别、发出计价方法、盘存制度、低值易耗品和包装物的摊销方法</w:t>
      </w:r>
    </w:p>
    <w:p w:rsidR="005C49A8" w:rsidRDefault="005C49A8" w:rsidP="00C50357">
      <w:pPr>
        <w:widowControl/>
        <w:numPr>
          <w:ilvl w:val="0"/>
          <w:numId w:val="84"/>
        </w:numPr>
        <w:divId w:val="882526065"/>
        <w:rPr>
          <w:rFonts w:ascii="Calibri" w:hAnsi="Calibri" w:cs="Calibri"/>
          <w:szCs w:val="21"/>
        </w:rPr>
      </w:pPr>
      <w:r>
        <w:rPr>
          <w:rFonts w:cs="Calibri" w:hint="eastAsia"/>
          <w:sz w:val="18"/>
          <w:szCs w:val="18"/>
        </w:rPr>
        <w:t>存货类别</w:t>
      </w:r>
    </w:p>
    <w:p w:rsidR="005C49A8" w:rsidRDefault="005C49A8">
      <w:pPr>
        <w:pStyle w:val="a3"/>
        <w:spacing w:before="0" w:beforeAutospacing="0" w:after="0" w:afterAutospacing="0"/>
        <w:ind w:firstLine="420"/>
        <w:jc w:val="both"/>
        <w:divId w:val="882526065"/>
      </w:pPr>
      <w:r>
        <w:rPr>
          <w:rFonts w:hint="eastAsia"/>
          <w:sz w:val="18"/>
          <w:szCs w:val="18"/>
        </w:rPr>
        <w:t>存货是指本公司在日常活动中持有以备出售的产成品或商品、处在生产过程中的在产品、在生产过程或提供劳务过程中耗用的材料和物料等。主要包括原材料、周转材料、委托加工材料、在产品、自制半成品、产成品（库存商品）、发出商品等。</w:t>
      </w:r>
    </w:p>
    <w:p w:rsidR="005C49A8" w:rsidRDefault="005C49A8" w:rsidP="00C50357">
      <w:pPr>
        <w:widowControl/>
        <w:numPr>
          <w:ilvl w:val="0"/>
          <w:numId w:val="85"/>
        </w:numPr>
        <w:divId w:val="882526065"/>
        <w:rPr>
          <w:rFonts w:ascii="Calibri" w:hAnsi="Calibri" w:cs="Calibri"/>
          <w:szCs w:val="21"/>
        </w:rPr>
      </w:pPr>
      <w:r>
        <w:rPr>
          <w:rFonts w:cs="Calibri" w:hint="eastAsia"/>
          <w:sz w:val="18"/>
          <w:szCs w:val="18"/>
        </w:rPr>
        <w:t>存货发出计价方法</w:t>
      </w:r>
    </w:p>
    <w:p w:rsidR="005C49A8" w:rsidRDefault="005C49A8">
      <w:pPr>
        <w:pStyle w:val="a3"/>
        <w:spacing w:before="0" w:beforeAutospacing="0" w:after="0" w:afterAutospacing="0"/>
        <w:ind w:firstLine="420"/>
        <w:jc w:val="both"/>
        <w:divId w:val="882526065"/>
      </w:pPr>
      <w:r>
        <w:rPr>
          <w:rFonts w:hint="eastAsia"/>
          <w:sz w:val="18"/>
          <w:szCs w:val="18"/>
        </w:rPr>
        <w:t>存货在取得时，按成本进行初始计量，包括采购成本、加工成本和其他成本。</w:t>
      </w:r>
    </w:p>
    <w:p w:rsidR="005C49A8" w:rsidRDefault="005C49A8">
      <w:pPr>
        <w:pStyle w:val="a3"/>
        <w:spacing w:before="0" w:beforeAutospacing="0" w:after="0" w:afterAutospacing="0"/>
        <w:ind w:firstLine="420"/>
        <w:jc w:val="both"/>
        <w:divId w:val="882526065"/>
      </w:pPr>
      <w:r>
        <w:rPr>
          <w:rFonts w:hint="eastAsia"/>
          <w:sz w:val="18"/>
          <w:szCs w:val="18"/>
        </w:rPr>
        <w:t>存货发出时按移动加权平均法计价。</w:t>
      </w:r>
    </w:p>
    <w:p w:rsidR="005C49A8" w:rsidRDefault="005C49A8" w:rsidP="00C50357">
      <w:pPr>
        <w:widowControl/>
        <w:numPr>
          <w:ilvl w:val="0"/>
          <w:numId w:val="86"/>
        </w:numPr>
        <w:divId w:val="882526065"/>
        <w:rPr>
          <w:rFonts w:ascii="Calibri" w:hAnsi="Calibri" w:cs="Calibri"/>
          <w:szCs w:val="21"/>
        </w:rPr>
      </w:pPr>
      <w:r>
        <w:rPr>
          <w:rFonts w:cs="Calibri" w:hint="eastAsia"/>
          <w:sz w:val="18"/>
          <w:szCs w:val="18"/>
        </w:rPr>
        <w:t>存货的盘存制度</w:t>
      </w:r>
    </w:p>
    <w:p w:rsidR="005C49A8" w:rsidRDefault="005C49A8">
      <w:pPr>
        <w:pStyle w:val="a3"/>
        <w:spacing w:before="0" w:beforeAutospacing="0" w:after="0" w:afterAutospacing="0"/>
        <w:ind w:firstLine="420"/>
        <w:jc w:val="both"/>
        <w:divId w:val="882526065"/>
      </w:pPr>
      <w:r>
        <w:rPr>
          <w:rFonts w:hint="eastAsia"/>
          <w:sz w:val="18"/>
          <w:szCs w:val="18"/>
        </w:rPr>
        <w:t>存货盘存制度为永续盘存制。</w:t>
      </w:r>
    </w:p>
    <w:p w:rsidR="005C49A8" w:rsidRDefault="005C49A8" w:rsidP="00C50357">
      <w:pPr>
        <w:widowControl/>
        <w:numPr>
          <w:ilvl w:val="0"/>
          <w:numId w:val="87"/>
        </w:numPr>
        <w:divId w:val="882526065"/>
        <w:rPr>
          <w:rFonts w:ascii="Calibri" w:hAnsi="Calibri" w:cs="Calibri"/>
          <w:szCs w:val="21"/>
        </w:rPr>
      </w:pPr>
      <w:r>
        <w:rPr>
          <w:rFonts w:cs="Calibri" w:hint="eastAsia"/>
          <w:sz w:val="18"/>
          <w:szCs w:val="18"/>
        </w:rPr>
        <w:t>低值易耗品和包装物的摊销方法</w:t>
      </w:r>
    </w:p>
    <w:p w:rsidR="005C49A8" w:rsidRDefault="005C49A8">
      <w:pPr>
        <w:pStyle w:val="a3"/>
        <w:spacing w:before="0" w:beforeAutospacing="0" w:after="0" w:afterAutospacing="0"/>
        <w:ind w:left="420"/>
        <w:jc w:val="both"/>
        <w:divId w:val="882526065"/>
      </w:pPr>
      <w:r>
        <w:rPr>
          <w:rFonts w:hint="eastAsia"/>
          <w:sz w:val="18"/>
          <w:szCs w:val="18"/>
        </w:rPr>
        <w:t>1）低值易耗品采用一次转销法进行摊销；</w:t>
      </w:r>
    </w:p>
    <w:p w:rsidR="005C49A8" w:rsidRDefault="005C49A8">
      <w:pPr>
        <w:pStyle w:val="a3"/>
        <w:spacing w:before="0" w:beforeAutospacing="0" w:after="0" w:afterAutospacing="0"/>
        <w:ind w:left="420"/>
        <w:jc w:val="both"/>
        <w:divId w:val="882526065"/>
      </w:pPr>
      <w:r>
        <w:rPr>
          <w:rFonts w:hint="eastAsia"/>
          <w:sz w:val="18"/>
          <w:szCs w:val="18"/>
        </w:rPr>
        <w:t>2）包装物采用一次转销法进行摊销。</w:t>
      </w:r>
    </w:p>
    <w:p w:rsidR="005C49A8" w:rsidRDefault="005C49A8">
      <w:pPr>
        <w:pStyle w:val="a3"/>
        <w:spacing w:before="0" w:beforeAutospacing="0" w:after="0" w:afterAutospacing="0"/>
        <w:ind w:left="420"/>
        <w:jc w:val="both"/>
        <w:divId w:val="882526065"/>
      </w:pPr>
      <w:r>
        <w:rPr>
          <w:rFonts w:hint="eastAsia"/>
          <w:sz w:val="18"/>
          <w:szCs w:val="18"/>
        </w:rPr>
        <w:t>3）其他周转材料采用一次转销法进行摊销。</w:t>
      </w:r>
    </w:p>
    <w:p w:rsidR="005C49A8" w:rsidRDefault="005C49A8" w:rsidP="00C50357">
      <w:pPr>
        <w:widowControl/>
        <w:numPr>
          <w:ilvl w:val="2"/>
          <w:numId w:val="88"/>
        </w:numPr>
        <w:tabs>
          <w:tab w:val="clear" w:pos="2160"/>
          <w:tab w:val="num" w:pos="1985"/>
        </w:tabs>
        <w:spacing w:before="100" w:beforeAutospacing="1" w:after="100" w:afterAutospacing="1"/>
        <w:ind w:left="426"/>
        <w:divId w:val="882526065"/>
        <w:rPr>
          <w:sz w:val="18"/>
          <w:szCs w:val="18"/>
        </w:rPr>
      </w:pPr>
      <w:r>
        <w:rPr>
          <w:rFonts w:hint="eastAsia"/>
          <w:sz w:val="18"/>
          <w:szCs w:val="18"/>
        </w:rPr>
        <w:lastRenderedPageBreak/>
        <w:t>．存货跌价准备的确认标准和计提方法</w:t>
      </w:r>
    </w:p>
    <w:p w:rsidR="005C49A8" w:rsidRDefault="005C49A8">
      <w:pPr>
        <w:pStyle w:val="a3"/>
        <w:spacing w:before="0" w:beforeAutospacing="0" w:after="0" w:afterAutospacing="0"/>
        <w:ind w:firstLine="420"/>
        <w:jc w:val="both"/>
        <w:divId w:val="882526065"/>
      </w:pPr>
      <w:r>
        <w:rPr>
          <w:rFonts w:hint="eastAsia"/>
          <w:sz w:val="18"/>
          <w:szCs w:val="18"/>
        </w:rPr>
        <w:t>期末对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5C49A8" w:rsidRDefault="005C49A8">
      <w:pPr>
        <w:pStyle w:val="a3"/>
        <w:spacing w:before="0" w:beforeAutospacing="0" w:after="0" w:afterAutospacing="0"/>
        <w:ind w:firstLine="420"/>
        <w:jc w:val="both"/>
        <w:divId w:val="882526065"/>
      </w:pPr>
      <w:r>
        <w:rPr>
          <w:rFonts w:hint="eastAsia"/>
          <w:sz w:val="18"/>
          <w:szCs w:val="18"/>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5C49A8" w:rsidRDefault="005C49A8" w:rsidP="00F7271B">
      <w:pPr>
        <w:pStyle w:val="a3"/>
        <w:ind w:firstLineChars="200" w:firstLine="360"/>
        <w:divId w:val="882526065"/>
      </w:pPr>
      <w:r>
        <w:rPr>
          <w:rFonts w:hint="eastAsia"/>
          <w:sz w:val="18"/>
          <w:szCs w:val="18"/>
        </w:rPr>
        <w:t>以前减记存货价值的影响因素已经消失的，减记的金额予以恢复，并在原已计提的存货跌价准备金额内转回，转回的金额计入当期损益。</w:t>
      </w:r>
    </w:p>
    <w:p w:rsidR="008820E4" w:rsidRDefault="005C49A8">
      <w:pPr>
        <w:pStyle w:val="3"/>
        <w:spacing w:line="280" w:lineRule="exact"/>
        <w:jc w:val="left"/>
        <w:rPr>
          <w:rFonts w:ascii="宋体" w:hAnsi="宋体" w:cs="宋体"/>
          <w:b/>
          <w:bCs/>
        </w:rPr>
      </w:pPr>
      <w:bookmarkStart w:id="33" w:name="_Toc989024"/>
      <w:r>
        <w:rPr>
          <w:rFonts w:ascii="宋体" w:hAnsi="宋体" w:cs="宋体"/>
          <w:b/>
          <w:bCs/>
        </w:rPr>
        <w:t>18、持有待售资产</w:t>
      </w:r>
      <w:bookmarkEnd w:id="33"/>
    </w:p>
    <w:p w:rsidR="005C49A8" w:rsidRDefault="005C49A8" w:rsidP="00C50357">
      <w:pPr>
        <w:widowControl/>
        <w:numPr>
          <w:ilvl w:val="2"/>
          <w:numId w:val="89"/>
        </w:numPr>
        <w:tabs>
          <w:tab w:val="clear" w:pos="2160"/>
          <w:tab w:val="num" w:pos="1985"/>
        </w:tabs>
        <w:spacing w:before="100" w:beforeAutospacing="1" w:after="100" w:afterAutospacing="1"/>
        <w:ind w:left="426"/>
        <w:divId w:val="1505438607"/>
        <w:rPr>
          <w:sz w:val="18"/>
          <w:szCs w:val="18"/>
        </w:rPr>
      </w:pPr>
      <w:r>
        <w:rPr>
          <w:rFonts w:hint="eastAsia"/>
          <w:sz w:val="18"/>
          <w:szCs w:val="18"/>
        </w:rPr>
        <w:t>．存货的确认条件</w:t>
      </w:r>
    </w:p>
    <w:p w:rsidR="005C49A8" w:rsidRDefault="005C49A8">
      <w:pPr>
        <w:pStyle w:val="a3"/>
        <w:spacing w:before="0" w:beforeAutospacing="0" w:after="0" w:afterAutospacing="0"/>
        <w:ind w:firstLine="424"/>
        <w:divId w:val="1505438607"/>
      </w:pPr>
      <w:r>
        <w:rPr>
          <w:rFonts w:hint="eastAsia"/>
          <w:sz w:val="18"/>
          <w:szCs w:val="18"/>
        </w:rPr>
        <w:t>在满足存货定义的基础上，持有的存货同时满足下列条件的，才能予以确认：</w:t>
      </w:r>
    </w:p>
    <w:p w:rsidR="005C49A8" w:rsidRDefault="005C49A8">
      <w:pPr>
        <w:pStyle w:val="a3"/>
        <w:spacing w:before="0" w:beforeAutospacing="0" w:after="0" w:afterAutospacing="0"/>
        <w:ind w:firstLine="420"/>
        <w:jc w:val="both"/>
        <w:divId w:val="1505438607"/>
      </w:pPr>
      <w:r>
        <w:rPr>
          <w:rFonts w:hint="eastAsia"/>
          <w:sz w:val="18"/>
          <w:szCs w:val="18"/>
        </w:rPr>
        <w:t>（1）与该存货有关的经济利益很可能流入企业；；</w:t>
      </w:r>
    </w:p>
    <w:p w:rsidR="005C49A8" w:rsidRDefault="005C49A8">
      <w:pPr>
        <w:pStyle w:val="a3"/>
        <w:spacing w:before="0" w:beforeAutospacing="0" w:after="0" w:afterAutospacing="0"/>
        <w:ind w:firstLine="420"/>
        <w:jc w:val="both"/>
        <w:divId w:val="1505438607"/>
      </w:pPr>
      <w:r>
        <w:rPr>
          <w:rFonts w:hint="eastAsia"/>
          <w:sz w:val="18"/>
          <w:szCs w:val="18"/>
        </w:rPr>
        <w:t>（2）该存货的成本能够可靠地计量。</w:t>
      </w:r>
    </w:p>
    <w:p w:rsidR="005C49A8" w:rsidRDefault="005C49A8" w:rsidP="00C50357">
      <w:pPr>
        <w:widowControl/>
        <w:numPr>
          <w:ilvl w:val="2"/>
          <w:numId w:val="90"/>
        </w:numPr>
        <w:tabs>
          <w:tab w:val="clear" w:pos="2160"/>
          <w:tab w:val="num" w:pos="1985"/>
        </w:tabs>
        <w:spacing w:before="100" w:beforeAutospacing="1" w:after="100" w:afterAutospacing="1"/>
        <w:ind w:left="426"/>
        <w:divId w:val="1505438607"/>
        <w:rPr>
          <w:sz w:val="18"/>
          <w:szCs w:val="18"/>
        </w:rPr>
      </w:pPr>
      <w:r>
        <w:rPr>
          <w:rFonts w:hint="eastAsia"/>
          <w:sz w:val="18"/>
          <w:szCs w:val="18"/>
        </w:rPr>
        <w:t>．存货类别、发出计价方法、盘存制度、低值易耗品和包装物的摊销方法</w:t>
      </w:r>
    </w:p>
    <w:p w:rsidR="005C49A8" w:rsidRDefault="005C49A8" w:rsidP="00C50357">
      <w:pPr>
        <w:widowControl/>
        <w:numPr>
          <w:ilvl w:val="0"/>
          <w:numId w:val="91"/>
        </w:numPr>
        <w:divId w:val="1505438607"/>
        <w:rPr>
          <w:rFonts w:ascii="Calibri" w:hAnsi="Calibri" w:cs="Calibri"/>
          <w:szCs w:val="21"/>
        </w:rPr>
      </w:pPr>
      <w:r>
        <w:rPr>
          <w:rFonts w:cs="Calibri" w:hint="eastAsia"/>
          <w:sz w:val="18"/>
          <w:szCs w:val="18"/>
        </w:rPr>
        <w:t>存货类别</w:t>
      </w:r>
    </w:p>
    <w:p w:rsidR="005C49A8" w:rsidRDefault="005C49A8">
      <w:pPr>
        <w:pStyle w:val="a3"/>
        <w:spacing w:before="0" w:beforeAutospacing="0" w:after="0" w:afterAutospacing="0"/>
        <w:ind w:firstLine="420"/>
        <w:jc w:val="both"/>
        <w:divId w:val="1505438607"/>
      </w:pPr>
      <w:r>
        <w:rPr>
          <w:rFonts w:hint="eastAsia"/>
          <w:sz w:val="18"/>
          <w:szCs w:val="18"/>
        </w:rPr>
        <w:t>存货是指本公司在日常活动中持有以备出售的产成品或商品、处在生产过程中的在产品、在生产过程或提供劳务过程中耗用的材料和物料等。主要包括原材料、周转材料、委托加工材料、在产品、自制半成品、产成品（库存商品）、发出商品等。</w:t>
      </w:r>
    </w:p>
    <w:p w:rsidR="005C49A8" w:rsidRDefault="005C49A8" w:rsidP="00C50357">
      <w:pPr>
        <w:widowControl/>
        <w:numPr>
          <w:ilvl w:val="0"/>
          <w:numId w:val="92"/>
        </w:numPr>
        <w:divId w:val="1505438607"/>
        <w:rPr>
          <w:rFonts w:ascii="Calibri" w:hAnsi="Calibri" w:cs="Calibri"/>
          <w:szCs w:val="21"/>
        </w:rPr>
      </w:pPr>
      <w:r>
        <w:rPr>
          <w:rFonts w:cs="Calibri" w:hint="eastAsia"/>
          <w:sz w:val="18"/>
          <w:szCs w:val="18"/>
        </w:rPr>
        <w:t>存货发出计价方法</w:t>
      </w:r>
    </w:p>
    <w:p w:rsidR="005C49A8" w:rsidRDefault="005C49A8">
      <w:pPr>
        <w:pStyle w:val="a3"/>
        <w:spacing w:before="0" w:beforeAutospacing="0" w:after="0" w:afterAutospacing="0"/>
        <w:ind w:firstLine="420"/>
        <w:jc w:val="both"/>
        <w:divId w:val="1505438607"/>
      </w:pPr>
      <w:r>
        <w:rPr>
          <w:rFonts w:hint="eastAsia"/>
          <w:sz w:val="18"/>
          <w:szCs w:val="18"/>
        </w:rPr>
        <w:t>存货在取得时，按成本进行初始计量，包括采购成本、加工成本和其他成本。</w:t>
      </w:r>
    </w:p>
    <w:p w:rsidR="005C49A8" w:rsidRDefault="005C49A8">
      <w:pPr>
        <w:pStyle w:val="a3"/>
        <w:spacing w:before="0" w:beforeAutospacing="0" w:after="0" w:afterAutospacing="0"/>
        <w:ind w:firstLine="420"/>
        <w:jc w:val="both"/>
        <w:divId w:val="1505438607"/>
      </w:pPr>
      <w:r>
        <w:rPr>
          <w:rFonts w:hint="eastAsia"/>
          <w:sz w:val="18"/>
          <w:szCs w:val="18"/>
        </w:rPr>
        <w:t>存货发出时按移动加权平均法计价。</w:t>
      </w:r>
    </w:p>
    <w:p w:rsidR="005C49A8" w:rsidRDefault="005C49A8" w:rsidP="00C50357">
      <w:pPr>
        <w:widowControl/>
        <w:numPr>
          <w:ilvl w:val="0"/>
          <w:numId w:val="93"/>
        </w:numPr>
        <w:divId w:val="1505438607"/>
        <w:rPr>
          <w:rFonts w:ascii="Calibri" w:hAnsi="Calibri" w:cs="Calibri"/>
          <w:szCs w:val="21"/>
        </w:rPr>
      </w:pPr>
      <w:r>
        <w:rPr>
          <w:rFonts w:cs="Calibri" w:hint="eastAsia"/>
          <w:sz w:val="18"/>
          <w:szCs w:val="18"/>
        </w:rPr>
        <w:t>存货的盘存制度</w:t>
      </w:r>
    </w:p>
    <w:p w:rsidR="005C49A8" w:rsidRDefault="005C49A8">
      <w:pPr>
        <w:pStyle w:val="a3"/>
        <w:spacing w:before="0" w:beforeAutospacing="0" w:after="0" w:afterAutospacing="0"/>
        <w:ind w:firstLine="420"/>
        <w:jc w:val="both"/>
        <w:divId w:val="1505438607"/>
      </w:pPr>
      <w:r>
        <w:rPr>
          <w:rFonts w:hint="eastAsia"/>
          <w:sz w:val="18"/>
          <w:szCs w:val="18"/>
        </w:rPr>
        <w:t>存货盘存制度为永续盘存制。</w:t>
      </w:r>
    </w:p>
    <w:p w:rsidR="005C49A8" w:rsidRDefault="005C49A8" w:rsidP="00C50357">
      <w:pPr>
        <w:widowControl/>
        <w:numPr>
          <w:ilvl w:val="0"/>
          <w:numId w:val="94"/>
        </w:numPr>
        <w:divId w:val="1505438607"/>
        <w:rPr>
          <w:rFonts w:ascii="Calibri" w:hAnsi="Calibri" w:cs="Calibri"/>
          <w:szCs w:val="21"/>
        </w:rPr>
      </w:pPr>
      <w:r>
        <w:rPr>
          <w:rFonts w:cs="Calibri" w:hint="eastAsia"/>
          <w:sz w:val="18"/>
          <w:szCs w:val="18"/>
        </w:rPr>
        <w:t>低值易耗品和包装物的摊销方法</w:t>
      </w:r>
    </w:p>
    <w:p w:rsidR="005C49A8" w:rsidRDefault="005C49A8">
      <w:pPr>
        <w:pStyle w:val="a3"/>
        <w:spacing w:before="0" w:beforeAutospacing="0" w:after="0" w:afterAutospacing="0"/>
        <w:ind w:left="420"/>
        <w:jc w:val="both"/>
        <w:divId w:val="1505438607"/>
      </w:pPr>
      <w:r>
        <w:rPr>
          <w:rFonts w:hint="eastAsia"/>
          <w:sz w:val="18"/>
          <w:szCs w:val="18"/>
        </w:rPr>
        <w:t>1）低值易耗品采用一次转销法进行摊销；</w:t>
      </w:r>
    </w:p>
    <w:p w:rsidR="005C49A8" w:rsidRDefault="005C49A8">
      <w:pPr>
        <w:pStyle w:val="a3"/>
        <w:spacing w:before="0" w:beforeAutospacing="0" w:after="0" w:afterAutospacing="0"/>
        <w:ind w:left="420"/>
        <w:jc w:val="both"/>
        <w:divId w:val="1505438607"/>
      </w:pPr>
      <w:r>
        <w:rPr>
          <w:rFonts w:hint="eastAsia"/>
          <w:sz w:val="18"/>
          <w:szCs w:val="18"/>
        </w:rPr>
        <w:t>2）包装物采用一次转销法进行摊销。</w:t>
      </w:r>
    </w:p>
    <w:p w:rsidR="005C49A8" w:rsidRDefault="005C49A8">
      <w:pPr>
        <w:pStyle w:val="a3"/>
        <w:spacing w:before="0" w:beforeAutospacing="0" w:after="0" w:afterAutospacing="0"/>
        <w:ind w:left="420"/>
        <w:jc w:val="both"/>
        <w:divId w:val="1505438607"/>
      </w:pPr>
      <w:r>
        <w:rPr>
          <w:rFonts w:hint="eastAsia"/>
          <w:sz w:val="18"/>
          <w:szCs w:val="18"/>
        </w:rPr>
        <w:t>3）其他周转材料采用一次转销法进行摊销。</w:t>
      </w:r>
    </w:p>
    <w:p w:rsidR="005C49A8" w:rsidRDefault="005C49A8" w:rsidP="00C50357">
      <w:pPr>
        <w:widowControl/>
        <w:numPr>
          <w:ilvl w:val="2"/>
          <w:numId w:val="95"/>
        </w:numPr>
        <w:tabs>
          <w:tab w:val="clear" w:pos="2160"/>
          <w:tab w:val="num" w:pos="1985"/>
        </w:tabs>
        <w:spacing w:before="100" w:beforeAutospacing="1" w:after="100" w:afterAutospacing="1"/>
        <w:ind w:left="426"/>
        <w:divId w:val="1505438607"/>
        <w:rPr>
          <w:sz w:val="18"/>
          <w:szCs w:val="18"/>
        </w:rPr>
      </w:pPr>
      <w:r>
        <w:rPr>
          <w:rFonts w:hint="eastAsia"/>
          <w:sz w:val="18"/>
          <w:szCs w:val="18"/>
        </w:rPr>
        <w:t>．存货跌价准备的确认标准和计提方法</w:t>
      </w:r>
    </w:p>
    <w:p w:rsidR="005C49A8" w:rsidRDefault="005C49A8">
      <w:pPr>
        <w:pStyle w:val="a3"/>
        <w:spacing w:before="0" w:beforeAutospacing="0" w:after="0" w:afterAutospacing="0"/>
        <w:ind w:firstLine="420"/>
        <w:jc w:val="both"/>
        <w:divId w:val="1505438607"/>
      </w:pPr>
      <w:r>
        <w:rPr>
          <w:rFonts w:hint="eastAsia"/>
          <w:sz w:val="18"/>
          <w:szCs w:val="18"/>
        </w:rPr>
        <w:t>期末对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w:t>
      </w:r>
      <w:r>
        <w:rPr>
          <w:rFonts w:hint="eastAsia"/>
          <w:sz w:val="18"/>
          <w:szCs w:val="18"/>
        </w:rPr>
        <w:lastRenderedPageBreak/>
        <w:t>同而持有的存货，其可变现净值以合同价格为基础计算，若持有存货的数量多于销售合同订购数量的，超出部分的存货的可变现净值以一般销售价格为基础计算。</w:t>
      </w:r>
    </w:p>
    <w:p w:rsidR="005C49A8" w:rsidRDefault="005C49A8">
      <w:pPr>
        <w:pStyle w:val="a3"/>
        <w:spacing w:before="0" w:beforeAutospacing="0" w:after="0" w:afterAutospacing="0"/>
        <w:ind w:firstLine="420"/>
        <w:jc w:val="both"/>
        <w:divId w:val="1505438607"/>
      </w:pPr>
      <w:r>
        <w:rPr>
          <w:rFonts w:hint="eastAsia"/>
          <w:sz w:val="18"/>
          <w:szCs w:val="18"/>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5C49A8" w:rsidRDefault="005C49A8">
      <w:pPr>
        <w:pStyle w:val="a3"/>
        <w:divId w:val="1505438607"/>
      </w:pPr>
      <w:r>
        <w:rPr>
          <w:rFonts w:hint="eastAsia"/>
          <w:sz w:val="18"/>
          <w:szCs w:val="18"/>
        </w:rPr>
        <w:t>以前减记存货价值的影响因素已经消失的，减记的金额予以恢复，并在原已计提的存货跌价准备金额内转回，转回的金额计入当期损益。</w:t>
      </w:r>
    </w:p>
    <w:p w:rsidR="008820E4" w:rsidRDefault="005C49A8">
      <w:pPr>
        <w:pStyle w:val="3"/>
        <w:spacing w:line="280" w:lineRule="exact"/>
        <w:jc w:val="left"/>
        <w:rPr>
          <w:rFonts w:ascii="宋体" w:hAnsi="宋体" w:cs="宋体"/>
          <w:b/>
          <w:bCs/>
        </w:rPr>
      </w:pPr>
      <w:bookmarkStart w:id="34" w:name="_Toc989025"/>
      <w:r>
        <w:rPr>
          <w:rFonts w:ascii="宋体" w:hAnsi="宋体" w:cs="宋体"/>
          <w:b/>
          <w:bCs/>
        </w:rPr>
        <w:t>19、债权投资</w:t>
      </w:r>
      <w:bookmarkEnd w:id="34"/>
    </w:p>
    <w:p w:rsidR="005C49A8" w:rsidRDefault="005C49A8">
      <w:pPr>
        <w:pStyle w:val="a3"/>
        <w:spacing w:before="0" w:beforeAutospacing="0" w:after="0" w:afterAutospacing="0"/>
        <w:ind w:firstLine="420"/>
        <w:jc w:val="both"/>
        <w:divId w:val="598299095"/>
      </w:pPr>
      <w:r>
        <w:rPr>
          <w:rFonts w:hint="eastAsia"/>
          <w:sz w:val="18"/>
          <w:szCs w:val="18"/>
        </w:rPr>
        <w:t>本公司对债权投资的预期信用损失的确定方法及会计处理方法详见本附注（十）6.金融工具减值。</w:t>
      </w:r>
    </w:p>
    <w:p w:rsidR="008820E4" w:rsidRDefault="005C49A8">
      <w:pPr>
        <w:pStyle w:val="3"/>
        <w:spacing w:line="280" w:lineRule="exact"/>
        <w:jc w:val="left"/>
        <w:rPr>
          <w:rFonts w:ascii="宋体" w:hAnsi="宋体" w:cs="宋体"/>
          <w:b/>
          <w:bCs/>
        </w:rPr>
      </w:pPr>
      <w:bookmarkStart w:id="35" w:name="_Toc989026"/>
      <w:r>
        <w:rPr>
          <w:rFonts w:ascii="宋体" w:hAnsi="宋体" w:cs="宋体"/>
          <w:b/>
          <w:bCs/>
        </w:rPr>
        <w:t>20、其他债权投资</w:t>
      </w:r>
      <w:bookmarkEnd w:id="35"/>
    </w:p>
    <w:p w:rsidR="005C49A8" w:rsidRDefault="005C49A8">
      <w:pPr>
        <w:pStyle w:val="a3"/>
        <w:spacing w:before="0" w:beforeAutospacing="0" w:after="0" w:afterAutospacing="0"/>
        <w:ind w:firstLine="420"/>
        <w:jc w:val="both"/>
        <w:divId w:val="880871105"/>
      </w:pPr>
      <w:r>
        <w:rPr>
          <w:rFonts w:hint="eastAsia"/>
          <w:sz w:val="18"/>
          <w:szCs w:val="18"/>
        </w:rPr>
        <w:t>本公司对债权投资的预期信用损失的确定方法及会计处理方法详见本附注（十）6.金融工具减值。</w:t>
      </w:r>
    </w:p>
    <w:p w:rsidR="008820E4" w:rsidRDefault="005C49A8">
      <w:pPr>
        <w:pStyle w:val="3"/>
        <w:spacing w:line="280" w:lineRule="exact"/>
        <w:jc w:val="left"/>
        <w:rPr>
          <w:rFonts w:ascii="宋体" w:hAnsi="宋体" w:cs="宋体"/>
          <w:b/>
          <w:bCs/>
        </w:rPr>
      </w:pPr>
      <w:bookmarkStart w:id="36" w:name="_Toc989027"/>
      <w:r>
        <w:rPr>
          <w:rFonts w:ascii="宋体" w:hAnsi="宋体" w:cs="宋体"/>
          <w:b/>
          <w:bCs/>
        </w:rPr>
        <w:t>21、长期应收款</w:t>
      </w:r>
      <w:bookmarkEnd w:id="36"/>
    </w:p>
    <w:p w:rsidR="005C49A8" w:rsidRDefault="005C49A8">
      <w:pPr>
        <w:pStyle w:val="a3"/>
        <w:spacing w:before="0" w:beforeAutospacing="0" w:after="0" w:afterAutospacing="0"/>
        <w:ind w:firstLine="420"/>
        <w:jc w:val="both"/>
        <w:divId w:val="965545236"/>
      </w:pPr>
      <w:r>
        <w:rPr>
          <w:rFonts w:hint="eastAsia"/>
          <w:sz w:val="18"/>
          <w:szCs w:val="18"/>
        </w:rPr>
        <w:t>本公司对长期应收款的预期信用损失的确定方法及会计处理方法详见本附注（十）6.金融工具减值。</w:t>
      </w:r>
    </w:p>
    <w:p w:rsidR="005C49A8" w:rsidRDefault="005C49A8">
      <w:pPr>
        <w:pStyle w:val="a3"/>
        <w:spacing w:before="0" w:beforeAutospacing="0" w:after="0" w:afterAutospacing="0"/>
        <w:ind w:firstLine="420"/>
        <w:jc w:val="both"/>
        <w:divId w:val="965545236"/>
      </w:pPr>
      <w:r>
        <w:rPr>
          <w:rFonts w:hint="eastAsia"/>
          <w:sz w:val="18"/>
          <w:szCs w:val="18"/>
        </w:rPr>
        <w:t>本公司对单项金额重大且在初始确认后已经发生信用减值的长期应收款单独确定其信用损失。</w:t>
      </w:r>
    </w:p>
    <w:p w:rsidR="005C49A8" w:rsidRDefault="005C49A8">
      <w:pPr>
        <w:pStyle w:val="a3"/>
        <w:spacing w:before="0" w:beforeAutospacing="0" w:after="0" w:afterAutospacing="0"/>
        <w:ind w:firstLine="420"/>
        <w:jc w:val="both"/>
        <w:divId w:val="965545236"/>
      </w:pPr>
      <w:r>
        <w:rPr>
          <w:rFonts w:hint="eastAsia"/>
          <w:sz w:val="18"/>
          <w:szCs w:val="18"/>
        </w:rPr>
        <w:t>当在单项工具层面无法以合理成本评估预期信用损失的充分证据时，本公司参考历史信用损失经验，结合当前状况以及对未来经济状况的判断，依据信用风险特征将长期应收款划分为若干组合，在组合基础上计算预期信用损失。确定组合的依据如下：</w:t>
      </w:r>
    </w:p>
    <w:tbl>
      <w:tblPr>
        <w:tblW w:w="5000" w:type="pct"/>
        <w:tblCellMar>
          <w:left w:w="0" w:type="dxa"/>
          <w:right w:w="0" w:type="dxa"/>
        </w:tblCellMar>
        <w:tblLook w:val="04A0" w:firstRow="1" w:lastRow="0" w:firstColumn="1" w:lastColumn="0" w:noHBand="0" w:noVBand="1"/>
        <w:tblCaption w:val="D:\大华\华孚\2024年度\TB|0-合并TB-华孚时尚股份有限公司-2024年度.xlsx|W附注模板|_jds10|0|desc|||0|1"/>
      </w:tblPr>
      <w:tblGrid>
        <w:gridCol w:w="1553"/>
        <w:gridCol w:w="4150"/>
        <w:gridCol w:w="4150"/>
      </w:tblGrid>
      <w:tr w:rsidR="005C49A8" w:rsidTr="00F7271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组合名称</w:t>
            </w:r>
          </w:p>
        </w:tc>
        <w:tc>
          <w:tcPr>
            <w:tcW w:w="415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确定组合的依据</w:t>
            </w:r>
          </w:p>
        </w:tc>
        <w:tc>
          <w:tcPr>
            <w:tcW w:w="415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计提方法</w:t>
            </w:r>
          </w:p>
        </w:tc>
      </w:tr>
      <w:tr w:rsidR="005C49A8" w:rsidTr="00CF103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风险组合</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本组合以长期应收款的账龄作为信用风险特征</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参考历史信用损失经验，结合当前状况以及对未来经济状况的预期计量坏账准备</w:t>
            </w:r>
          </w:p>
        </w:tc>
      </w:tr>
      <w:tr w:rsidR="005C49A8" w:rsidTr="00CF103B">
        <w:trPr>
          <w:divId w:val="965545236"/>
          <w:trHeight w:val="340"/>
        </w:trPr>
        <w:tc>
          <w:tcPr>
            <w:tcW w:w="155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性质组合</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根据业务性质，主要包括合并范围内关联方的款项、出口退税款</w:t>
            </w:r>
          </w:p>
        </w:tc>
        <w:tc>
          <w:tcPr>
            <w:tcW w:w="4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textAlignment w:val="center"/>
            </w:pPr>
            <w:r>
              <w:rPr>
                <w:rFonts w:hint="eastAsia"/>
                <w:sz w:val="18"/>
                <w:szCs w:val="18"/>
              </w:rPr>
              <w:t>参考历史信用损失经验，结合当前状况以及对未来经济状况的预期计量坏账准备</w:t>
            </w:r>
          </w:p>
        </w:tc>
      </w:tr>
    </w:tbl>
    <w:p w:rsidR="008820E4" w:rsidRDefault="005C49A8">
      <w:pPr>
        <w:pStyle w:val="3"/>
        <w:spacing w:line="280" w:lineRule="exact"/>
        <w:jc w:val="left"/>
        <w:rPr>
          <w:rFonts w:ascii="宋体" w:hAnsi="宋体" w:cs="宋体"/>
          <w:b/>
          <w:bCs/>
        </w:rPr>
      </w:pPr>
      <w:bookmarkStart w:id="37" w:name="_Toc989028"/>
      <w:r>
        <w:rPr>
          <w:rFonts w:ascii="宋体" w:hAnsi="宋体" w:cs="宋体"/>
          <w:b/>
          <w:bCs/>
        </w:rPr>
        <w:t>22、长期股权投资</w:t>
      </w:r>
      <w:bookmarkEnd w:id="37"/>
    </w:p>
    <w:p w:rsidR="005C49A8" w:rsidRDefault="005C49A8" w:rsidP="00C50357">
      <w:pPr>
        <w:widowControl/>
        <w:numPr>
          <w:ilvl w:val="0"/>
          <w:numId w:val="96"/>
        </w:numPr>
        <w:spacing w:before="100" w:beforeAutospacing="1" w:after="100" w:afterAutospacing="1"/>
        <w:divId w:val="1654139841"/>
        <w:rPr>
          <w:sz w:val="18"/>
          <w:szCs w:val="18"/>
        </w:rPr>
      </w:pPr>
      <w:r>
        <w:rPr>
          <w:rFonts w:hint="eastAsia"/>
          <w:sz w:val="18"/>
          <w:szCs w:val="18"/>
        </w:rPr>
        <w:t>．初始投资成本的确定</w:t>
      </w:r>
    </w:p>
    <w:p w:rsidR="005C49A8" w:rsidRDefault="005C49A8">
      <w:pPr>
        <w:pStyle w:val="a3"/>
        <w:spacing w:before="0" w:beforeAutospacing="0" w:after="0" w:afterAutospacing="0"/>
        <w:ind w:firstLine="420"/>
        <w:jc w:val="both"/>
        <w:divId w:val="1654139841"/>
      </w:pPr>
      <w:r>
        <w:rPr>
          <w:rFonts w:hint="eastAsia"/>
          <w:sz w:val="18"/>
          <w:szCs w:val="18"/>
        </w:rPr>
        <w:t>（1）企业合并形成的长期股权投资，具体会计政策详见本附注（七）同一控制下和非同一控制下企业合并的会计处理方法。</w:t>
      </w:r>
    </w:p>
    <w:p w:rsidR="005C49A8" w:rsidRDefault="005C49A8">
      <w:pPr>
        <w:pStyle w:val="a3"/>
        <w:spacing w:before="0" w:beforeAutospacing="0" w:after="0" w:afterAutospacing="0"/>
        <w:ind w:firstLine="420"/>
        <w:jc w:val="both"/>
        <w:divId w:val="1654139841"/>
      </w:pPr>
      <w:r>
        <w:rPr>
          <w:rFonts w:hint="eastAsia"/>
          <w:sz w:val="18"/>
          <w:szCs w:val="18"/>
        </w:rPr>
        <w:t>（2）其他方式取得的长期股权投资</w:t>
      </w:r>
    </w:p>
    <w:p w:rsidR="005C49A8" w:rsidRDefault="005C49A8">
      <w:pPr>
        <w:pStyle w:val="a3"/>
        <w:spacing w:before="0" w:beforeAutospacing="0" w:after="0" w:afterAutospacing="0"/>
        <w:ind w:firstLine="420"/>
        <w:jc w:val="both"/>
        <w:divId w:val="1654139841"/>
      </w:pPr>
      <w:r>
        <w:rPr>
          <w:rFonts w:hint="eastAsia"/>
          <w:sz w:val="18"/>
          <w:szCs w:val="18"/>
        </w:rPr>
        <w:t>以支付现金方式取得的长期股权投资，按照实际支付的购买价款作为初始投资成本。初始投资成本包括与取得长期股权投资直接相关的费用、税金及其他必要支出。</w:t>
      </w:r>
    </w:p>
    <w:p w:rsidR="005C49A8" w:rsidRDefault="005C49A8">
      <w:pPr>
        <w:pStyle w:val="a3"/>
        <w:spacing w:before="0" w:beforeAutospacing="0" w:after="0" w:afterAutospacing="0"/>
        <w:ind w:firstLine="420"/>
        <w:jc w:val="both"/>
        <w:divId w:val="1654139841"/>
      </w:pPr>
      <w:r>
        <w:rPr>
          <w:rFonts w:hint="eastAsia"/>
          <w:sz w:val="18"/>
          <w:szCs w:val="18"/>
        </w:rPr>
        <w:t>以发行权益性证券取得的长期股权投资，按照发行权益性证券的公允价值作为初始投资成本；发行或取得自身权益工具时发生的交易费用，可直接归属于权益性交易的从权益中扣减。</w:t>
      </w:r>
    </w:p>
    <w:p w:rsidR="005C49A8" w:rsidRDefault="005C49A8">
      <w:pPr>
        <w:pStyle w:val="a3"/>
        <w:spacing w:before="0" w:beforeAutospacing="0" w:after="0" w:afterAutospacing="0"/>
        <w:ind w:firstLine="420"/>
        <w:jc w:val="both"/>
        <w:divId w:val="1654139841"/>
      </w:pPr>
      <w:r>
        <w:rPr>
          <w:rFonts w:hint="eastAsia"/>
          <w:sz w:val="18"/>
          <w:szCs w:val="18"/>
        </w:rPr>
        <w:t>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w:t>
      </w:r>
    </w:p>
    <w:p w:rsidR="005C49A8" w:rsidRDefault="005C49A8">
      <w:pPr>
        <w:pStyle w:val="a3"/>
        <w:spacing w:before="0" w:beforeAutospacing="0" w:after="0" w:afterAutospacing="0"/>
        <w:ind w:firstLine="420"/>
        <w:jc w:val="both"/>
        <w:divId w:val="1654139841"/>
      </w:pPr>
      <w:r>
        <w:rPr>
          <w:rFonts w:hint="eastAsia"/>
          <w:sz w:val="18"/>
          <w:szCs w:val="18"/>
        </w:rPr>
        <w:t>通过债务重组取得的长期股权投资，其初始投资成本按照公允价值为基础确定。</w:t>
      </w:r>
    </w:p>
    <w:p w:rsidR="005C49A8" w:rsidRDefault="005C49A8" w:rsidP="00C50357">
      <w:pPr>
        <w:widowControl/>
        <w:numPr>
          <w:ilvl w:val="0"/>
          <w:numId w:val="97"/>
        </w:numPr>
        <w:spacing w:before="100" w:beforeAutospacing="1" w:after="100" w:afterAutospacing="1"/>
        <w:divId w:val="1654139841"/>
        <w:rPr>
          <w:sz w:val="18"/>
          <w:szCs w:val="18"/>
        </w:rPr>
      </w:pPr>
      <w:r>
        <w:rPr>
          <w:rFonts w:hint="eastAsia"/>
          <w:sz w:val="18"/>
          <w:szCs w:val="18"/>
        </w:rPr>
        <w:lastRenderedPageBreak/>
        <w:t>．后续计量及损益确认</w:t>
      </w:r>
    </w:p>
    <w:p w:rsidR="005C49A8" w:rsidRDefault="005C49A8">
      <w:pPr>
        <w:pStyle w:val="a3"/>
        <w:spacing w:before="0" w:beforeAutospacing="0" w:after="0" w:afterAutospacing="0"/>
        <w:ind w:firstLine="420"/>
        <w:jc w:val="both"/>
        <w:divId w:val="1654139841"/>
      </w:pPr>
      <w:r>
        <w:rPr>
          <w:rFonts w:hint="eastAsia"/>
          <w:sz w:val="18"/>
          <w:szCs w:val="18"/>
        </w:rPr>
        <w:t>（1）成本法</w:t>
      </w:r>
    </w:p>
    <w:p w:rsidR="005C49A8" w:rsidRDefault="005C49A8">
      <w:pPr>
        <w:pStyle w:val="a3"/>
        <w:spacing w:before="0" w:beforeAutospacing="0" w:after="0" w:afterAutospacing="0"/>
        <w:ind w:firstLine="420"/>
        <w:jc w:val="both"/>
        <w:divId w:val="1654139841"/>
      </w:pPr>
      <w:r>
        <w:rPr>
          <w:rFonts w:hint="eastAsia"/>
          <w:sz w:val="18"/>
          <w:szCs w:val="18"/>
        </w:rPr>
        <w:t>本公司能够对被投资单位实施控制的长期股权投资采用成本法核算，并按照初始投资成本计价，追加或收回投资调整长期股权投资的成本。</w:t>
      </w:r>
    </w:p>
    <w:p w:rsidR="005C49A8" w:rsidRDefault="005C49A8">
      <w:pPr>
        <w:pStyle w:val="a3"/>
        <w:spacing w:before="0" w:beforeAutospacing="0" w:after="0" w:afterAutospacing="0"/>
        <w:ind w:firstLine="420"/>
        <w:jc w:val="both"/>
        <w:divId w:val="1654139841"/>
      </w:pPr>
      <w:r>
        <w:rPr>
          <w:rFonts w:hint="eastAsia"/>
          <w:sz w:val="18"/>
          <w:szCs w:val="18"/>
        </w:rPr>
        <w:t>除取得投资时实际支付的价款或对价中包含的已宣告但尚未发放的现金股利或利润外，本公司按照享有被投资单位宣告分派的现金股利或利润确认为当期投资收益。</w:t>
      </w:r>
    </w:p>
    <w:p w:rsidR="005C49A8" w:rsidRDefault="005C49A8">
      <w:pPr>
        <w:pStyle w:val="a3"/>
        <w:spacing w:before="0" w:beforeAutospacing="0" w:after="0" w:afterAutospacing="0"/>
        <w:ind w:firstLine="420"/>
        <w:jc w:val="both"/>
        <w:divId w:val="1654139841"/>
      </w:pPr>
      <w:r>
        <w:rPr>
          <w:rFonts w:hint="eastAsia"/>
          <w:sz w:val="18"/>
          <w:szCs w:val="18"/>
        </w:rPr>
        <w:t>（2）权益法</w:t>
      </w:r>
    </w:p>
    <w:p w:rsidR="005C49A8" w:rsidRDefault="005C49A8">
      <w:pPr>
        <w:pStyle w:val="a3"/>
        <w:spacing w:before="0" w:beforeAutospacing="0" w:after="0" w:afterAutospacing="0"/>
        <w:ind w:firstLine="420"/>
        <w:jc w:val="both"/>
        <w:divId w:val="1654139841"/>
      </w:pPr>
      <w:r>
        <w:rPr>
          <w:rFonts w:hint="eastAsia"/>
          <w:sz w:val="18"/>
          <w:szCs w:val="18"/>
        </w:rPr>
        <w:t>本公司对联营企业和合营企业的长期股权投资采用权益法核算；对于其中一部分通过风险投资机构、共同基金、信托公司或包括投连险基金在内的类似主体间接持有的联营企业的权益性投资，采用公允价值计量且其变动计入损益。</w:t>
      </w:r>
    </w:p>
    <w:p w:rsidR="005C49A8" w:rsidRDefault="005C49A8">
      <w:pPr>
        <w:pStyle w:val="a3"/>
        <w:spacing w:before="0" w:beforeAutospacing="0" w:after="0" w:afterAutospacing="0"/>
        <w:ind w:firstLine="420"/>
        <w:jc w:val="both"/>
        <w:divId w:val="1654139841"/>
      </w:pPr>
      <w:r>
        <w:rPr>
          <w:rFonts w:hint="eastAsia"/>
          <w:sz w:val="18"/>
          <w:szCs w:val="18"/>
        </w:rPr>
        <w:t>长期股权投资的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本公司取得长期股权投资后，按照应享有或应分担的被投资单位实现的净损益和其他综合收益的份额，分别确认投资收益和其他综合收益，同时调整长期股权投资的账面价值；并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5C49A8" w:rsidRDefault="005C49A8">
      <w:pPr>
        <w:pStyle w:val="a3"/>
        <w:spacing w:before="0" w:beforeAutospacing="0" w:after="0" w:afterAutospacing="0"/>
        <w:ind w:firstLine="420"/>
        <w:jc w:val="both"/>
        <w:divId w:val="1654139841"/>
      </w:pPr>
      <w:r>
        <w:rPr>
          <w:rFonts w:hint="eastAsia"/>
          <w:sz w:val="18"/>
          <w:szCs w:val="18"/>
        </w:rPr>
        <w:t>本公司在确认应享有被投资单位净损益的份额时，以取得投资时被投资单位各项可辨认资产等的公允价值为基础，对被投资单位的净利润进行调整后确认。本公司与联营企业、合营企业之间发生的未实现内部交易损益按照应享有的比例计算归属于本公司的部分予以抵销，在此基础上确认投资损益。</w:t>
      </w:r>
    </w:p>
    <w:p w:rsidR="005C49A8" w:rsidRDefault="005C49A8">
      <w:pPr>
        <w:pStyle w:val="a3"/>
        <w:spacing w:before="0" w:beforeAutospacing="0" w:after="0" w:afterAutospacing="0"/>
        <w:ind w:firstLine="420"/>
        <w:jc w:val="both"/>
        <w:divId w:val="1654139841"/>
      </w:pPr>
      <w:r>
        <w:rPr>
          <w:rFonts w:hint="eastAsia"/>
          <w:sz w:val="18"/>
          <w:szCs w:val="18"/>
        </w:rPr>
        <w:t>本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5C49A8" w:rsidRDefault="005C49A8">
      <w:pPr>
        <w:pStyle w:val="a3"/>
        <w:spacing w:before="0" w:beforeAutospacing="0" w:after="0" w:afterAutospacing="0"/>
        <w:ind w:firstLine="420"/>
        <w:jc w:val="both"/>
        <w:divId w:val="1654139841"/>
      </w:pPr>
      <w:r>
        <w:rPr>
          <w:rFonts w:hint="eastAsia"/>
          <w:sz w:val="18"/>
          <w:szCs w:val="18"/>
        </w:rPr>
        <w:t>被投资单位以后期间实现盈利的，公司在扣除未确认的亏损分担额后，按与上述相反的顺序处理，减记已确认预计负债的账面余额、恢复其他实质上构成对被投资单位净投资的长期权益及长期股权投资的账面价值后，恢复确认投资收益。</w:t>
      </w:r>
    </w:p>
    <w:p w:rsidR="005C49A8" w:rsidRDefault="005C49A8" w:rsidP="00C50357">
      <w:pPr>
        <w:widowControl/>
        <w:numPr>
          <w:ilvl w:val="0"/>
          <w:numId w:val="98"/>
        </w:numPr>
        <w:spacing w:before="100" w:beforeAutospacing="1" w:after="100" w:afterAutospacing="1"/>
        <w:divId w:val="1654139841"/>
        <w:rPr>
          <w:sz w:val="18"/>
          <w:szCs w:val="18"/>
        </w:rPr>
      </w:pPr>
      <w:r>
        <w:rPr>
          <w:rFonts w:hint="eastAsia"/>
          <w:sz w:val="18"/>
          <w:szCs w:val="18"/>
        </w:rPr>
        <w:t>．长期股权投资核算方法的转换</w:t>
      </w:r>
    </w:p>
    <w:p w:rsidR="005C49A8" w:rsidRDefault="005C49A8" w:rsidP="00C50357">
      <w:pPr>
        <w:widowControl/>
        <w:numPr>
          <w:ilvl w:val="0"/>
          <w:numId w:val="99"/>
        </w:numPr>
        <w:divId w:val="1654139841"/>
        <w:rPr>
          <w:rFonts w:ascii="Calibri" w:hAnsi="Calibri" w:cs="Calibri"/>
          <w:szCs w:val="21"/>
        </w:rPr>
      </w:pPr>
      <w:r>
        <w:rPr>
          <w:rFonts w:cs="Calibri" w:hint="eastAsia"/>
          <w:sz w:val="18"/>
          <w:szCs w:val="18"/>
        </w:rPr>
        <w:t>公允价值计量转权益法核算</w:t>
      </w:r>
    </w:p>
    <w:p w:rsidR="005C49A8" w:rsidRDefault="005C49A8">
      <w:pPr>
        <w:pStyle w:val="a3"/>
        <w:spacing w:before="0" w:beforeAutospacing="0" w:after="0" w:afterAutospacing="0"/>
        <w:ind w:firstLine="420"/>
        <w:jc w:val="both"/>
        <w:divId w:val="1654139841"/>
      </w:pPr>
      <w:r>
        <w:rPr>
          <w:rFonts w:hint="eastAsia"/>
          <w:sz w:val="18"/>
          <w:szCs w:val="18"/>
        </w:rPr>
        <w:t>本公司原持有的对被投资单位不具有控制、共同控制或重大影响的按金融工具确认和计量准则进行会计处理的权益性投资，因追加投资等原因能够对被投资单位施加重大影响或实施共同控制但不构成控制的，按照《企业会计准则第22号——金融工具确认和计量》确定的原持有的股权投资的公允价值加上为取得新增投资而应支付对价的公允价值，作为改按权益法核算的初始投资成本。原持有的股权投资指定为以公允价值计量且其变动计入其他综合收益的非交易性权益工具投资的，其公允价值与账面价值之间的差额以及原计入其他综合收益的累计公允价值变动直接转入留存收益。</w:t>
      </w:r>
    </w:p>
    <w:p w:rsidR="005C49A8" w:rsidRDefault="005C49A8">
      <w:pPr>
        <w:pStyle w:val="a3"/>
        <w:spacing w:before="0" w:beforeAutospacing="0" w:after="0" w:afterAutospacing="0"/>
        <w:ind w:firstLine="420"/>
        <w:jc w:val="both"/>
        <w:divId w:val="1654139841"/>
      </w:pPr>
      <w:r>
        <w:rPr>
          <w:rFonts w:hint="eastAsia"/>
          <w:sz w:val="18"/>
          <w:szCs w:val="18"/>
        </w:rPr>
        <w:t>按权益法核算的初始投资成本小于按照追加投资后全新的持股比例计算确定的应享有被投资单位在追加投资日可辨认净资产公允价值份额之间的差额，调整长期股权投资的账面价值，并计入当期营业外收入。</w:t>
      </w:r>
    </w:p>
    <w:p w:rsidR="005C49A8" w:rsidRDefault="005C49A8" w:rsidP="00C50357">
      <w:pPr>
        <w:widowControl/>
        <w:numPr>
          <w:ilvl w:val="0"/>
          <w:numId w:val="100"/>
        </w:numPr>
        <w:divId w:val="1654139841"/>
        <w:rPr>
          <w:rFonts w:ascii="Calibri" w:hAnsi="Calibri" w:cs="Calibri"/>
          <w:szCs w:val="21"/>
        </w:rPr>
      </w:pPr>
      <w:r>
        <w:rPr>
          <w:rFonts w:cs="Calibri" w:hint="eastAsia"/>
          <w:sz w:val="18"/>
          <w:szCs w:val="18"/>
        </w:rPr>
        <w:t>公允价值计量或权益法核算转成本法核算</w:t>
      </w:r>
    </w:p>
    <w:p w:rsidR="005C49A8" w:rsidRDefault="005C49A8">
      <w:pPr>
        <w:pStyle w:val="a3"/>
        <w:spacing w:before="0" w:beforeAutospacing="0" w:after="0" w:afterAutospacing="0"/>
        <w:ind w:firstLine="420"/>
        <w:jc w:val="both"/>
        <w:divId w:val="1654139841"/>
      </w:pPr>
      <w:r>
        <w:rPr>
          <w:rFonts w:hint="eastAsia"/>
          <w:sz w:val="18"/>
          <w:szCs w:val="18"/>
        </w:rPr>
        <w:t>本公司原持有的对被投资单位不具有控制、共同控制或重大影响的按金融工具确认和计量准则进行会计处理的权益性投资，或原持有对联营企业、合营企业的长期股权投资，因追加投资等原因能够对非同一控制下的被投资单位实施控制的，在编制个别财务报表时，按照原持有的股权投资账面价值加上新增投资成本之和，作为改按成本法核算的初始投资成本。</w:t>
      </w:r>
    </w:p>
    <w:p w:rsidR="005C49A8" w:rsidRDefault="005C49A8">
      <w:pPr>
        <w:pStyle w:val="a3"/>
        <w:spacing w:before="0" w:beforeAutospacing="0" w:after="0" w:afterAutospacing="0"/>
        <w:ind w:firstLine="420"/>
        <w:jc w:val="both"/>
        <w:divId w:val="1654139841"/>
      </w:pPr>
      <w:r>
        <w:rPr>
          <w:rFonts w:hint="eastAsia"/>
          <w:sz w:val="18"/>
          <w:szCs w:val="18"/>
        </w:rPr>
        <w:t>购买日之前持有的股权投资因采用权益法核算而确认的其他综合收益，在处置该项投资时采用与被投资单位直接处置相关资产或负债相同的基础进行会计处理。</w:t>
      </w:r>
    </w:p>
    <w:p w:rsidR="005C49A8" w:rsidRDefault="005C49A8">
      <w:pPr>
        <w:pStyle w:val="a3"/>
        <w:spacing w:before="0" w:beforeAutospacing="0" w:after="0" w:afterAutospacing="0"/>
        <w:ind w:firstLine="420"/>
        <w:jc w:val="both"/>
        <w:divId w:val="1654139841"/>
      </w:pPr>
      <w:r>
        <w:rPr>
          <w:rFonts w:hint="eastAsia"/>
          <w:sz w:val="18"/>
          <w:szCs w:val="18"/>
        </w:rPr>
        <w:lastRenderedPageBreak/>
        <w:t>购买日之前持有的股权投资按照《企业会计准则第22号——金融工具确认和计量》的有关规定进行会计处理的，原计入其他综合收益的累计公允价值变动在改按成本法核算时转入当期损益。</w:t>
      </w:r>
    </w:p>
    <w:p w:rsidR="005C49A8" w:rsidRDefault="005C49A8" w:rsidP="00C50357">
      <w:pPr>
        <w:widowControl/>
        <w:numPr>
          <w:ilvl w:val="0"/>
          <w:numId w:val="101"/>
        </w:numPr>
        <w:divId w:val="1654139841"/>
        <w:rPr>
          <w:rFonts w:ascii="Calibri" w:hAnsi="Calibri" w:cs="Calibri"/>
          <w:szCs w:val="21"/>
        </w:rPr>
      </w:pPr>
      <w:r>
        <w:rPr>
          <w:rFonts w:cs="Calibri" w:hint="eastAsia"/>
          <w:sz w:val="18"/>
          <w:szCs w:val="18"/>
        </w:rPr>
        <w:t>权益法核算转公允价值计量</w:t>
      </w:r>
    </w:p>
    <w:p w:rsidR="005C49A8" w:rsidRDefault="005C49A8">
      <w:pPr>
        <w:pStyle w:val="a3"/>
        <w:spacing w:before="0" w:beforeAutospacing="0" w:after="0" w:afterAutospacing="0"/>
        <w:ind w:firstLine="420"/>
        <w:jc w:val="both"/>
        <w:divId w:val="1654139841"/>
      </w:pPr>
      <w:r>
        <w:rPr>
          <w:rFonts w:hint="eastAsia"/>
          <w:sz w:val="18"/>
          <w:szCs w:val="18"/>
        </w:rPr>
        <w:t>本公司因处置部分股权投资等原因丧失了对被投资单位的共同控制或重大影响的，处置后的剩余股权改按《企业会计准则第22号——金融工具确认和计量》核算，其在丧失共同控制或重大影响之日的公允价值与账面价值之间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原股权投资因采用权益法核算而确认的其他综合收益，在终止采用权益法核算时采用与被投资单位直接处置相关资产或负债相同的基础进行会计处理。</w:t>
      </w:r>
    </w:p>
    <w:p w:rsidR="005C49A8" w:rsidRDefault="005C49A8" w:rsidP="00C50357">
      <w:pPr>
        <w:widowControl/>
        <w:numPr>
          <w:ilvl w:val="0"/>
          <w:numId w:val="102"/>
        </w:numPr>
        <w:divId w:val="1654139841"/>
        <w:rPr>
          <w:rFonts w:ascii="Calibri" w:hAnsi="Calibri" w:cs="Calibri"/>
          <w:szCs w:val="21"/>
        </w:rPr>
      </w:pPr>
      <w:r>
        <w:rPr>
          <w:rFonts w:cs="Calibri" w:hint="eastAsia"/>
          <w:sz w:val="18"/>
          <w:szCs w:val="18"/>
        </w:rPr>
        <w:t>成本法转权益法</w:t>
      </w:r>
    </w:p>
    <w:p w:rsidR="005C49A8" w:rsidRDefault="005C49A8">
      <w:pPr>
        <w:pStyle w:val="a3"/>
        <w:spacing w:before="0" w:beforeAutospacing="0" w:after="0" w:afterAutospacing="0"/>
        <w:ind w:firstLine="420"/>
        <w:jc w:val="both"/>
        <w:divId w:val="1654139841"/>
      </w:pPr>
      <w:r>
        <w:rPr>
          <w:rFonts w:hint="eastAsia"/>
          <w:sz w:val="18"/>
          <w:szCs w:val="18"/>
        </w:rPr>
        <w:t>本公司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w:t>
      </w:r>
    </w:p>
    <w:p w:rsidR="005C49A8" w:rsidRDefault="005C49A8" w:rsidP="00C50357">
      <w:pPr>
        <w:widowControl/>
        <w:numPr>
          <w:ilvl w:val="0"/>
          <w:numId w:val="103"/>
        </w:numPr>
        <w:divId w:val="1654139841"/>
        <w:rPr>
          <w:rFonts w:ascii="Calibri" w:hAnsi="Calibri" w:cs="Calibri"/>
          <w:szCs w:val="21"/>
        </w:rPr>
      </w:pPr>
      <w:r>
        <w:rPr>
          <w:rFonts w:cs="Calibri" w:hint="eastAsia"/>
          <w:sz w:val="18"/>
          <w:szCs w:val="18"/>
        </w:rPr>
        <w:t>成本法转公允价值计量</w:t>
      </w:r>
    </w:p>
    <w:p w:rsidR="005C49A8" w:rsidRDefault="005C49A8">
      <w:pPr>
        <w:pStyle w:val="a3"/>
        <w:spacing w:before="0" w:beforeAutospacing="0" w:after="0" w:afterAutospacing="0"/>
        <w:ind w:firstLine="420"/>
        <w:jc w:val="both"/>
        <w:divId w:val="1654139841"/>
      </w:pPr>
      <w:r>
        <w:rPr>
          <w:rFonts w:hint="eastAsia"/>
          <w:sz w:val="18"/>
          <w:szCs w:val="18"/>
        </w:rPr>
        <w:t>本公司因处置部分权益性投资等原因丧失了对被投资单位的控制的，在编制个别财务报表时，处置后的剩余股权不能对被投资单位实施共同控制或施加重大影响的，改按《企业会计准则第22号——金融工具确认和计量》的有关规定进行会计处理，其在丧失控制之日的公允价值与账面价值间的差额计入当期损益。</w:t>
      </w:r>
    </w:p>
    <w:p w:rsidR="005C49A8" w:rsidRDefault="005C49A8" w:rsidP="00C50357">
      <w:pPr>
        <w:widowControl/>
        <w:numPr>
          <w:ilvl w:val="0"/>
          <w:numId w:val="104"/>
        </w:numPr>
        <w:spacing w:before="100" w:beforeAutospacing="1" w:after="100" w:afterAutospacing="1"/>
        <w:divId w:val="1654139841"/>
        <w:rPr>
          <w:sz w:val="18"/>
          <w:szCs w:val="18"/>
        </w:rPr>
      </w:pPr>
      <w:r>
        <w:rPr>
          <w:rFonts w:hint="eastAsia"/>
          <w:sz w:val="18"/>
          <w:szCs w:val="18"/>
        </w:rPr>
        <w:t>．长期股权投资的处置</w:t>
      </w:r>
    </w:p>
    <w:p w:rsidR="005C49A8" w:rsidRDefault="005C49A8">
      <w:pPr>
        <w:pStyle w:val="a3"/>
        <w:spacing w:before="0" w:beforeAutospacing="0" w:after="0" w:afterAutospacing="0"/>
        <w:ind w:firstLine="420"/>
        <w:jc w:val="both"/>
        <w:divId w:val="1654139841"/>
      </w:pPr>
      <w:r>
        <w:rPr>
          <w:rFonts w:hint="eastAsia"/>
          <w:sz w:val="18"/>
          <w:szCs w:val="18"/>
        </w:rPr>
        <w:t>处置长期股权投资，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rsidR="005C49A8" w:rsidRDefault="005C49A8">
      <w:pPr>
        <w:pStyle w:val="a3"/>
        <w:spacing w:before="0" w:beforeAutospacing="0" w:after="0" w:afterAutospacing="0"/>
        <w:ind w:firstLine="420"/>
        <w:jc w:val="both"/>
        <w:divId w:val="1654139841"/>
      </w:pPr>
      <w:r>
        <w:rPr>
          <w:rFonts w:hint="eastAsia"/>
          <w:sz w:val="18"/>
          <w:szCs w:val="18"/>
        </w:rPr>
        <w:t>处置对子公司股权投资的各项交易的条款、条件以及经济影响符合以下一种或多种情况，将多次交易事项作为一揽子交易进行会计处理：</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这些交易是同时或者在考虑了彼此影响的情况下订立的；</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这些交易整体才能达成一项完整的商业结果；</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一项交易的发生取决于其他至少一项交易的发生；</w:t>
      </w:r>
    </w:p>
    <w:p w:rsidR="005C49A8" w:rsidRDefault="005C49A8" w:rsidP="00C50357">
      <w:pPr>
        <w:widowControl/>
        <w:numPr>
          <w:ilvl w:val="0"/>
          <w:numId w:val="105"/>
        </w:numPr>
        <w:divId w:val="1654139841"/>
        <w:rPr>
          <w:rFonts w:ascii="Calibri" w:hAnsi="Calibri" w:cs="Calibri"/>
          <w:szCs w:val="21"/>
        </w:rPr>
      </w:pPr>
      <w:r>
        <w:rPr>
          <w:rFonts w:cs="Calibri" w:hint="eastAsia"/>
          <w:sz w:val="18"/>
          <w:szCs w:val="18"/>
        </w:rPr>
        <w:t>一项交易单独看是不经济的，但是和其他交易一并考虑时是经济的。</w:t>
      </w:r>
    </w:p>
    <w:p w:rsidR="005C49A8" w:rsidRDefault="005C49A8">
      <w:pPr>
        <w:pStyle w:val="a3"/>
        <w:spacing w:before="0" w:beforeAutospacing="0" w:after="0" w:afterAutospacing="0"/>
        <w:ind w:firstLine="420"/>
        <w:jc w:val="both"/>
        <w:divId w:val="1654139841"/>
      </w:pPr>
      <w:r>
        <w:rPr>
          <w:rFonts w:hint="eastAsia"/>
          <w:sz w:val="18"/>
          <w:szCs w:val="18"/>
        </w:rPr>
        <w:t>因处置部分股权投资或其他原因丧失了对原有子公司控制权的，不属于一揽子交易的，区分个别财务报表和合并财务报表进行相关会计处理：</w:t>
      </w:r>
    </w:p>
    <w:p w:rsidR="005C49A8" w:rsidRDefault="005C49A8">
      <w:pPr>
        <w:pStyle w:val="a3"/>
        <w:spacing w:before="0" w:beforeAutospacing="0" w:after="0" w:afterAutospacing="0"/>
        <w:ind w:firstLine="420"/>
        <w:jc w:val="both"/>
        <w:divId w:val="1654139841"/>
      </w:pPr>
      <w:r>
        <w:rPr>
          <w:rFonts w:hint="eastAsia"/>
          <w:sz w:val="18"/>
          <w:szCs w:val="18"/>
        </w:rPr>
        <w:t>（1）在个别财务报表中，对于处置的股权，其账面价值与实际取得价款之间的差额计入当期损益。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w:t>
      </w:r>
    </w:p>
    <w:p w:rsidR="005C49A8" w:rsidRDefault="005C49A8">
      <w:pPr>
        <w:pStyle w:val="a3"/>
        <w:spacing w:before="0" w:beforeAutospacing="0" w:after="0" w:afterAutospacing="0"/>
        <w:ind w:firstLine="420"/>
        <w:jc w:val="both"/>
        <w:divId w:val="1654139841"/>
      </w:pPr>
      <w:r>
        <w:rPr>
          <w:rFonts w:hint="eastAsia"/>
          <w:sz w:val="18"/>
          <w:szCs w:val="18"/>
        </w:rPr>
        <w:t>（2）在合并财务报表中，对于在丧失对子公司控制权以前的各项交易，处置价款与处置长期股权投资相应对享有子公司自购买日或合并日开始持续计算的净资产份额之间的差额，调整资本公积（股本溢价），资本公积不足冲减的，依次冲减盈余公积、未分配利润；在丧失对子公司控制权时，对于剩余股权，按照其在丧失控制权日的公允价值进行重新计量。处置股权取得的对价与剩余股权公允价值之和，减去按原持股比例计算应享有原有子公司自购买日开始持续计算的净资产的份额与商誉之和的差额，计入丧失控制权当期的投资收益。与原有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rsidR="005C49A8" w:rsidRDefault="005C49A8">
      <w:pPr>
        <w:pStyle w:val="a3"/>
        <w:spacing w:before="0" w:beforeAutospacing="0" w:after="0" w:afterAutospacing="0"/>
        <w:ind w:firstLine="420"/>
        <w:jc w:val="both"/>
        <w:divId w:val="1654139841"/>
      </w:pPr>
      <w:r>
        <w:rPr>
          <w:rFonts w:hint="eastAsia"/>
          <w:sz w:val="18"/>
          <w:szCs w:val="18"/>
        </w:rPr>
        <w:t>处置对子公司股权投资直至丧失控制权的各项交易属于一揽子交易的，将各项交易作为一项处置子公司股权投资并丧失控制权的交易进行会计处理，区分个别财务报表和合并财务报表进行相关会计处理：</w:t>
      </w:r>
    </w:p>
    <w:p w:rsidR="005C49A8" w:rsidRDefault="005C49A8">
      <w:pPr>
        <w:pStyle w:val="a3"/>
        <w:spacing w:before="0" w:beforeAutospacing="0" w:after="0" w:afterAutospacing="0"/>
        <w:ind w:firstLine="420"/>
        <w:jc w:val="both"/>
        <w:divId w:val="1654139841"/>
      </w:pPr>
      <w:r>
        <w:rPr>
          <w:rFonts w:hint="eastAsia"/>
          <w:sz w:val="18"/>
          <w:szCs w:val="18"/>
        </w:rPr>
        <w:t>（1）在个别财务报表中，在丧失控制权之前每一次处置价款与处置的股权对应的长期股权投资账面价值之间的差额，确认为其他综合收益，在丧失控制权时一并转入丧失控制权当期的损益。</w:t>
      </w:r>
    </w:p>
    <w:p w:rsidR="005C49A8" w:rsidRDefault="005C49A8">
      <w:pPr>
        <w:pStyle w:val="a3"/>
        <w:spacing w:before="0" w:beforeAutospacing="0" w:after="0" w:afterAutospacing="0"/>
        <w:ind w:firstLine="420"/>
        <w:jc w:val="both"/>
        <w:divId w:val="1654139841"/>
      </w:pPr>
      <w:r>
        <w:rPr>
          <w:rFonts w:hint="eastAsia"/>
          <w:sz w:val="18"/>
          <w:szCs w:val="18"/>
        </w:rPr>
        <w:lastRenderedPageBreak/>
        <w:t>（2）在合并财务报表中，在丧失控制权之前每一次处置价款与处置投资对应的享有该子公司净资产份额的差额，确认为其他综合收益，在丧失控制权时一并转入丧失控制权当期的损益。</w:t>
      </w:r>
    </w:p>
    <w:p w:rsidR="005C49A8" w:rsidRDefault="005C49A8" w:rsidP="00C50357">
      <w:pPr>
        <w:widowControl/>
        <w:numPr>
          <w:ilvl w:val="0"/>
          <w:numId w:val="106"/>
        </w:numPr>
        <w:spacing w:before="100" w:beforeAutospacing="1" w:after="100" w:afterAutospacing="1"/>
        <w:divId w:val="1654139841"/>
        <w:rPr>
          <w:sz w:val="18"/>
          <w:szCs w:val="18"/>
        </w:rPr>
      </w:pPr>
      <w:r>
        <w:rPr>
          <w:rFonts w:hint="eastAsia"/>
          <w:sz w:val="18"/>
          <w:szCs w:val="18"/>
        </w:rPr>
        <w:t>．共同控制、重大影响的判断标准</w:t>
      </w:r>
    </w:p>
    <w:p w:rsidR="005C49A8" w:rsidRDefault="005C49A8">
      <w:pPr>
        <w:pStyle w:val="a3"/>
        <w:spacing w:before="0" w:beforeAutospacing="0" w:after="0" w:afterAutospacing="0"/>
        <w:ind w:firstLine="420"/>
        <w:jc w:val="both"/>
        <w:divId w:val="1654139841"/>
      </w:pPr>
      <w:r>
        <w:rPr>
          <w:rFonts w:hint="eastAsia"/>
          <w:sz w:val="18"/>
          <w:szCs w:val="18"/>
        </w:rPr>
        <w:t>如果本公司按照相关约定与其他参与方集体控制某项安排，并且对该安排回报具有重大影响的活动决策，需要经过分享控制权的参与方一致同意时才存在，则视为本公司与其他参与方共同控制某项安排，该安排即属于合营安排。</w:t>
      </w:r>
    </w:p>
    <w:p w:rsidR="005C49A8" w:rsidRDefault="005C49A8">
      <w:pPr>
        <w:pStyle w:val="a3"/>
        <w:spacing w:before="0" w:beforeAutospacing="0" w:after="0" w:afterAutospacing="0"/>
        <w:ind w:firstLine="420"/>
        <w:jc w:val="both"/>
        <w:divId w:val="1654139841"/>
      </w:pPr>
      <w:r>
        <w:rPr>
          <w:rFonts w:hint="eastAsia"/>
          <w:sz w:val="18"/>
          <w:szCs w:val="18"/>
        </w:rPr>
        <w:t>合营安排通过单独主体达成的，根据相关约定判断本公司对该单独主体的净资产享有权利时，将该单独主体作为合营企业，采用权益法核算。若根据相关约定判断本公司并非对该单独主体的净资产享有权利时，该单独主体作为共同经营，本公司确认与共同经营利益份额相关的项目，并按照相关企业会计准则的规定进行会计处理。</w:t>
      </w:r>
    </w:p>
    <w:p w:rsidR="005C49A8" w:rsidRDefault="005C49A8">
      <w:pPr>
        <w:pStyle w:val="a3"/>
        <w:spacing w:before="0" w:beforeAutospacing="0" w:after="0" w:afterAutospacing="0"/>
        <w:ind w:firstLine="420"/>
        <w:jc w:val="both"/>
        <w:divId w:val="1654139841"/>
      </w:pPr>
      <w:r>
        <w:rPr>
          <w:rFonts w:hint="eastAsia"/>
          <w:sz w:val="18"/>
          <w:szCs w:val="18"/>
        </w:rPr>
        <w:t>重大影响，是指投资方对被投资单位的财务和经营政策有参与决策的权力，但并不能够控制或者与其他方一起共同控制这些政策的制定。本公司通过以下一种或多种情形，并综合考虑所有事实和情况后，判断对被投资单位具有重大影响：（1）在被投资单位的董事会或类似权力机构中派有代表；（2）参与被投资单位财务和经营政策制定过程；（3）与被投资单位之间发生重要交易；（4）向被投资单位派出管理人员；（5）向被投资单位提供关键技术资料。</w:t>
      </w:r>
    </w:p>
    <w:p w:rsidR="008820E4" w:rsidRDefault="005C49A8">
      <w:pPr>
        <w:pStyle w:val="3"/>
        <w:spacing w:line="280" w:lineRule="exact"/>
        <w:jc w:val="left"/>
        <w:rPr>
          <w:rFonts w:ascii="宋体" w:hAnsi="宋体" w:cs="宋体"/>
          <w:b/>
          <w:bCs/>
        </w:rPr>
      </w:pPr>
      <w:bookmarkStart w:id="38" w:name="_Toc989029"/>
      <w:r>
        <w:rPr>
          <w:rFonts w:ascii="宋体" w:hAnsi="宋体" w:cs="宋体"/>
          <w:b/>
          <w:bCs/>
        </w:rPr>
        <w:t>23、投资性房地产</w:t>
      </w:r>
      <w:bookmarkEnd w:id="3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投资性房地产计量模式</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成本法计量</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折旧或摊销方法</w:t>
      </w:r>
    </w:p>
    <w:p w:rsidR="005C49A8" w:rsidRDefault="005C49A8">
      <w:pPr>
        <w:pStyle w:val="a3"/>
        <w:spacing w:before="0" w:beforeAutospacing="0" w:after="0" w:afterAutospacing="0"/>
        <w:ind w:firstLine="420"/>
        <w:jc w:val="both"/>
        <w:divId w:val="1513186274"/>
      </w:pPr>
      <w:r>
        <w:rPr>
          <w:rFonts w:hint="eastAsia"/>
          <w:sz w:val="18"/>
          <w:szCs w:val="18"/>
        </w:rPr>
        <w:t>投资性房地产是指为赚取租金或资本增值，或两者兼有而持有的房地产，包括已出租的土地使用权、持有并准备增值后转让的土地使用权、已出租的建筑物。此外，对于本公司持有以备经营出租的空置建筑物，若董事会作出书面决议，明确表示将其用于经营出租且持有意图短期内不再发生变化的，也作为投资性房地产列报。</w:t>
      </w:r>
    </w:p>
    <w:p w:rsidR="005C49A8" w:rsidRDefault="005C49A8">
      <w:pPr>
        <w:pStyle w:val="a3"/>
        <w:spacing w:before="0" w:beforeAutospacing="0" w:after="0" w:afterAutospacing="0"/>
        <w:ind w:firstLine="420"/>
        <w:jc w:val="both"/>
        <w:divId w:val="1513186274"/>
      </w:pPr>
      <w:r>
        <w:rPr>
          <w:rFonts w:hint="eastAsia"/>
          <w:sz w:val="18"/>
          <w:szCs w:val="18"/>
        </w:rPr>
        <w:t>本公司的投资性房地产按其成本作为入账价值，外购投资性房地产的成本包括购买价款、相关税费和可直接归属于该资产的其他支出；自行建造投资性房地产的成本，由建造该项资产达到预定可使用状态前所发生的必要支出构成。</w:t>
      </w:r>
    </w:p>
    <w:p w:rsidR="005C49A8" w:rsidRDefault="005C49A8">
      <w:pPr>
        <w:pStyle w:val="a3"/>
        <w:spacing w:before="0" w:beforeAutospacing="0" w:after="0" w:afterAutospacing="0"/>
        <w:ind w:firstLine="420"/>
        <w:jc w:val="both"/>
        <w:divId w:val="1513186274"/>
      </w:pPr>
      <w:r>
        <w:rPr>
          <w:rFonts w:hint="eastAsia"/>
          <w:sz w:val="18"/>
          <w:szCs w:val="18"/>
        </w:rPr>
        <w:t>本公司对投资性房地产采用成本模式进行后续计量，按其预计使用寿命及净残值率对建筑物和土地使用权计提折旧或摊销。投资性房地产的预计使用寿命、净残值率及年折旧率列示如下：</w:t>
      </w:r>
    </w:p>
    <w:tbl>
      <w:tblPr>
        <w:tblW w:w="8933" w:type="dxa"/>
        <w:jc w:val="center"/>
        <w:tblCellMar>
          <w:left w:w="0" w:type="dxa"/>
          <w:right w:w="0" w:type="dxa"/>
        </w:tblCellMar>
        <w:tblLook w:val="04A0" w:firstRow="1" w:lastRow="0" w:firstColumn="1" w:lastColumn="0" w:noHBand="0" w:noVBand="1"/>
        <w:tblCaption w:val="D:\大华\华孚\2024年度\TB|0-合并TB-华孚时尚股份有限公司-2024年度.xlsx|W附注模板|_jds11|0|desc|||0|1"/>
      </w:tblPr>
      <w:tblGrid>
        <w:gridCol w:w="2233"/>
        <w:gridCol w:w="2233"/>
        <w:gridCol w:w="2233"/>
        <w:gridCol w:w="2234"/>
      </w:tblGrid>
      <w:tr w:rsidR="005C49A8" w:rsidTr="00F7271B">
        <w:trPr>
          <w:divId w:val="1513186274"/>
          <w:trHeight w:val="340"/>
          <w:tblHeader/>
          <w:jc w:val="center"/>
        </w:trPr>
        <w:tc>
          <w:tcPr>
            <w:tcW w:w="223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类别</w:t>
            </w:r>
          </w:p>
        </w:tc>
        <w:tc>
          <w:tcPr>
            <w:tcW w:w="223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预计使用寿命（年）</w:t>
            </w:r>
          </w:p>
        </w:tc>
        <w:tc>
          <w:tcPr>
            <w:tcW w:w="223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预计净残值率（%）</w:t>
            </w:r>
          </w:p>
        </w:tc>
        <w:tc>
          <w:tcPr>
            <w:tcW w:w="2234"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年折旧（摊销）率（%）</w:t>
            </w:r>
          </w:p>
        </w:tc>
      </w:tr>
      <w:tr w:rsidR="005C49A8" w:rsidTr="00CF103B">
        <w:trPr>
          <w:divId w:val="1513186274"/>
          <w:trHeight w:val="340"/>
          <w:jc w:val="center"/>
        </w:trPr>
        <w:tc>
          <w:tcPr>
            <w:tcW w:w="223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pPr>
            <w:r>
              <w:rPr>
                <w:rFonts w:hint="eastAsia"/>
                <w:sz w:val="18"/>
                <w:szCs w:val="18"/>
              </w:rPr>
              <w:t>房屋建筑物</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25.00</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10.00</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3.60</w:t>
            </w:r>
          </w:p>
        </w:tc>
      </w:tr>
    </w:tbl>
    <w:p w:rsidR="005C49A8" w:rsidRDefault="005C49A8">
      <w:pPr>
        <w:pStyle w:val="a3"/>
        <w:spacing w:before="0" w:beforeAutospacing="0" w:after="0" w:afterAutospacing="0"/>
        <w:ind w:firstLine="420"/>
        <w:divId w:val="1513186274"/>
      </w:pPr>
      <w:r>
        <w:rPr>
          <w:rFonts w:hint="eastAsia"/>
          <w:sz w:val="18"/>
          <w:szCs w:val="18"/>
        </w:rPr>
        <w:t>投资性房地产的减值测试方法和减值准备计提方法详见本附注（三十三）长期资产减值。</w:t>
      </w:r>
    </w:p>
    <w:p w:rsidR="005C49A8" w:rsidRDefault="005C49A8">
      <w:pPr>
        <w:pStyle w:val="a3"/>
        <w:spacing w:before="120" w:beforeAutospacing="0" w:after="0" w:afterAutospacing="0"/>
        <w:ind w:firstLine="420"/>
        <w:jc w:val="both"/>
        <w:divId w:val="1513186274"/>
      </w:pPr>
      <w:r>
        <w:rPr>
          <w:rFonts w:hint="eastAsia"/>
          <w:sz w:val="18"/>
          <w:szCs w:val="18"/>
        </w:rPr>
        <w:t>投资性房地产的用途改变为自用时，自改变之日起，本公司将该投资性房地产转换为固定资产或无形资产。自用房地产的用途改变为赚取租金或资本增值时，自改变之日起，本公司将固定资产或无形资产转换为投资性房地产。发生转换时，以转换前的账面价值作为转换后的入账价值。</w:t>
      </w:r>
    </w:p>
    <w:p w:rsidR="005C49A8" w:rsidRDefault="005C49A8">
      <w:pPr>
        <w:pStyle w:val="a3"/>
        <w:spacing w:before="0" w:beforeAutospacing="0" w:after="0" w:afterAutospacing="0"/>
        <w:ind w:firstLine="420"/>
        <w:jc w:val="both"/>
        <w:divId w:val="1513186274"/>
      </w:pPr>
      <w:r>
        <w:rPr>
          <w:rFonts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rsidR="005C49A8" w:rsidRDefault="005C49A8">
      <w:pPr>
        <w:pStyle w:val="a3"/>
        <w:spacing w:before="0" w:beforeAutospacing="0" w:after="0" w:afterAutospacing="0"/>
        <w:ind w:firstLine="420"/>
        <w:jc w:val="both"/>
        <w:divId w:val="1513186274"/>
      </w:pPr>
      <w:r>
        <w:rPr>
          <w:rFonts w:hint="eastAsia"/>
          <w:sz w:val="18"/>
          <w:szCs w:val="18"/>
        </w:rPr>
        <w:t>投资性房地产是指为赚取租金或资本增值，或两者兼有而持有的房地产。包括已出租的土地使用权、持有并准备增值后转让的土地使用权、已出租的建筑物等。此外，对于本公司持有以备经营出租的空置建筑物，若董事会作出书面决议，明确表示将其用于经营出租且持有意图短期内不再发生变化的，也作为投资性房地产列报。</w:t>
      </w:r>
    </w:p>
    <w:p w:rsidR="005C49A8" w:rsidRDefault="005C49A8">
      <w:pPr>
        <w:pStyle w:val="a3"/>
        <w:spacing w:before="0" w:beforeAutospacing="0" w:after="0" w:afterAutospacing="0"/>
        <w:ind w:firstLine="420"/>
        <w:jc w:val="both"/>
        <w:divId w:val="1513186274"/>
      </w:pPr>
      <w:r>
        <w:rPr>
          <w:rFonts w:hint="eastAsia"/>
          <w:sz w:val="18"/>
          <w:szCs w:val="18"/>
        </w:rPr>
        <w:t>本公司的投资性房地产按其成本作为入账价值，外购投资性房地产的成本包括购买价款、相关税费和可直接归属于该资产的其他支出；自行建造投资性房地产的成本，由建造该项资产达到预定可使用状态前所发生的必要支出构成。</w:t>
      </w:r>
    </w:p>
    <w:p w:rsidR="005C49A8" w:rsidRDefault="005C49A8">
      <w:pPr>
        <w:pStyle w:val="a3"/>
        <w:spacing w:before="0" w:beforeAutospacing="0" w:after="0" w:afterAutospacing="0"/>
        <w:ind w:firstLine="420"/>
        <w:jc w:val="both"/>
        <w:divId w:val="1513186274"/>
      </w:pPr>
      <w:r>
        <w:rPr>
          <w:rFonts w:hint="eastAsia"/>
          <w:sz w:val="18"/>
          <w:szCs w:val="18"/>
        </w:rPr>
        <w:t>本公司采用公允价值模式对投资性房地产进行后续计量，不对投资性房地产计提折旧或进行摊销，在资产负债表日以投资性房地产的公允价值为基础调整其账面价值，公允价值与原账面价值之间的差额计入当期损益。</w:t>
      </w:r>
    </w:p>
    <w:p w:rsidR="005C49A8" w:rsidRDefault="005C49A8">
      <w:pPr>
        <w:pStyle w:val="a3"/>
        <w:spacing w:before="0" w:beforeAutospacing="0" w:after="0" w:afterAutospacing="0"/>
        <w:ind w:firstLine="420"/>
        <w:jc w:val="both"/>
        <w:divId w:val="1513186274"/>
      </w:pPr>
      <w:r>
        <w:rPr>
          <w:rFonts w:hint="eastAsia"/>
          <w:sz w:val="18"/>
          <w:szCs w:val="18"/>
        </w:rPr>
        <w:lastRenderedPageBreak/>
        <w:t>投资性房地产采用公允价值模式进行后续计量的依据为：①投资性房地产所在地有活跃的房地产交易市场。②本公司能够从房地产交易市场上取得同类或类似房地产的市场价格及其他相关信息，从而对投资性房地产的公允价值作出合理的估计。</w:t>
      </w:r>
    </w:p>
    <w:p w:rsidR="005C49A8" w:rsidRDefault="005C49A8">
      <w:pPr>
        <w:pStyle w:val="a3"/>
        <w:spacing w:before="0" w:beforeAutospacing="0" w:after="0" w:afterAutospacing="0"/>
        <w:ind w:firstLine="420"/>
        <w:jc w:val="both"/>
        <w:divId w:val="1513186274"/>
      </w:pPr>
      <w:r>
        <w:rPr>
          <w:rFonts w:hint="eastAsia"/>
          <w:sz w:val="18"/>
          <w:szCs w:val="18"/>
        </w:rPr>
        <w:t>本公司确定投资性房地产的公允价值时，参照活跃市场上同类或类似房地产的现行市场价格；无法取得同类或类似房地产的现行市场价格的，参照活跃市场上同类或类似房地产的最近交易价格，并考虑资产状况、所在位置、交易情况、交易日期等因素，从而对投资性房地产的公允价值作出合理的估计；或基于预计未来获得的租金收益和有关现金流量的现值确定其公允价值。</w:t>
      </w:r>
    </w:p>
    <w:p w:rsidR="005C49A8" w:rsidRDefault="005C49A8">
      <w:pPr>
        <w:pStyle w:val="a3"/>
        <w:spacing w:before="0" w:beforeAutospacing="0" w:after="0" w:afterAutospacing="0"/>
        <w:ind w:firstLine="420"/>
        <w:jc w:val="both"/>
        <w:divId w:val="1513186274"/>
      </w:pPr>
      <w:r>
        <w:rPr>
          <w:rFonts w:hint="eastAsia"/>
          <w:sz w:val="18"/>
          <w:szCs w:val="18"/>
        </w:rPr>
        <w:t>本公司有确凿证据表明房地产用途发生改变，将投资性房地产转换为自用房地产时，以其转换当日的公允价值作为自用房地产的账面价值，公允价值与原账面价值的差额计入当期损益。自用房地产或存货转换为采用公允价值模式计量的投资性房地产时，投资性房地产按照转换当日的公允价值计价，转换当日的公允价值小于原账面价值的，其差额计入当期损益；转换当日的公允价值大于原账面价值的，其差额计入其他综合收益。</w:t>
      </w:r>
    </w:p>
    <w:p w:rsidR="005C49A8" w:rsidRDefault="005C49A8">
      <w:pPr>
        <w:pStyle w:val="a3"/>
        <w:spacing w:before="0" w:beforeAutospacing="0" w:after="0" w:afterAutospacing="0"/>
        <w:ind w:firstLine="420"/>
        <w:jc w:val="both"/>
        <w:divId w:val="1513186274"/>
      </w:pPr>
      <w:r>
        <w:rPr>
          <w:rFonts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rsidR="008820E4" w:rsidRDefault="005C49A8">
      <w:pPr>
        <w:pStyle w:val="3"/>
        <w:spacing w:line="280" w:lineRule="exact"/>
        <w:jc w:val="left"/>
        <w:rPr>
          <w:rFonts w:ascii="宋体" w:hAnsi="宋体" w:cs="宋体"/>
          <w:b/>
          <w:bCs/>
        </w:rPr>
      </w:pPr>
      <w:bookmarkStart w:id="39" w:name="_Toc989030"/>
      <w:r>
        <w:rPr>
          <w:rFonts w:ascii="宋体" w:hAnsi="宋体" w:cs="宋体"/>
          <w:b/>
          <w:bCs/>
        </w:rPr>
        <w:t>24、固定资产</w:t>
      </w:r>
      <w:bookmarkEnd w:id="39"/>
    </w:p>
    <w:p w:rsidR="008820E4" w:rsidRDefault="005C49A8">
      <w:pPr>
        <w:keepNext/>
        <w:keepLines/>
        <w:spacing w:before="300" w:after="300" w:line="280" w:lineRule="exact"/>
        <w:outlineLvl w:val="3"/>
        <w:rPr>
          <w:rFonts w:ascii="宋体" w:eastAsia="宋体" w:hAnsi="宋体" w:cs="宋体"/>
          <w:b/>
          <w:bCs/>
          <w:szCs w:val="21"/>
        </w:rPr>
      </w:pPr>
      <w:bookmarkStart w:id="40" w:name="_Toc989031"/>
      <w:r>
        <w:rPr>
          <w:rFonts w:ascii="宋体" w:eastAsia="宋体" w:hAnsi="宋体" w:cs="宋体"/>
          <w:b/>
          <w:bCs/>
          <w:szCs w:val="21"/>
        </w:rPr>
        <w:t>（1） 确认条件</w:t>
      </w:r>
      <w:bookmarkEnd w:id="40"/>
    </w:p>
    <w:p w:rsidR="005C49A8" w:rsidRDefault="005C49A8">
      <w:pPr>
        <w:pStyle w:val="a3"/>
        <w:spacing w:line="240" w:lineRule="atLeast"/>
        <w:divId w:val="158427534"/>
        <w:rPr>
          <w:sz w:val="18"/>
          <w:szCs w:val="18"/>
        </w:rPr>
      </w:pPr>
      <w:r>
        <w:rPr>
          <w:rFonts w:hint="eastAsia"/>
          <w:sz w:val="18"/>
          <w:szCs w:val="18"/>
        </w:rPr>
        <w:t>固定资产指为生产商品、提供劳务、出租或经营管理而持有，并且使用寿命超过一个会计年度的有形资产。固定资产在同时满足下列条件时予以确认：</w:t>
      </w:r>
    </w:p>
    <w:p w:rsidR="005C49A8" w:rsidRDefault="005C49A8">
      <w:pPr>
        <w:pStyle w:val="a3"/>
        <w:spacing w:line="240" w:lineRule="atLeast"/>
        <w:divId w:val="158427534"/>
        <w:rPr>
          <w:sz w:val="18"/>
          <w:szCs w:val="18"/>
        </w:rPr>
      </w:pPr>
      <w:r>
        <w:rPr>
          <w:rFonts w:hint="eastAsia"/>
          <w:sz w:val="18"/>
          <w:szCs w:val="18"/>
        </w:rPr>
        <w:t>（1）与该固定资产有关的经济利益很可能流入企业；</w:t>
      </w:r>
    </w:p>
    <w:p w:rsidR="005C49A8" w:rsidRDefault="005C49A8">
      <w:pPr>
        <w:pStyle w:val="a3"/>
        <w:spacing w:line="240" w:lineRule="atLeast"/>
        <w:divId w:val="158427534"/>
        <w:rPr>
          <w:sz w:val="18"/>
          <w:szCs w:val="18"/>
        </w:rPr>
      </w:pPr>
      <w:r>
        <w:rPr>
          <w:rFonts w:hint="eastAsia"/>
          <w:sz w:val="18"/>
          <w:szCs w:val="18"/>
        </w:rPr>
        <w:t>（2）该固定资产的成本能够可靠地计量。</w:t>
      </w:r>
    </w:p>
    <w:p w:rsidR="005C49A8" w:rsidRDefault="005C49A8">
      <w:pPr>
        <w:pStyle w:val="a3"/>
        <w:spacing w:line="240" w:lineRule="atLeast"/>
        <w:divId w:val="158427534"/>
        <w:rPr>
          <w:sz w:val="18"/>
          <w:szCs w:val="18"/>
        </w:rPr>
      </w:pPr>
      <w:r>
        <w:rPr>
          <w:rFonts w:hint="eastAsia"/>
          <w:sz w:val="18"/>
          <w:szCs w:val="18"/>
        </w:rPr>
        <w:t>同时，与固定资产有关的后续支出，符合固定资产确认条件的，计入固定资产成本；不符合固定资产确认条件的，在发生时按照受益对象计入当期损益或计入相关资产的成本。</w:t>
      </w:r>
    </w:p>
    <w:p w:rsidR="008820E4" w:rsidRDefault="005C49A8">
      <w:pPr>
        <w:keepNext/>
        <w:keepLines/>
        <w:spacing w:before="300" w:after="300" w:line="280" w:lineRule="exact"/>
        <w:outlineLvl w:val="3"/>
        <w:rPr>
          <w:rFonts w:ascii="宋体" w:eastAsia="宋体" w:hAnsi="宋体" w:cs="宋体"/>
          <w:b/>
          <w:bCs/>
          <w:szCs w:val="21"/>
        </w:rPr>
      </w:pPr>
      <w:bookmarkStart w:id="41" w:name="_Toc989032"/>
      <w:r>
        <w:rPr>
          <w:rFonts w:ascii="宋体" w:eastAsia="宋体" w:hAnsi="宋体" w:cs="宋体"/>
          <w:b/>
          <w:bCs/>
          <w:szCs w:val="21"/>
        </w:rPr>
        <w:t>（2） 折旧方法</w:t>
      </w:r>
      <w:bookmarkEnd w:id="41"/>
    </w:p>
    <w:p w:rsidR="008820E4" w:rsidRDefault="008820E4">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年折旧率</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3.60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9.00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18.00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电子及其他设备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18.00</w:t>
            </w:r>
          </w:p>
        </w:tc>
      </w:tr>
    </w:tbl>
    <w:p w:rsidR="008820E4" w:rsidRDefault="005C49A8">
      <w:pPr>
        <w:pStyle w:val="3"/>
        <w:spacing w:line="280" w:lineRule="exact"/>
        <w:jc w:val="left"/>
        <w:rPr>
          <w:rFonts w:ascii="宋体" w:hAnsi="宋体" w:cs="宋体"/>
          <w:b/>
          <w:bCs/>
        </w:rPr>
      </w:pPr>
      <w:bookmarkStart w:id="42" w:name="_Toc989033"/>
      <w:r>
        <w:rPr>
          <w:rFonts w:ascii="宋体" w:hAnsi="宋体" w:cs="宋体"/>
          <w:b/>
          <w:bCs/>
        </w:rPr>
        <w:t>25、在建工程</w:t>
      </w:r>
      <w:bookmarkEnd w:id="42"/>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本公司自行建造的在建工程按实际成本计价，实际成本由建造该项资产达到预定可使用状态前所发生的必要支出构成，包括工程用物资成本、人工成本、交纳的相关税费、应予资本化的借款费用以及应分摊的间接费用等。</w:t>
      </w:r>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在建工程项目按建造该项资产达到预定可使用状态前所发生的全部支出，作为固定资产的入账价值。所建造的在建工程已达到预定可使用状态，但尚未办理竣工决算的，自达到预定可使用状态之日起，根据工程预算、造价或者工程实</w:t>
      </w:r>
      <w:r w:rsidRPr="00F7271B">
        <w:rPr>
          <w:rFonts w:hint="eastAsia"/>
          <w:sz w:val="18"/>
          <w:szCs w:val="18"/>
        </w:rPr>
        <w:lastRenderedPageBreak/>
        <w:t>际成本等，按估计的价值转入固定资产，并按本公司固定资产折旧政策计提固定资产的折旧，待办理竣工决算后，再按实际成本调整原来的暂估价值，但不调整原已计提的折旧额。</w:t>
      </w:r>
    </w:p>
    <w:p w:rsidR="005C49A8" w:rsidRPr="00F7271B" w:rsidRDefault="005C49A8">
      <w:pPr>
        <w:pStyle w:val="a3"/>
        <w:spacing w:before="0" w:beforeAutospacing="0" w:after="0" w:afterAutospacing="0" w:line="360" w:lineRule="auto"/>
        <w:ind w:firstLine="420"/>
        <w:jc w:val="both"/>
        <w:divId w:val="481892824"/>
        <w:rPr>
          <w:sz w:val="18"/>
          <w:szCs w:val="18"/>
        </w:rPr>
      </w:pPr>
      <w:r w:rsidRPr="00F7271B">
        <w:rPr>
          <w:rFonts w:hint="eastAsia"/>
          <w:sz w:val="18"/>
          <w:szCs w:val="18"/>
        </w:rPr>
        <w:t>在建工程的减值测试方法和减值准备计提方法详见本附注（二十八）长期资产减值。</w:t>
      </w:r>
    </w:p>
    <w:p w:rsidR="008820E4" w:rsidRDefault="005C49A8">
      <w:pPr>
        <w:pStyle w:val="3"/>
        <w:spacing w:line="280" w:lineRule="exact"/>
        <w:jc w:val="left"/>
        <w:rPr>
          <w:rFonts w:ascii="宋体" w:hAnsi="宋体" w:cs="宋体"/>
          <w:b/>
          <w:bCs/>
        </w:rPr>
      </w:pPr>
      <w:bookmarkStart w:id="43" w:name="_Toc989034"/>
      <w:r>
        <w:rPr>
          <w:rFonts w:ascii="宋体" w:hAnsi="宋体" w:cs="宋体"/>
          <w:b/>
          <w:bCs/>
        </w:rPr>
        <w:t>26、借款费用</w:t>
      </w:r>
      <w:bookmarkEnd w:id="43"/>
    </w:p>
    <w:p w:rsidR="005C49A8" w:rsidRDefault="005C49A8" w:rsidP="00C50357">
      <w:pPr>
        <w:widowControl/>
        <w:numPr>
          <w:ilvl w:val="0"/>
          <w:numId w:val="107"/>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借款费用资本化的确认原则</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本公司发生的借款费用，可直接归属于符合资本化条件的资产的购建或者生产的，予以资本化，计入相关资产成本；其他借款费用，在发生时根据其发生额确认为费用，计入当期损益。</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符合资本化条件的资产，是指需要经过相当长时间的购建或者生产活动才能达到预定可使用或者可销售状态的固定资产、投资性房地产和存货等资产。</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借款费用同时满足下列条件时开始资本化：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1</w:t>
      </w:r>
      <w:r w:rsidRPr="00F7271B">
        <w:rPr>
          <w:rFonts w:hint="eastAsia"/>
          <w:sz w:val="18"/>
          <w:szCs w:val="18"/>
        </w:rPr>
        <w:t>）资产支出已经发生，资产支出包括为购建或者生产符合资本化条件的资产而以支付现金、转移非现金资产或者承担带息债务形式发生的支出；</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2</w:t>
      </w:r>
      <w:r w:rsidRPr="00F7271B">
        <w:rPr>
          <w:rFonts w:hint="eastAsia"/>
          <w:sz w:val="18"/>
          <w:szCs w:val="18"/>
        </w:rPr>
        <w:t>）借款费用已经发生；</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w:t>
      </w:r>
      <w:r w:rsidRPr="00F7271B">
        <w:rPr>
          <w:sz w:val="18"/>
          <w:szCs w:val="18"/>
        </w:rPr>
        <w:t>3</w:t>
      </w:r>
      <w:r w:rsidRPr="00F7271B">
        <w:rPr>
          <w:rFonts w:hint="eastAsia"/>
          <w:sz w:val="18"/>
          <w:szCs w:val="18"/>
        </w:rPr>
        <w:t>）为使资产达到预定可使用或者可销售状态所必要的购建或者生产活动已经开始。</w:t>
      </w:r>
    </w:p>
    <w:p w:rsidR="005C49A8" w:rsidRDefault="005C49A8" w:rsidP="00C50357">
      <w:pPr>
        <w:widowControl/>
        <w:numPr>
          <w:ilvl w:val="0"/>
          <w:numId w:val="108"/>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借款费用资本化期间</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资本化期间，指从借款费用开始资本化时点到停止资本化时点的期间，借款费用暂停资本化的期间不包括在内。</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当购建或者生产符合资本化条件的资产达到预定可使用或者可销售状态时，借款费用停止资本化。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当购建或者生产符合资本化条件的资产中部分项目分别完工且可单独使用时，该部分资产借款费用停止资本化。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购建或者生产的资产的各部分分别完工，但必须等到整体完工后才可使用或可对外销售的，在该资产整体完工时停止借款费用资本化。</w:t>
      </w:r>
    </w:p>
    <w:p w:rsidR="005C49A8" w:rsidRDefault="005C49A8" w:rsidP="00C50357">
      <w:pPr>
        <w:widowControl/>
        <w:numPr>
          <w:ilvl w:val="0"/>
          <w:numId w:val="109"/>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暂停资本化期间</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符合资本化条件的资产在购建或生产过程中发生的非正常中断、且中断时间连续超过</w:t>
      </w:r>
      <w:r w:rsidRPr="00F7271B">
        <w:rPr>
          <w:sz w:val="18"/>
          <w:szCs w:val="18"/>
        </w:rPr>
        <w:t>3</w:t>
      </w:r>
      <w:r w:rsidRPr="00F7271B">
        <w:rPr>
          <w:rFonts w:hint="eastAsia"/>
          <w:sz w:val="18"/>
          <w:szCs w:val="18"/>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5C49A8" w:rsidRDefault="005C49A8" w:rsidP="00C50357">
      <w:pPr>
        <w:widowControl/>
        <w:numPr>
          <w:ilvl w:val="0"/>
          <w:numId w:val="110"/>
        </w:numPr>
        <w:spacing w:before="100" w:beforeAutospacing="1" w:after="100" w:afterAutospacing="1"/>
        <w:divId w:val="192853995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借款费用资本化金额的计算方法</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lastRenderedPageBreak/>
        <w:t>专门借款的利息费用（扣除尚未动用的借款资金存入银行取得的利息收入或者进行暂时性投资取得的投资收益）及其辅助费用在所购建或者生产的符合资本化条件的资产达到预定可使用或者可销售状态前，予以资本化。</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根据累计资产支出超过专门借款部分的资产支出加权平均数乘以所占用一般借款的资本化率，计算确定一般借款应予资本化的利息金额。资本化率根据一般借款加权平均利率计算确定。</w:t>
      </w:r>
    </w:p>
    <w:p w:rsidR="005C49A8" w:rsidRPr="00F7271B" w:rsidRDefault="005C49A8">
      <w:pPr>
        <w:pStyle w:val="a3"/>
        <w:spacing w:before="0" w:beforeAutospacing="0" w:after="0" w:afterAutospacing="0" w:line="360" w:lineRule="auto"/>
        <w:ind w:firstLine="420"/>
        <w:jc w:val="both"/>
        <w:divId w:val="1928539958"/>
        <w:rPr>
          <w:sz w:val="18"/>
          <w:szCs w:val="18"/>
        </w:rPr>
      </w:pPr>
      <w:r w:rsidRPr="00F7271B">
        <w:rPr>
          <w:rFonts w:hint="eastAsia"/>
          <w:sz w:val="18"/>
          <w:szCs w:val="18"/>
        </w:rPr>
        <w:t>借款存在折价或者溢价的，按照实际利率法确定每一会计期间应摊销的折价或者溢价金额，调整每期利息金额。</w:t>
      </w:r>
    </w:p>
    <w:p w:rsidR="008820E4" w:rsidRDefault="005C49A8">
      <w:pPr>
        <w:pStyle w:val="3"/>
        <w:spacing w:line="280" w:lineRule="exact"/>
        <w:jc w:val="left"/>
        <w:rPr>
          <w:rFonts w:ascii="宋体" w:hAnsi="宋体" w:cs="宋体"/>
          <w:b/>
          <w:bCs/>
        </w:rPr>
      </w:pPr>
      <w:bookmarkStart w:id="44" w:name="_Toc989035"/>
      <w:r>
        <w:rPr>
          <w:rFonts w:ascii="宋体" w:hAnsi="宋体" w:cs="宋体"/>
          <w:b/>
          <w:bCs/>
        </w:rPr>
        <w:t>27、生物资产</w:t>
      </w:r>
      <w:bookmarkEnd w:id="44"/>
    </w:p>
    <w:p w:rsidR="005C49A8" w:rsidRDefault="005C49A8">
      <w:pPr>
        <w:pStyle w:val="a3"/>
        <w:divId w:val="79757432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5" w:name="_Toc989036"/>
      <w:r>
        <w:rPr>
          <w:rFonts w:ascii="宋体" w:hAnsi="宋体" w:cs="宋体"/>
          <w:b/>
          <w:bCs/>
        </w:rPr>
        <w:t>28、油气资产</w:t>
      </w:r>
      <w:bookmarkEnd w:id="45"/>
    </w:p>
    <w:p w:rsidR="005C49A8" w:rsidRDefault="005C49A8">
      <w:pPr>
        <w:pStyle w:val="a3"/>
        <w:divId w:val="39282323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6" w:name="_Toc989037"/>
      <w:r>
        <w:rPr>
          <w:rFonts w:ascii="宋体" w:hAnsi="宋体" w:cs="宋体"/>
          <w:b/>
          <w:bCs/>
        </w:rPr>
        <w:t>29、无形资产</w:t>
      </w:r>
      <w:bookmarkEnd w:id="46"/>
    </w:p>
    <w:p w:rsidR="008820E4" w:rsidRDefault="005C49A8">
      <w:pPr>
        <w:keepNext/>
        <w:keepLines/>
        <w:spacing w:before="300" w:after="300" w:line="280" w:lineRule="exact"/>
        <w:outlineLvl w:val="3"/>
        <w:rPr>
          <w:rFonts w:ascii="宋体" w:eastAsia="宋体" w:hAnsi="宋体" w:cs="宋体"/>
          <w:b/>
          <w:bCs/>
          <w:szCs w:val="21"/>
        </w:rPr>
      </w:pPr>
      <w:bookmarkStart w:id="47" w:name="_Toc989038"/>
      <w:r>
        <w:rPr>
          <w:rFonts w:ascii="宋体" w:eastAsia="宋体" w:hAnsi="宋体" w:cs="宋体"/>
          <w:b/>
          <w:bCs/>
          <w:szCs w:val="21"/>
        </w:rPr>
        <w:t>（1） 使用寿命及其确定依据、估计情况、摊销方法或复核程序</w:t>
      </w:r>
      <w:bookmarkEnd w:id="47"/>
    </w:p>
    <w:p w:rsidR="005C49A8" w:rsidRDefault="005C49A8">
      <w:pPr>
        <w:pStyle w:val="a3"/>
        <w:spacing w:before="0" w:beforeAutospacing="0" w:after="0" w:afterAutospacing="0"/>
        <w:ind w:firstLine="420"/>
        <w:jc w:val="both"/>
        <w:divId w:val="563301188"/>
      </w:pPr>
      <w:r>
        <w:rPr>
          <w:rFonts w:hint="eastAsia"/>
          <w:sz w:val="18"/>
          <w:szCs w:val="18"/>
        </w:rPr>
        <w:t>无形资产是指本公司拥有或者控制的没有实物形态的可辨认非货币性资产，包括土地使用权、软件、专利权及非专利技术等。</w:t>
      </w:r>
    </w:p>
    <w:p w:rsidR="005C49A8" w:rsidRDefault="005C49A8" w:rsidP="00C50357">
      <w:pPr>
        <w:widowControl/>
        <w:numPr>
          <w:ilvl w:val="3"/>
          <w:numId w:val="111"/>
        </w:numPr>
        <w:tabs>
          <w:tab w:val="clear" w:pos="2880"/>
          <w:tab w:val="num" w:pos="2552"/>
        </w:tabs>
        <w:spacing w:before="100" w:beforeAutospacing="1" w:after="100" w:afterAutospacing="1"/>
        <w:ind w:left="426"/>
        <w:divId w:val="56330118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无形资产的初始计量</w:t>
      </w:r>
    </w:p>
    <w:p w:rsidR="005C49A8" w:rsidRDefault="005C49A8">
      <w:pPr>
        <w:pStyle w:val="a3"/>
        <w:spacing w:before="0" w:beforeAutospacing="0" w:after="0" w:afterAutospacing="0"/>
        <w:ind w:firstLine="420"/>
        <w:jc w:val="both"/>
        <w:divId w:val="563301188"/>
      </w:pPr>
      <w:r>
        <w:rPr>
          <w:rFonts w:hint="eastAsia"/>
          <w:sz w:val="18"/>
          <w:szCs w:val="18"/>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rsidR="005C49A8" w:rsidRDefault="005C49A8">
      <w:pPr>
        <w:pStyle w:val="a3"/>
        <w:spacing w:before="0" w:beforeAutospacing="0" w:after="0" w:afterAutospacing="0"/>
        <w:ind w:firstLine="420"/>
        <w:jc w:val="both"/>
        <w:divId w:val="563301188"/>
      </w:pPr>
      <w:r>
        <w:rPr>
          <w:rFonts w:hint="eastAsia"/>
          <w:sz w:val="18"/>
          <w:szCs w:val="18"/>
        </w:rPr>
        <w:t>债务重组取得债务人用以抵债的无形资产，以该无形资产的公允价值为基础确定其入账价值，并将重组债务的账面价值与该用以抵债的无形资产公允价值之间的差额，计入当期损益。</w:t>
      </w:r>
    </w:p>
    <w:p w:rsidR="005C49A8" w:rsidRDefault="005C49A8">
      <w:pPr>
        <w:pStyle w:val="a3"/>
        <w:spacing w:before="0" w:beforeAutospacing="0" w:after="0" w:afterAutospacing="0"/>
        <w:ind w:firstLine="420"/>
        <w:jc w:val="both"/>
        <w:divId w:val="563301188"/>
      </w:pPr>
      <w:r>
        <w:rPr>
          <w:rFonts w:hint="eastAsia"/>
          <w:sz w:val="18"/>
          <w:szCs w:val="18"/>
        </w:rPr>
        <w:t>在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rsidR="005C49A8" w:rsidRDefault="005C49A8">
      <w:pPr>
        <w:pStyle w:val="a3"/>
        <w:spacing w:before="0" w:beforeAutospacing="0" w:after="0" w:afterAutospacing="0"/>
        <w:ind w:firstLine="420"/>
        <w:jc w:val="both"/>
        <w:divId w:val="563301188"/>
      </w:pPr>
      <w:r>
        <w:rPr>
          <w:rFonts w:hint="eastAsia"/>
          <w:sz w:val="18"/>
          <w:szCs w:val="18"/>
        </w:rPr>
        <w:t>以同一控制下的企业吸收合并方式取得的无形资产按被合并方的账面价值确定其入账价值；以非同一控制下的企业吸收合并方式取得的无形资产按公允价值确定其入账价值。</w:t>
      </w:r>
    </w:p>
    <w:p w:rsidR="005C49A8" w:rsidRDefault="005C49A8">
      <w:pPr>
        <w:pStyle w:val="a3"/>
        <w:spacing w:before="0" w:beforeAutospacing="0" w:after="0" w:afterAutospacing="0"/>
        <w:ind w:firstLine="420"/>
        <w:jc w:val="both"/>
        <w:divId w:val="563301188"/>
      </w:pPr>
      <w:r>
        <w:rPr>
          <w:rFonts w:hint="eastAsia"/>
          <w:sz w:val="18"/>
          <w:szCs w:val="18"/>
        </w:rPr>
        <w:t>内部自行开发的无形资产，其成本包括：开发该无形资产时耗用的材料、劳务成本、注册费、在开发过程中使用的其他专利权和特许权的摊销以及满足资本化条件的利息费用，以及为使该无形资产达到预定用途前所发生的其他直接费用。</w:t>
      </w:r>
    </w:p>
    <w:p w:rsidR="005C49A8" w:rsidRDefault="005C49A8" w:rsidP="00C50357">
      <w:pPr>
        <w:widowControl/>
        <w:numPr>
          <w:ilvl w:val="3"/>
          <w:numId w:val="112"/>
        </w:numPr>
        <w:tabs>
          <w:tab w:val="clear" w:pos="2880"/>
          <w:tab w:val="num" w:pos="2552"/>
        </w:tabs>
        <w:spacing w:before="100" w:beforeAutospacing="1" w:after="100" w:afterAutospacing="1"/>
        <w:ind w:left="426"/>
        <w:divId w:val="56330118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无形资产的后续计量</w:t>
      </w:r>
    </w:p>
    <w:p w:rsidR="005C49A8" w:rsidRDefault="005C49A8">
      <w:pPr>
        <w:pStyle w:val="a3"/>
        <w:spacing w:before="0" w:beforeAutospacing="0" w:after="0" w:afterAutospacing="0" w:line="360" w:lineRule="auto"/>
        <w:ind w:firstLine="420"/>
        <w:jc w:val="both"/>
        <w:divId w:val="563301188"/>
      </w:pPr>
      <w:r>
        <w:rPr>
          <w:rFonts w:hint="eastAsia"/>
          <w:sz w:val="18"/>
          <w:szCs w:val="18"/>
        </w:rPr>
        <w:t>本公司在取得无形资产时分析判断其使用寿命，划分为使用寿命有限和使用寿命不确定的无形资产。</w:t>
      </w:r>
    </w:p>
    <w:p w:rsidR="005C49A8" w:rsidRDefault="005C49A8" w:rsidP="00C50357">
      <w:pPr>
        <w:widowControl/>
        <w:numPr>
          <w:ilvl w:val="0"/>
          <w:numId w:val="113"/>
        </w:numPr>
        <w:divId w:val="563301188"/>
        <w:rPr>
          <w:rFonts w:ascii="Calibri" w:hAnsi="Calibri" w:cs="Calibri"/>
          <w:szCs w:val="21"/>
        </w:rPr>
      </w:pPr>
      <w:r>
        <w:rPr>
          <w:rFonts w:cs="Calibri" w:hint="eastAsia"/>
          <w:sz w:val="18"/>
          <w:szCs w:val="18"/>
        </w:rPr>
        <w:t>使用寿命有限的无形资产</w:t>
      </w:r>
    </w:p>
    <w:p w:rsidR="005C49A8" w:rsidRDefault="005C49A8">
      <w:pPr>
        <w:pStyle w:val="a3"/>
        <w:spacing w:before="0" w:beforeAutospacing="0" w:after="0" w:afterAutospacing="0" w:line="360" w:lineRule="auto"/>
        <w:ind w:firstLine="420"/>
        <w:jc w:val="both"/>
        <w:divId w:val="563301188"/>
      </w:pPr>
      <w:r>
        <w:rPr>
          <w:rFonts w:hint="eastAsia"/>
          <w:sz w:val="18"/>
          <w:szCs w:val="18"/>
        </w:rPr>
        <w:t>对于使用寿命有限的无形资产，在为企业带来经济利益的期限内按直线法摊销。使用寿命有限的无形资产预计寿命及依据如下：</w:t>
      </w:r>
    </w:p>
    <w:tbl>
      <w:tblPr>
        <w:tblW w:w="9366" w:type="dxa"/>
        <w:tblCellMar>
          <w:left w:w="0" w:type="dxa"/>
          <w:right w:w="0" w:type="dxa"/>
        </w:tblCellMar>
        <w:tblLook w:val="04A0" w:firstRow="1" w:lastRow="0" w:firstColumn="1" w:lastColumn="0" w:noHBand="0" w:noVBand="1"/>
        <w:tblCaption w:val="D:\大华\华孚\2023年度\TB|0-合并TB-华孚时尚股份有限公司-2023年度.xlsx|W附注模板|_jds14|0|desc|||0|1"/>
      </w:tblPr>
      <w:tblGrid>
        <w:gridCol w:w="1703"/>
        <w:gridCol w:w="3831"/>
        <w:gridCol w:w="3832"/>
      </w:tblGrid>
      <w:tr w:rsidR="005C49A8">
        <w:trPr>
          <w:divId w:val="563301188"/>
          <w:trHeight w:val="344"/>
          <w:tblHeader/>
        </w:trPr>
        <w:tc>
          <w:tcPr>
            <w:tcW w:w="1703" w:type="dxa"/>
            <w:tcBorders>
              <w:top w:val="single" w:sz="8" w:space="0" w:color="auto"/>
              <w:left w:val="single" w:sz="8" w:space="0" w:color="auto"/>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lastRenderedPageBreak/>
              <w:t>项目</w:t>
            </w:r>
          </w:p>
        </w:tc>
        <w:tc>
          <w:tcPr>
            <w:tcW w:w="3831"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预计使用寿命</w:t>
            </w:r>
          </w:p>
        </w:tc>
        <w:tc>
          <w:tcPr>
            <w:tcW w:w="3832"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依据</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软件</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5-10年</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软件预计使用年限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土地使用权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40-50年</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土地使用权证规定年限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专利权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在实际授权使用期间内摊销</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授权使用期限</w:t>
            </w:r>
          </w:p>
        </w:tc>
      </w:tr>
      <w:tr w:rsidR="005C49A8">
        <w:trPr>
          <w:divId w:val="563301188"/>
          <w:trHeight w:val="344"/>
        </w:trPr>
        <w:tc>
          <w:tcPr>
            <w:tcW w:w="1703" w:type="dxa"/>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商标使用权</w:t>
            </w:r>
          </w:p>
        </w:tc>
        <w:tc>
          <w:tcPr>
            <w:tcW w:w="3831"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在实际授权使用期间内摊销</w:t>
            </w:r>
          </w:p>
        </w:tc>
        <w:tc>
          <w:tcPr>
            <w:tcW w:w="3832" w:type="dxa"/>
            <w:tcBorders>
              <w:top w:val="nil"/>
              <w:left w:val="nil"/>
              <w:bottom w:val="single" w:sz="8" w:space="0" w:color="auto"/>
              <w:right w:val="single" w:sz="8" w:space="0" w:color="auto"/>
            </w:tcBorders>
            <w:tcMar>
              <w:top w:w="0" w:type="dxa"/>
              <w:left w:w="0"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授权使用期限</w:t>
            </w:r>
          </w:p>
        </w:tc>
      </w:tr>
    </w:tbl>
    <w:p w:rsidR="005C49A8" w:rsidRDefault="005C49A8">
      <w:pPr>
        <w:pStyle w:val="a3"/>
        <w:spacing w:before="0" w:beforeAutospacing="0" w:after="0" w:afterAutospacing="0" w:line="360" w:lineRule="auto"/>
        <w:ind w:firstLine="420"/>
        <w:jc w:val="both"/>
        <w:divId w:val="563301188"/>
      </w:pPr>
      <w:r>
        <w:rPr>
          <w:rFonts w:hint="eastAsia"/>
          <w:sz w:val="18"/>
          <w:szCs w:val="18"/>
        </w:rPr>
        <w:t>期末，对使用寿命有限的无形资产的使用寿命和摊销方法进行复核，必要时进行调整。</w:t>
      </w:r>
    </w:p>
    <w:p w:rsidR="005C49A8" w:rsidRDefault="005C49A8" w:rsidP="00C50357">
      <w:pPr>
        <w:widowControl/>
        <w:numPr>
          <w:ilvl w:val="0"/>
          <w:numId w:val="114"/>
        </w:numPr>
        <w:divId w:val="563301188"/>
        <w:rPr>
          <w:rFonts w:ascii="Calibri" w:hAnsi="Calibri" w:cs="Calibri"/>
          <w:szCs w:val="21"/>
        </w:rPr>
      </w:pPr>
      <w:r>
        <w:rPr>
          <w:rFonts w:cs="Calibri" w:hint="eastAsia"/>
          <w:sz w:val="18"/>
          <w:szCs w:val="18"/>
        </w:rPr>
        <w:t>使用寿命不确定的无形资产</w:t>
      </w:r>
    </w:p>
    <w:p w:rsidR="005C49A8" w:rsidRDefault="005C49A8">
      <w:pPr>
        <w:pStyle w:val="a3"/>
        <w:spacing w:before="50" w:beforeAutospacing="0" w:after="0" w:afterAutospacing="0" w:line="360" w:lineRule="auto"/>
        <w:ind w:firstLine="420"/>
        <w:divId w:val="563301188"/>
      </w:pPr>
      <w:r>
        <w:rPr>
          <w:rFonts w:hint="eastAsia"/>
          <w:sz w:val="18"/>
          <w:szCs w:val="18"/>
        </w:rPr>
        <w:t>本公司无使用寿命不确定的无形资产。</w:t>
      </w:r>
    </w:p>
    <w:p w:rsidR="005C49A8" w:rsidRDefault="005C49A8">
      <w:pPr>
        <w:pStyle w:val="a3"/>
        <w:divId w:val="563301188"/>
        <w:rPr>
          <w:sz w:val="18"/>
          <w:szCs w:val="18"/>
        </w:rPr>
      </w:pPr>
      <w:r>
        <w:rPr>
          <w:rFonts w:hint="eastAsia"/>
          <w:sz w:val="18"/>
          <w:szCs w:val="18"/>
        </w:rPr>
        <w:t>无形资产的减值测试方法和减值准备计提方法详见</w:t>
      </w:r>
      <w:r>
        <w:rPr>
          <w:rFonts w:ascii="Calibri" w:hAnsi="Calibri" w:cs="Calibri"/>
          <w:sz w:val="18"/>
          <w:szCs w:val="18"/>
        </w:rPr>
        <w:t>30.</w:t>
      </w:r>
      <w:r>
        <w:rPr>
          <w:rFonts w:hint="eastAsia"/>
          <w:sz w:val="18"/>
          <w:szCs w:val="18"/>
        </w:rPr>
        <w:t>长期资产减值。</w:t>
      </w:r>
    </w:p>
    <w:p w:rsidR="008820E4" w:rsidRDefault="005C49A8">
      <w:pPr>
        <w:keepNext/>
        <w:keepLines/>
        <w:spacing w:before="300" w:after="300" w:line="280" w:lineRule="exact"/>
        <w:outlineLvl w:val="3"/>
        <w:rPr>
          <w:rFonts w:ascii="宋体" w:eastAsia="宋体" w:hAnsi="宋体" w:cs="宋体"/>
          <w:b/>
          <w:bCs/>
          <w:szCs w:val="21"/>
        </w:rPr>
      </w:pPr>
      <w:bookmarkStart w:id="48" w:name="_Toc989039"/>
      <w:r>
        <w:rPr>
          <w:rFonts w:ascii="宋体" w:eastAsia="宋体" w:hAnsi="宋体" w:cs="宋体"/>
          <w:b/>
          <w:bCs/>
          <w:szCs w:val="21"/>
        </w:rPr>
        <w:t>（2） 研发支出的归集范围及相关会计处理方法</w:t>
      </w:r>
      <w:bookmarkEnd w:id="48"/>
    </w:p>
    <w:p w:rsidR="005C49A8" w:rsidRDefault="005C49A8" w:rsidP="00C50357">
      <w:pPr>
        <w:widowControl/>
        <w:numPr>
          <w:ilvl w:val="3"/>
          <w:numId w:val="115"/>
        </w:numPr>
        <w:tabs>
          <w:tab w:val="clear" w:pos="2880"/>
          <w:tab w:val="num" w:pos="2552"/>
        </w:tabs>
        <w:spacing w:before="100" w:beforeAutospacing="1" w:after="100" w:afterAutospacing="1"/>
        <w:ind w:left="426"/>
        <w:divId w:val="153708231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划分公司内部研究开发项目的研究阶段和开发阶段具体标准</w:t>
      </w:r>
    </w:p>
    <w:p w:rsidR="005C49A8" w:rsidRDefault="005C49A8">
      <w:pPr>
        <w:pStyle w:val="a3"/>
        <w:spacing w:before="0" w:beforeAutospacing="0" w:after="0" w:afterAutospacing="0"/>
        <w:ind w:firstLine="420"/>
        <w:jc w:val="both"/>
        <w:divId w:val="1537082318"/>
      </w:pPr>
      <w:r>
        <w:rPr>
          <w:rFonts w:hint="eastAsia"/>
          <w:sz w:val="18"/>
          <w:szCs w:val="18"/>
        </w:rPr>
        <w:t>研究阶段：为获取并理解新的科学或技术知识等而进行的独创性的有计划调查、研究活动的阶段。</w:t>
      </w:r>
    </w:p>
    <w:p w:rsidR="005C49A8" w:rsidRDefault="005C49A8">
      <w:pPr>
        <w:pStyle w:val="a3"/>
        <w:spacing w:before="0" w:beforeAutospacing="0" w:after="0" w:afterAutospacing="0"/>
        <w:ind w:firstLine="420"/>
        <w:jc w:val="both"/>
        <w:divId w:val="1537082318"/>
      </w:pPr>
      <w:r>
        <w:rPr>
          <w:rFonts w:hint="eastAsia"/>
          <w:sz w:val="18"/>
          <w:szCs w:val="18"/>
        </w:rPr>
        <w:t>开发阶段：在进行商业性生产或使用前，将研究成果或其他知识应用于某项计划或设计，以生产出新的或具有实质性改进的材料、装置、产品等活动的阶段。</w:t>
      </w:r>
    </w:p>
    <w:p w:rsidR="005C49A8" w:rsidRDefault="005C49A8">
      <w:pPr>
        <w:pStyle w:val="a3"/>
        <w:spacing w:before="0" w:beforeAutospacing="0" w:after="0" w:afterAutospacing="0"/>
        <w:ind w:firstLine="420"/>
        <w:jc w:val="both"/>
        <w:divId w:val="1537082318"/>
      </w:pPr>
      <w:r>
        <w:rPr>
          <w:rFonts w:hint="eastAsia"/>
          <w:sz w:val="18"/>
          <w:szCs w:val="18"/>
        </w:rPr>
        <w:t>内部研究开发项目研究阶段的支出，在发生时计入当期损益。</w:t>
      </w:r>
    </w:p>
    <w:p w:rsidR="005C49A8" w:rsidRDefault="005C49A8" w:rsidP="00C50357">
      <w:pPr>
        <w:widowControl/>
        <w:numPr>
          <w:ilvl w:val="3"/>
          <w:numId w:val="116"/>
        </w:numPr>
        <w:tabs>
          <w:tab w:val="clear" w:pos="2880"/>
          <w:tab w:val="num" w:pos="2552"/>
        </w:tabs>
        <w:spacing w:before="100" w:beforeAutospacing="1" w:after="100" w:afterAutospacing="1"/>
        <w:ind w:left="426"/>
        <w:divId w:val="1537082318"/>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开发阶段支出符合资本化的具体标准</w:t>
      </w:r>
    </w:p>
    <w:p w:rsidR="005C49A8" w:rsidRDefault="005C49A8">
      <w:pPr>
        <w:pStyle w:val="a3"/>
        <w:spacing w:before="0" w:beforeAutospacing="0" w:after="0" w:afterAutospacing="0"/>
        <w:ind w:firstLine="420"/>
        <w:jc w:val="both"/>
        <w:divId w:val="1537082318"/>
      </w:pPr>
      <w:r>
        <w:rPr>
          <w:rFonts w:hint="eastAsia"/>
          <w:sz w:val="18"/>
          <w:szCs w:val="18"/>
        </w:rPr>
        <w:t>内部研究开发项目开发阶段的支出，同时满足下列条件时确认为无形资产：</w:t>
      </w:r>
    </w:p>
    <w:p w:rsidR="005C49A8" w:rsidRDefault="005C49A8">
      <w:pPr>
        <w:pStyle w:val="a3"/>
        <w:spacing w:before="0" w:beforeAutospacing="0" w:after="0" w:afterAutospacing="0"/>
        <w:ind w:firstLine="420"/>
        <w:jc w:val="both"/>
        <w:divId w:val="1537082318"/>
      </w:pPr>
      <w:r>
        <w:rPr>
          <w:rFonts w:hint="eastAsia"/>
          <w:sz w:val="18"/>
          <w:szCs w:val="18"/>
        </w:rPr>
        <w:t>（1）完成该无形资产以使其能够使用或出售在技术上具有可行性；</w:t>
      </w:r>
    </w:p>
    <w:p w:rsidR="005C49A8" w:rsidRDefault="005C49A8">
      <w:pPr>
        <w:pStyle w:val="a3"/>
        <w:spacing w:before="0" w:beforeAutospacing="0" w:after="0" w:afterAutospacing="0"/>
        <w:ind w:firstLine="420"/>
        <w:jc w:val="both"/>
        <w:divId w:val="1537082318"/>
      </w:pPr>
      <w:r>
        <w:rPr>
          <w:rFonts w:hint="eastAsia"/>
          <w:sz w:val="18"/>
          <w:szCs w:val="18"/>
        </w:rPr>
        <w:t>（2）具有完成该无形资产并使用或出售的意图；</w:t>
      </w:r>
    </w:p>
    <w:p w:rsidR="005C49A8" w:rsidRDefault="005C49A8">
      <w:pPr>
        <w:pStyle w:val="a3"/>
        <w:spacing w:before="0" w:beforeAutospacing="0" w:after="0" w:afterAutospacing="0"/>
        <w:ind w:firstLine="420"/>
        <w:jc w:val="both"/>
        <w:divId w:val="1537082318"/>
      </w:pPr>
      <w:r>
        <w:rPr>
          <w:rFonts w:hint="eastAsia"/>
          <w:sz w:val="18"/>
          <w:szCs w:val="18"/>
        </w:rPr>
        <w:t>（3）无形资产产生经济利益的方式，包括能够证明运用该无形资产生产的产品存在市场或无形资产自身存在市场，无形资产将在内部使用的，能够证明其有用性；</w:t>
      </w:r>
    </w:p>
    <w:p w:rsidR="005C49A8" w:rsidRDefault="005C49A8">
      <w:pPr>
        <w:pStyle w:val="a3"/>
        <w:spacing w:before="0" w:beforeAutospacing="0" w:after="0" w:afterAutospacing="0"/>
        <w:ind w:firstLine="420"/>
        <w:jc w:val="both"/>
        <w:divId w:val="1537082318"/>
      </w:pPr>
      <w:r>
        <w:rPr>
          <w:rFonts w:hint="eastAsia"/>
          <w:sz w:val="18"/>
          <w:szCs w:val="18"/>
        </w:rPr>
        <w:t>（4）有足够的技术、财务资源和其他资源支持，以完成该无形资产的开发，并有能力使用或出售该无形资产；</w:t>
      </w:r>
    </w:p>
    <w:p w:rsidR="005C49A8" w:rsidRDefault="005C49A8">
      <w:pPr>
        <w:pStyle w:val="a3"/>
        <w:spacing w:before="0" w:beforeAutospacing="0" w:after="0" w:afterAutospacing="0"/>
        <w:ind w:firstLine="420"/>
        <w:jc w:val="both"/>
        <w:divId w:val="1537082318"/>
      </w:pPr>
      <w:r>
        <w:rPr>
          <w:rFonts w:hint="eastAsia"/>
          <w:sz w:val="18"/>
          <w:szCs w:val="18"/>
        </w:rPr>
        <w:t>（5）归属于该无形资产开发阶段的支出能够可靠地计量。</w:t>
      </w:r>
    </w:p>
    <w:p w:rsidR="005C49A8" w:rsidRDefault="005C49A8">
      <w:pPr>
        <w:pStyle w:val="a3"/>
        <w:spacing w:before="0" w:beforeAutospacing="0" w:after="0" w:afterAutospacing="0"/>
        <w:ind w:firstLine="420"/>
        <w:jc w:val="both"/>
        <w:divId w:val="1537082318"/>
      </w:pPr>
      <w:r>
        <w:rPr>
          <w:rFonts w:hint="eastAsia"/>
          <w:sz w:val="18"/>
          <w:szCs w:val="18"/>
        </w:rPr>
        <w:t>不满足上述条件的开发阶段的支出，于发生时计入当期损益。无法区分研究阶段支出和开发阶段支出的，将发生的研发支出全部计入当期损益。内部开发活动形成的无形资产的成本仅包括满足资本化条件的时点至无形资产达到预定用途前发生的支出总额，对于同一项无形资产在开发过程中达到资本化条件之前已经费用化计入损益的支出不再进行调整。</w:t>
      </w:r>
    </w:p>
    <w:p w:rsidR="008820E4" w:rsidRDefault="005C49A8">
      <w:pPr>
        <w:pStyle w:val="3"/>
        <w:spacing w:line="280" w:lineRule="exact"/>
        <w:jc w:val="left"/>
        <w:rPr>
          <w:rFonts w:ascii="宋体" w:hAnsi="宋体" w:cs="宋体"/>
          <w:b/>
          <w:bCs/>
        </w:rPr>
      </w:pPr>
      <w:bookmarkStart w:id="49" w:name="_Toc989040"/>
      <w:r>
        <w:rPr>
          <w:rFonts w:ascii="宋体" w:hAnsi="宋体" w:cs="宋体"/>
          <w:b/>
          <w:bCs/>
        </w:rPr>
        <w:t>30、长期资产减值</w:t>
      </w:r>
      <w:bookmarkEnd w:id="49"/>
    </w:p>
    <w:p w:rsidR="005C49A8" w:rsidRDefault="005C49A8">
      <w:pPr>
        <w:pStyle w:val="a3"/>
        <w:spacing w:before="0" w:beforeAutospacing="0" w:after="0" w:afterAutospacing="0"/>
        <w:ind w:firstLine="420"/>
        <w:jc w:val="both"/>
        <w:divId w:val="72820496"/>
      </w:pPr>
      <w:r>
        <w:rPr>
          <w:rFonts w:hint="eastAsia"/>
          <w:sz w:val="18"/>
          <w:szCs w:val="18"/>
        </w:rPr>
        <w:t>本公司在每一个资产负债表日检查长期股权投资、采用成本法计量的投资性房地产、固定资产、在建工程、使用寿命确定的无形资产是否存在可能发生减值的迹象。如果长期资产存在减值迹象，则以单项资产为基础估计其可收回金额；难以对单项资产的可收回金额进行估计的，以该资产所属的资产组为基础确定资产组的可收回金额。</w:t>
      </w:r>
    </w:p>
    <w:p w:rsidR="005C49A8" w:rsidRDefault="005C49A8">
      <w:pPr>
        <w:pStyle w:val="a3"/>
        <w:spacing w:before="0" w:beforeAutospacing="0" w:after="0" w:afterAutospacing="0"/>
        <w:ind w:firstLine="420"/>
        <w:jc w:val="both"/>
        <w:divId w:val="72820496"/>
      </w:pPr>
      <w:r>
        <w:rPr>
          <w:rFonts w:hint="eastAsia"/>
          <w:sz w:val="18"/>
          <w:szCs w:val="18"/>
        </w:rPr>
        <w:t>资产可收回金额的估计，根据其公允价值减去处置费用后的净额与资产预计未来现金流量的现值两者之间较高者确定。</w:t>
      </w:r>
    </w:p>
    <w:p w:rsidR="005C49A8" w:rsidRDefault="005C49A8">
      <w:pPr>
        <w:pStyle w:val="a3"/>
        <w:spacing w:before="0" w:beforeAutospacing="0" w:after="0" w:afterAutospacing="0"/>
        <w:ind w:firstLine="420"/>
        <w:jc w:val="both"/>
        <w:divId w:val="72820496"/>
      </w:pPr>
      <w:r>
        <w:rPr>
          <w:rFonts w:hint="eastAsia"/>
          <w:sz w:val="18"/>
          <w:szCs w:val="18"/>
        </w:rPr>
        <w:t>可收回金额的计量结果表明，长期资产的可收回金额低于其账面价值的，将长期资产的账面价值减记至可收回金额，减记的金额确认为资产减值损失，计入当期损益，同时计提相应的资产减值准备。资产减值损失一经确认，在以后会计期间不得转回。</w:t>
      </w:r>
    </w:p>
    <w:p w:rsidR="005C49A8" w:rsidRDefault="005C49A8">
      <w:pPr>
        <w:pStyle w:val="a3"/>
        <w:spacing w:before="0" w:beforeAutospacing="0" w:after="0" w:afterAutospacing="0"/>
        <w:ind w:firstLine="420"/>
        <w:jc w:val="both"/>
        <w:divId w:val="72820496"/>
      </w:pPr>
      <w:r>
        <w:rPr>
          <w:rFonts w:hint="eastAsia"/>
          <w:sz w:val="18"/>
          <w:szCs w:val="18"/>
        </w:rPr>
        <w:lastRenderedPageBreak/>
        <w:t>资产减值损失确认后，减值资产的折旧或者摊销费用在未来期间作相应调整，以使该资产在剩余使用寿命内，系统地分摊调整后的资产账面价值（扣除预计净残值）。</w:t>
      </w:r>
    </w:p>
    <w:p w:rsidR="005C49A8" w:rsidRDefault="005C49A8">
      <w:pPr>
        <w:pStyle w:val="a3"/>
        <w:spacing w:before="0" w:beforeAutospacing="0" w:after="0" w:afterAutospacing="0"/>
        <w:ind w:firstLine="420"/>
        <w:jc w:val="both"/>
        <w:divId w:val="72820496"/>
      </w:pPr>
      <w:r>
        <w:rPr>
          <w:rFonts w:hint="eastAsia"/>
          <w:sz w:val="18"/>
          <w:szCs w:val="18"/>
        </w:rPr>
        <w:t>因企业合并所形成的商誉和使用寿命不确定的无形资产，无论是否存在减值迹象，每年都进行减值测试。</w:t>
      </w:r>
    </w:p>
    <w:p w:rsidR="005C49A8" w:rsidRDefault="005C49A8" w:rsidP="00F7271B">
      <w:pPr>
        <w:pStyle w:val="a3"/>
        <w:ind w:firstLineChars="236" w:firstLine="425"/>
        <w:divId w:val="72820496"/>
        <w:rPr>
          <w:sz w:val="18"/>
          <w:szCs w:val="18"/>
        </w:rPr>
      </w:pPr>
      <w:r>
        <w:rPr>
          <w:rFonts w:hint="eastAsia"/>
          <w:sz w:val="18"/>
          <w:szCs w:val="18"/>
        </w:rPr>
        <w:t>在对商誉进行减值测试时，将商誉的账面价值分摊至预期从企业合并的协同效应中受益的资产组或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p>
    <w:p w:rsidR="008820E4" w:rsidRDefault="005C49A8">
      <w:pPr>
        <w:pStyle w:val="3"/>
        <w:spacing w:line="280" w:lineRule="exact"/>
        <w:jc w:val="left"/>
        <w:rPr>
          <w:rFonts w:ascii="宋体" w:hAnsi="宋体" w:cs="宋体"/>
          <w:b/>
          <w:bCs/>
        </w:rPr>
      </w:pPr>
      <w:bookmarkStart w:id="50" w:name="_Toc989041"/>
      <w:r>
        <w:rPr>
          <w:rFonts w:ascii="宋体" w:hAnsi="宋体" w:cs="宋体"/>
          <w:b/>
          <w:bCs/>
        </w:rPr>
        <w:t>31、长期待摊费用</w:t>
      </w:r>
      <w:bookmarkEnd w:id="50"/>
    </w:p>
    <w:p w:rsidR="005C49A8" w:rsidRDefault="005C49A8" w:rsidP="00C50357">
      <w:pPr>
        <w:widowControl/>
        <w:numPr>
          <w:ilvl w:val="0"/>
          <w:numId w:val="117"/>
        </w:numPr>
        <w:spacing w:before="100" w:beforeAutospacing="1" w:after="100" w:afterAutospacing="1"/>
        <w:divId w:val="988482059"/>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摊销方法</w:t>
      </w:r>
    </w:p>
    <w:p w:rsidR="005C49A8" w:rsidRDefault="005C49A8">
      <w:pPr>
        <w:pStyle w:val="a3"/>
        <w:spacing w:before="0" w:beforeAutospacing="0" w:after="0" w:afterAutospacing="0"/>
        <w:ind w:firstLine="420"/>
        <w:jc w:val="both"/>
        <w:divId w:val="988482059"/>
      </w:pPr>
      <w:r>
        <w:rPr>
          <w:rFonts w:hint="eastAsia"/>
          <w:sz w:val="18"/>
          <w:szCs w:val="18"/>
        </w:rPr>
        <w:t>长期待摊费用，是指本公司已经发生但应由本期和以后各期负担的分摊期限在1年以上的各项费用。长期待摊费用在受益期内按直线法分期摊销。</w:t>
      </w:r>
    </w:p>
    <w:p w:rsidR="005C49A8" w:rsidRDefault="005C49A8" w:rsidP="00C50357">
      <w:pPr>
        <w:widowControl/>
        <w:numPr>
          <w:ilvl w:val="0"/>
          <w:numId w:val="118"/>
        </w:numPr>
        <w:spacing w:before="100" w:beforeAutospacing="1" w:after="100" w:afterAutospacing="1"/>
        <w:divId w:val="988482059"/>
        <w:rPr>
          <w:sz w:val="18"/>
          <w:szCs w:val="18"/>
        </w:rPr>
      </w:pPr>
      <w:r>
        <w:rPr>
          <w:rFonts w:hint="eastAsia"/>
          <w:sz w:val="18"/>
          <w:szCs w:val="18"/>
        </w:rPr>
        <w:t>．</w:t>
      </w:r>
      <w:r>
        <w:rPr>
          <w:rFonts w:ascii="Times New Roman" w:hAnsi="Times New Roman" w:cs="Times New Roman"/>
          <w:sz w:val="18"/>
          <w:szCs w:val="18"/>
        </w:rPr>
        <w:t xml:space="preserve"> </w:t>
      </w:r>
      <w:r>
        <w:rPr>
          <w:rFonts w:hint="eastAsia"/>
          <w:sz w:val="18"/>
          <w:szCs w:val="18"/>
        </w:rPr>
        <w:t>摊销年限</w:t>
      </w:r>
    </w:p>
    <w:tbl>
      <w:tblPr>
        <w:tblW w:w="9088" w:type="dxa"/>
        <w:jc w:val="center"/>
        <w:tblCellMar>
          <w:left w:w="0" w:type="dxa"/>
          <w:right w:w="0" w:type="dxa"/>
        </w:tblCellMar>
        <w:tblLook w:val="04A0" w:firstRow="1" w:lastRow="0" w:firstColumn="1" w:lastColumn="0" w:noHBand="0" w:noVBand="1"/>
        <w:tblCaption w:val="D:\大华\华孚\2023年度\TB|0-合并TB-华孚时尚股份有限公司-2023年度.xlsx|W附注模板|_jds16|0|desc|||0|1"/>
      </w:tblPr>
      <w:tblGrid>
        <w:gridCol w:w="2845"/>
        <w:gridCol w:w="2845"/>
        <w:gridCol w:w="3398"/>
      </w:tblGrid>
      <w:tr w:rsidR="005C49A8" w:rsidTr="00F7271B">
        <w:trPr>
          <w:divId w:val="988482059"/>
          <w:trHeight w:val="340"/>
          <w:tblHeader/>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类别</w:t>
            </w:r>
          </w:p>
        </w:tc>
        <w:tc>
          <w:tcPr>
            <w:tcW w:w="284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摊销年限</w:t>
            </w:r>
          </w:p>
        </w:tc>
        <w:tc>
          <w:tcPr>
            <w:tcW w:w="339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备注</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装修费</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3-5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机物料</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3-5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r w:rsidR="005C49A8" w:rsidTr="00CF103B">
        <w:trPr>
          <w:divId w:val="988482059"/>
          <w:trHeight w:val="340"/>
          <w:jc w:val="center"/>
        </w:trPr>
        <w:tc>
          <w:tcPr>
            <w:tcW w:w="284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hint="eastAsia"/>
                <w:sz w:val="18"/>
                <w:szCs w:val="18"/>
              </w:rPr>
              <w:t>其他</w:t>
            </w:r>
          </w:p>
        </w:tc>
        <w:tc>
          <w:tcPr>
            <w:tcW w:w="2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pPr>
            <w:r>
              <w:rPr>
                <w:rFonts w:ascii="Times New Roman" w:hAnsi="Times New Roman" w:cs="Times New Roman"/>
                <w:sz w:val="18"/>
                <w:szCs w:val="18"/>
              </w:rPr>
              <w:t>2-5</w:t>
            </w:r>
            <w:r>
              <w:rPr>
                <w:rFonts w:hint="eastAsia"/>
                <w:sz w:val="18"/>
                <w:szCs w:val="18"/>
              </w:rPr>
              <w:t>年</w:t>
            </w:r>
          </w:p>
        </w:tc>
        <w:tc>
          <w:tcPr>
            <w:tcW w:w="3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ind w:firstLine="424"/>
              <w:jc w:val="center"/>
            </w:pPr>
            <w:r>
              <w:rPr>
                <w:rFonts w:ascii="Times New Roman" w:hAnsi="Times New Roman" w:cs="Times New Roman"/>
                <w:sz w:val="21"/>
                <w:szCs w:val="21"/>
              </w:rPr>
              <w:t> </w:t>
            </w:r>
          </w:p>
        </w:tc>
      </w:tr>
    </w:tbl>
    <w:p w:rsidR="008820E4" w:rsidRDefault="005C49A8">
      <w:pPr>
        <w:pStyle w:val="3"/>
        <w:spacing w:line="280" w:lineRule="exact"/>
        <w:jc w:val="left"/>
        <w:rPr>
          <w:rFonts w:ascii="宋体" w:hAnsi="宋体" w:cs="宋体"/>
          <w:b/>
          <w:bCs/>
        </w:rPr>
      </w:pPr>
      <w:bookmarkStart w:id="51" w:name="_Toc989042"/>
      <w:r>
        <w:rPr>
          <w:rFonts w:ascii="宋体" w:hAnsi="宋体" w:cs="宋体"/>
          <w:b/>
          <w:bCs/>
        </w:rPr>
        <w:t>32、合同负债</w:t>
      </w:r>
      <w:bookmarkEnd w:id="51"/>
    </w:p>
    <w:p w:rsidR="005C49A8" w:rsidRDefault="005C49A8">
      <w:pPr>
        <w:pStyle w:val="a3"/>
        <w:spacing w:before="0" w:beforeAutospacing="0" w:after="0" w:afterAutospacing="0" w:line="360" w:lineRule="auto"/>
        <w:ind w:firstLine="420"/>
        <w:jc w:val="both"/>
        <w:divId w:val="1408069791"/>
      </w:pPr>
      <w:r>
        <w:rPr>
          <w:rFonts w:hint="eastAsia"/>
          <w:sz w:val="18"/>
          <w:szCs w:val="18"/>
        </w:rPr>
        <w:t>本公司将已收或应收客户对价而应向客户转让商品的义务部分确认为合同负债。</w:t>
      </w:r>
    </w:p>
    <w:p w:rsidR="008820E4" w:rsidRDefault="005C49A8">
      <w:pPr>
        <w:pStyle w:val="3"/>
        <w:spacing w:line="280" w:lineRule="exact"/>
        <w:jc w:val="left"/>
        <w:rPr>
          <w:rFonts w:ascii="宋体" w:hAnsi="宋体" w:cs="宋体"/>
          <w:b/>
          <w:bCs/>
        </w:rPr>
      </w:pPr>
      <w:bookmarkStart w:id="52" w:name="_Toc989043"/>
      <w:r>
        <w:rPr>
          <w:rFonts w:ascii="宋体" w:hAnsi="宋体" w:cs="宋体"/>
          <w:b/>
          <w:bCs/>
        </w:rPr>
        <w:t>33、职工薪酬</w:t>
      </w:r>
      <w:bookmarkEnd w:id="52"/>
    </w:p>
    <w:p w:rsidR="008820E4" w:rsidRDefault="005C49A8">
      <w:pPr>
        <w:keepNext/>
        <w:keepLines/>
        <w:spacing w:before="300" w:after="300" w:line="280" w:lineRule="exact"/>
        <w:outlineLvl w:val="3"/>
        <w:rPr>
          <w:rFonts w:ascii="宋体" w:eastAsia="宋体" w:hAnsi="宋体" w:cs="宋体"/>
          <w:b/>
          <w:bCs/>
          <w:szCs w:val="21"/>
        </w:rPr>
      </w:pPr>
      <w:bookmarkStart w:id="53" w:name="_Toc989044"/>
      <w:r>
        <w:rPr>
          <w:rFonts w:ascii="宋体" w:eastAsia="宋体" w:hAnsi="宋体" w:cs="宋体"/>
          <w:b/>
          <w:bCs/>
          <w:szCs w:val="21"/>
        </w:rPr>
        <w:t>（1） 短期薪酬的会计处理方法</w:t>
      </w:r>
      <w:bookmarkEnd w:id="53"/>
    </w:p>
    <w:p w:rsidR="005C49A8" w:rsidRPr="00F7271B" w:rsidRDefault="005C49A8">
      <w:pPr>
        <w:pStyle w:val="a3"/>
        <w:spacing w:before="0" w:beforeAutospacing="0" w:after="0" w:afterAutospacing="0" w:line="360" w:lineRule="auto"/>
        <w:ind w:firstLine="420"/>
        <w:jc w:val="both"/>
        <w:divId w:val="536159720"/>
        <w:rPr>
          <w:sz w:val="18"/>
          <w:szCs w:val="18"/>
        </w:rPr>
      </w:pPr>
      <w:r w:rsidRPr="00F7271B">
        <w:rPr>
          <w:rFonts w:hint="eastAsia"/>
          <w:sz w:val="18"/>
          <w:szCs w:val="18"/>
        </w:rPr>
        <w:t>短期薪酬是指本公司在职工提供相关服务的年度报告期间结束后十二个月内需要全部予以支付的职工薪酬，离职后福利和辞退福利除外。本公司在职工提供服务的会计期间，将应付的短期薪酬确认为负债，并根据职工提供服务的受益对象计入相关资产成本和费用。</w:t>
      </w:r>
    </w:p>
    <w:p w:rsidR="008820E4" w:rsidRDefault="005C49A8">
      <w:pPr>
        <w:keepNext/>
        <w:keepLines/>
        <w:spacing w:before="300" w:after="300" w:line="280" w:lineRule="exact"/>
        <w:outlineLvl w:val="3"/>
        <w:rPr>
          <w:rFonts w:ascii="宋体" w:eastAsia="宋体" w:hAnsi="宋体" w:cs="宋体"/>
          <w:b/>
          <w:bCs/>
          <w:szCs w:val="21"/>
        </w:rPr>
      </w:pPr>
      <w:bookmarkStart w:id="54" w:name="_Toc989045"/>
      <w:r>
        <w:rPr>
          <w:rFonts w:ascii="宋体" w:eastAsia="宋体" w:hAnsi="宋体" w:cs="宋体"/>
          <w:b/>
          <w:bCs/>
          <w:szCs w:val="21"/>
        </w:rPr>
        <w:t>（2） 离职后福利的会计处理方法</w:t>
      </w:r>
      <w:bookmarkEnd w:id="54"/>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离职后福利是指本公司为获得职工提供的服务而在职工退休或与企业解除劳动关系后，提供的各种形式的报酬和福利，短期薪酬和辞退福利除外。</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本公司的离职后福利计划分类为设定提存计划和设定受益计划。</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lastRenderedPageBreak/>
        <w:t>离职后福利设定提存计划主要为参加由各地劳动及社会保障机构组织实施的社会基本养老保险、失业保险等；在职工为本公司提供服务的会计期间，将根据设定提存计划计算的应缴存金额确认为负债，并计入当期损益或相关资产成本。</w:t>
      </w:r>
    </w:p>
    <w:p w:rsidR="005C49A8" w:rsidRPr="00F7271B" w:rsidRDefault="005C49A8">
      <w:pPr>
        <w:pStyle w:val="a3"/>
        <w:spacing w:before="0" w:beforeAutospacing="0" w:after="0" w:afterAutospacing="0" w:line="360" w:lineRule="auto"/>
        <w:ind w:firstLine="420"/>
        <w:jc w:val="both"/>
        <w:divId w:val="1275866639"/>
        <w:rPr>
          <w:sz w:val="18"/>
          <w:szCs w:val="18"/>
        </w:rPr>
      </w:pPr>
      <w:r w:rsidRPr="00F7271B">
        <w:rPr>
          <w:rFonts w:hint="eastAsia"/>
          <w:sz w:val="18"/>
          <w:szCs w:val="18"/>
        </w:rPr>
        <w:t>本公司按照国家规定的标准定期缴付上述款项后，不再有其他的支付义务。</w:t>
      </w:r>
    </w:p>
    <w:p w:rsidR="008820E4" w:rsidRDefault="005C49A8">
      <w:pPr>
        <w:keepNext/>
        <w:keepLines/>
        <w:spacing w:before="300" w:after="300" w:line="280" w:lineRule="exact"/>
        <w:outlineLvl w:val="3"/>
        <w:rPr>
          <w:rFonts w:ascii="宋体" w:eastAsia="宋体" w:hAnsi="宋体" w:cs="宋体"/>
          <w:b/>
          <w:bCs/>
          <w:szCs w:val="21"/>
        </w:rPr>
      </w:pPr>
      <w:bookmarkStart w:id="55" w:name="_Toc989046"/>
      <w:r>
        <w:rPr>
          <w:rFonts w:ascii="宋体" w:eastAsia="宋体" w:hAnsi="宋体" w:cs="宋体"/>
          <w:b/>
          <w:bCs/>
          <w:szCs w:val="21"/>
        </w:rPr>
        <w:t>（3） 辞退福利的会计处理方法</w:t>
      </w:r>
      <w:bookmarkEnd w:id="55"/>
    </w:p>
    <w:p w:rsidR="005C49A8" w:rsidRPr="00F7271B" w:rsidRDefault="005C49A8">
      <w:pPr>
        <w:pStyle w:val="a3"/>
        <w:spacing w:before="0" w:beforeAutospacing="0" w:after="0" w:afterAutospacing="0" w:line="360" w:lineRule="auto"/>
        <w:ind w:firstLine="420"/>
        <w:jc w:val="both"/>
        <w:divId w:val="267809758"/>
        <w:rPr>
          <w:sz w:val="18"/>
          <w:szCs w:val="18"/>
        </w:rPr>
      </w:pPr>
      <w:r w:rsidRPr="00F7271B">
        <w:rPr>
          <w:rFonts w:hint="eastAsia"/>
          <w:sz w:val="18"/>
          <w:szCs w:val="18"/>
        </w:rPr>
        <w:t>辞退福利是指本公司在职工劳动合同到期之前解除与职工的劳动关系，或者为鼓励职工自愿接受裁减而给予职工的补偿，在本公司不能单方面撤回解除劳动关系计划或裁减建议时和确认与涉及支付辞退福利的重组相关的成本费用时两者孰早日，确认因解除与职工的劳动关系给予补偿而产生的负债，同时计入当期损益。</w:t>
      </w:r>
    </w:p>
    <w:p w:rsidR="005C49A8" w:rsidRPr="00F7271B" w:rsidRDefault="005C49A8">
      <w:pPr>
        <w:pStyle w:val="a3"/>
        <w:spacing w:before="0" w:beforeAutospacing="0" w:after="0" w:afterAutospacing="0" w:line="360" w:lineRule="auto"/>
        <w:ind w:firstLine="420"/>
        <w:jc w:val="both"/>
        <w:divId w:val="267809758"/>
        <w:rPr>
          <w:sz w:val="18"/>
          <w:szCs w:val="18"/>
        </w:rPr>
      </w:pPr>
      <w:r w:rsidRPr="00F7271B">
        <w:rPr>
          <w:rFonts w:hint="eastAsia"/>
          <w:sz w:val="18"/>
          <w:szCs w:val="18"/>
        </w:rPr>
        <w:t>本公司向接受内部退休安排的职工提供内退福利。内退福利是指，向未达到国家规定的退休年龄、经本公司管理层批准自愿退出工作岗位的职工支付的工资及为其缴纳的社会保险费等。本公司自内部退休安排开始之日起至职工达到正常退休年龄止，向内退职工支付内部退养福利。对于内退福利，本公司比照辞退福利进行会计处理，在符合辞退福利相关确认条件时，将自职工停止提供服务日至正常退休日期间拟支付的内退职工工资和缴纳的社会保险费等，确认为负债，一次性计入当期损益。内退福利的精算假设变化及福利标准调整引起的差异于发生时计入当期损益。</w:t>
      </w:r>
    </w:p>
    <w:p w:rsidR="008820E4" w:rsidRDefault="005C49A8">
      <w:pPr>
        <w:keepNext/>
        <w:keepLines/>
        <w:spacing w:before="300" w:after="300" w:line="280" w:lineRule="exact"/>
        <w:outlineLvl w:val="3"/>
        <w:rPr>
          <w:rFonts w:ascii="宋体" w:eastAsia="宋体" w:hAnsi="宋体" w:cs="宋体"/>
          <w:b/>
          <w:bCs/>
          <w:szCs w:val="21"/>
        </w:rPr>
      </w:pPr>
      <w:bookmarkStart w:id="56" w:name="_Toc989047"/>
      <w:r>
        <w:rPr>
          <w:rFonts w:ascii="宋体" w:eastAsia="宋体" w:hAnsi="宋体" w:cs="宋体"/>
          <w:b/>
          <w:bCs/>
          <w:szCs w:val="21"/>
        </w:rPr>
        <w:t>（4） 其他长期职工福利的会计处理方法</w:t>
      </w:r>
      <w:bookmarkEnd w:id="56"/>
    </w:p>
    <w:p w:rsidR="005C49A8" w:rsidRPr="00F7271B" w:rsidRDefault="005C49A8">
      <w:pPr>
        <w:pStyle w:val="a3"/>
        <w:spacing w:before="0" w:beforeAutospacing="0" w:after="0" w:afterAutospacing="0" w:line="360" w:lineRule="auto"/>
        <w:ind w:firstLine="420"/>
        <w:jc w:val="both"/>
        <w:divId w:val="678239583"/>
        <w:rPr>
          <w:sz w:val="18"/>
          <w:szCs w:val="18"/>
        </w:rPr>
      </w:pPr>
      <w:r w:rsidRPr="00F7271B">
        <w:rPr>
          <w:rFonts w:hint="eastAsia"/>
          <w:sz w:val="18"/>
          <w:szCs w:val="18"/>
        </w:rPr>
        <w:t>其他长期职工福利是指除短期薪酬、离职后福利、辞退福利之外的其他所有职工福利。</w:t>
      </w:r>
    </w:p>
    <w:p w:rsidR="005C49A8" w:rsidRPr="00F7271B" w:rsidRDefault="005C49A8">
      <w:pPr>
        <w:pStyle w:val="a3"/>
        <w:spacing w:before="0" w:beforeAutospacing="0" w:after="0" w:afterAutospacing="0" w:line="360" w:lineRule="auto"/>
        <w:ind w:firstLine="420"/>
        <w:jc w:val="both"/>
        <w:divId w:val="678239583"/>
        <w:rPr>
          <w:sz w:val="18"/>
          <w:szCs w:val="18"/>
        </w:rPr>
      </w:pPr>
      <w:r w:rsidRPr="00F7271B">
        <w:rPr>
          <w:rFonts w:hint="eastAsia"/>
          <w:sz w:val="18"/>
          <w:szCs w:val="18"/>
        </w:rPr>
        <w:t>对符合设定提存计划条件的其他长期职工福利，在职工为本公司提供服务的会计期间，将应缴存金额确认为负债，并计入当期损益或相关资产成本；除上述情形外的其他长期职工福利，在资产负债表日使用预期累计福利单位法进行精算，将设定受益计划产生的福利义务归属于职工提供服务的期间，并计入当期损益或相关资产成本。</w:t>
      </w:r>
    </w:p>
    <w:p w:rsidR="008820E4" w:rsidRDefault="005C49A8">
      <w:pPr>
        <w:pStyle w:val="3"/>
        <w:spacing w:line="280" w:lineRule="exact"/>
        <w:jc w:val="left"/>
        <w:rPr>
          <w:rFonts w:ascii="宋体" w:hAnsi="宋体" w:cs="宋体"/>
          <w:b/>
          <w:bCs/>
        </w:rPr>
      </w:pPr>
      <w:bookmarkStart w:id="57" w:name="_Toc989048"/>
      <w:r>
        <w:rPr>
          <w:rFonts w:ascii="宋体" w:hAnsi="宋体" w:cs="宋体"/>
          <w:b/>
          <w:bCs/>
        </w:rPr>
        <w:t>34、预计负债</w:t>
      </w:r>
      <w:bookmarkEnd w:id="57"/>
    </w:p>
    <w:p w:rsidR="005C49A8" w:rsidRDefault="005C49A8" w:rsidP="00C50357">
      <w:pPr>
        <w:widowControl/>
        <w:numPr>
          <w:ilvl w:val="0"/>
          <w:numId w:val="119"/>
        </w:numPr>
        <w:spacing w:before="100" w:beforeAutospacing="1" w:after="100" w:afterAutospacing="1"/>
        <w:divId w:val="161640484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预计负债的确认标准</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当与或有事项相关的义务是本公司承担的现时义务，且履行该义务很可能导致经济利益流出，以及该义务的金额能够可靠地计量，则确认为预计负债。</w:t>
      </w:r>
    </w:p>
    <w:p w:rsidR="005C49A8" w:rsidRDefault="005C49A8" w:rsidP="00C50357">
      <w:pPr>
        <w:widowControl/>
        <w:numPr>
          <w:ilvl w:val="0"/>
          <w:numId w:val="120"/>
        </w:numPr>
        <w:spacing w:before="100" w:beforeAutospacing="1" w:after="100" w:afterAutospacing="1"/>
        <w:divId w:val="1616404848"/>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预计负债的计量方法</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本公司预计负债按履行相关现时义务所需的支出的最佳估计数进行初始计量。</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本公司在确定最佳估计数时，综合考虑与或有事项有关的风险、不确定性和货币时间价值等因素。对于货币时间价值影响重大的，通过对相关未来现金流出进行折现后确定最佳估计数。</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最佳估计数分别以下情况处理：</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lastRenderedPageBreak/>
        <w:t>所需支出存在一个连续范围（或区间），且该范围内各种结果发生的可能性相同的，则最佳估计数按照该范围的中间值即上下限金额的平均数确定。</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rsidR="005C49A8" w:rsidRPr="00F7271B" w:rsidRDefault="005C49A8">
      <w:pPr>
        <w:pStyle w:val="a3"/>
        <w:spacing w:before="0" w:beforeAutospacing="0" w:after="0" w:afterAutospacing="0" w:line="360" w:lineRule="auto"/>
        <w:ind w:firstLine="420"/>
        <w:jc w:val="both"/>
        <w:divId w:val="1616404848"/>
        <w:rPr>
          <w:sz w:val="18"/>
          <w:szCs w:val="18"/>
        </w:rPr>
      </w:pPr>
      <w:r w:rsidRPr="00F7271B">
        <w:rPr>
          <w:rFonts w:hint="eastAsia"/>
          <w:sz w:val="18"/>
          <w:szCs w:val="18"/>
        </w:rPr>
        <w:t>本公司清偿预计负债所需支出全部或部分预期由第三方补偿的，补偿金额在基本确定能够收到时，作为资产单独确认，确认的补偿金额不超过预计负债的账面价值。</w:t>
      </w:r>
    </w:p>
    <w:p w:rsidR="008820E4" w:rsidRDefault="005C49A8">
      <w:pPr>
        <w:pStyle w:val="3"/>
        <w:spacing w:line="280" w:lineRule="exact"/>
        <w:jc w:val="left"/>
        <w:rPr>
          <w:rFonts w:ascii="宋体" w:hAnsi="宋体" w:cs="宋体"/>
          <w:b/>
          <w:bCs/>
        </w:rPr>
      </w:pPr>
      <w:bookmarkStart w:id="58" w:name="_Toc989049"/>
      <w:r>
        <w:rPr>
          <w:rFonts w:ascii="宋体" w:hAnsi="宋体" w:cs="宋体"/>
          <w:b/>
          <w:bCs/>
        </w:rPr>
        <w:t>35、股份支付</w:t>
      </w:r>
      <w:bookmarkEnd w:id="58"/>
    </w:p>
    <w:p w:rsidR="005C49A8" w:rsidRDefault="005C49A8" w:rsidP="00C50357">
      <w:pPr>
        <w:widowControl/>
        <w:numPr>
          <w:ilvl w:val="0"/>
          <w:numId w:val="121"/>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股份支付的种类</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本公司的股份支付分为以权益结算的股份支付和以现金结算的股份支付。</w:t>
      </w:r>
    </w:p>
    <w:p w:rsidR="005C49A8" w:rsidRDefault="005C49A8" w:rsidP="00C50357">
      <w:pPr>
        <w:widowControl/>
        <w:numPr>
          <w:ilvl w:val="0"/>
          <w:numId w:val="122"/>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权益工具公允价值的确定方法</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F7271B">
        <w:rPr>
          <w:sz w:val="18"/>
          <w:szCs w:val="18"/>
        </w:rPr>
        <w:t>1</w:t>
      </w:r>
      <w:r w:rsidRPr="00F7271B">
        <w:rPr>
          <w:rFonts w:hint="eastAsia"/>
          <w:sz w:val="18"/>
          <w:szCs w:val="18"/>
        </w:rPr>
        <w:t>）期权的行权价格；（</w:t>
      </w:r>
      <w:r w:rsidRPr="00F7271B">
        <w:rPr>
          <w:sz w:val="18"/>
          <w:szCs w:val="18"/>
        </w:rPr>
        <w:t>2</w:t>
      </w:r>
      <w:r w:rsidRPr="00F7271B">
        <w:rPr>
          <w:rFonts w:hint="eastAsia"/>
          <w:sz w:val="18"/>
          <w:szCs w:val="18"/>
        </w:rPr>
        <w:t>）期权的有效期；（</w:t>
      </w:r>
      <w:r w:rsidRPr="00F7271B">
        <w:rPr>
          <w:sz w:val="18"/>
          <w:szCs w:val="18"/>
        </w:rPr>
        <w:t>3</w:t>
      </w:r>
      <w:r w:rsidRPr="00F7271B">
        <w:rPr>
          <w:rFonts w:hint="eastAsia"/>
          <w:sz w:val="18"/>
          <w:szCs w:val="18"/>
        </w:rPr>
        <w:t>）标的股份的现行价格；（</w:t>
      </w:r>
      <w:r w:rsidRPr="00F7271B">
        <w:rPr>
          <w:sz w:val="18"/>
          <w:szCs w:val="18"/>
        </w:rPr>
        <w:t>4</w:t>
      </w:r>
      <w:r w:rsidRPr="00F7271B">
        <w:rPr>
          <w:rFonts w:hint="eastAsia"/>
          <w:sz w:val="18"/>
          <w:szCs w:val="18"/>
        </w:rPr>
        <w:t>）股价预计波动率；（</w:t>
      </w:r>
      <w:r w:rsidRPr="00F7271B">
        <w:rPr>
          <w:sz w:val="18"/>
          <w:szCs w:val="18"/>
        </w:rPr>
        <w:t>5</w:t>
      </w:r>
      <w:r w:rsidRPr="00F7271B">
        <w:rPr>
          <w:rFonts w:hint="eastAsia"/>
          <w:sz w:val="18"/>
          <w:szCs w:val="18"/>
        </w:rPr>
        <w:t>）股份的预计股利；（</w:t>
      </w:r>
      <w:r w:rsidRPr="00F7271B">
        <w:rPr>
          <w:sz w:val="18"/>
          <w:szCs w:val="18"/>
        </w:rPr>
        <w:t>6</w:t>
      </w:r>
      <w:r w:rsidRPr="00F7271B">
        <w:rPr>
          <w:rFonts w:hint="eastAsia"/>
          <w:sz w:val="18"/>
          <w:szCs w:val="18"/>
        </w:rPr>
        <w:t>）期权有效期内的无风险利率。</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在确定权益工具授予日的公允价值时，考虑股份支付协议规定的可行权条件中的市场条件和非可行权条件的影响。股份支付存在非可行权条件的，只要职工或其他方满足了所有可行权条件中的非市场条件（如服务期限等），即确认已得到服务相对应的成本费用。</w:t>
      </w:r>
    </w:p>
    <w:p w:rsidR="005C49A8" w:rsidRDefault="005C49A8" w:rsidP="00C50357">
      <w:pPr>
        <w:widowControl/>
        <w:numPr>
          <w:ilvl w:val="0"/>
          <w:numId w:val="123"/>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确定可行权权益工具最佳估计的依据</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等待期内每个资产负债表日，根据最新取得的可行权职工人数变动等后续信息作出最佳估计，修正预计可行权的权益工具数量。在可行权日，最终预计可行权权益工具的数量与实际可行权数量一致。</w:t>
      </w:r>
    </w:p>
    <w:p w:rsidR="005C49A8" w:rsidRDefault="005C49A8" w:rsidP="00C50357">
      <w:pPr>
        <w:widowControl/>
        <w:numPr>
          <w:ilvl w:val="0"/>
          <w:numId w:val="124"/>
        </w:numPr>
        <w:spacing w:before="100" w:beforeAutospacing="1" w:after="100" w:afterAutospacing="1"/>
        <w:divId w:val="1460681984"/>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1</w:t>
      </w:r>
      <w:r w:rsidRPr="00F7271B">
        <w:rPr>
          <w:rFonts w:hint="eastAsia"/>
          <w:sz w:val="18"/>
          <w:szCs w:val="18"/>
        </w:rPr>
        <w:t>）</w:t>
      </w:r>
      <w:r w:rsidRPr="00F7271B">
        <w:rPr>
          <w:sz w:val="18"/>
          <w:szCs w:val="18"/>
        </w:rPr>
        <w:t xml:space="preserve"> </w:t>
      </w:r>
      <w:r w:rsidRPr="00F7271B">
        <w:rPr>
          <w:rFonts w:hint="eastAsia"/>
          <w:sz w:val="18"/>
          <w:szCs w:val="18"/>
        </w:rPr>
        <w:t>权益结算和现金结算股份支付的会计处理</w:t>
      </w:r>
    </w:p>
    <w:p w:rsidR="005C49A8" w:rsidRPr="00F7271B" w:rsidRDefault="005C49A8" w:rsidP="00F7271B">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以权益结算的股份支付，按授予职工权益工具的公允价值计量。授予后立即可行权的，在授予日按照权益工具的公允价值计入相关成本或费用，相应增加资本公积。以权益结算的股份支付换取其他方服务的，如果其他方服务的公允价值能够可靠计量，按照其他方服务在取得日的公允价值，计入相关成本费用，相应增加资本公积</w:t>
      </w:r>
      <w:r w:rsidRPr="00F7271B">
        <w:rPr>
          <w:sz w:val="18"/>
          <w:szCs w:val="18"/>
        </w:rPr>
        <w:t>;</w:t>
      </w:r>
      <w:r w:rsidRPr="00F7271B">
        <w:rPr>
          <w:rFonts w:hint="eastAsia"/>
          <w:sz w:val="18"/>
          <w:szCs w:val="18"/>
        </w:rPr>
        <w:t>如果其他方服务的公允</w:t>
      </w:r>
      <w:r w:rsidRPr="00F7271B">
        <w:rPr>
          <w:rFonts w:hint="eastAsia"/>
          <w:sz w:val="18"/>
          <w:szCs w:val="18"/>
        </w:rPr>
        <w:lastRenderedPageBreak/>
        <w:t>价值不能可靠计量但权益工具公允价值能够可靠计量，按照权益工具在服务取得日的公允价值，计入相关成本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以权益结算的股份支付换取其他方服务的，如果其他方服务的公允价值能够可靠计量，按照其他方服务在取得日的公允价值，计入相关成本费用，相应增加资本公积</w:t>
      </w:r>
      <w:r w:rsidRPr="00F7271B">
        <w:rPr>
          <w:sz w:val="18"/>
          <w:szCs w:val="18"/>
        </w:rPr>
        <w:t>;</w:t>
      </w:r>
      <w:r w:rsidRPr="00F7271B">
        <w:rPr>
          <w:rFonts w:hint="eastAsia"/>
          <w:sz w:val="18"/>
          <w:szCs w:val="18"/>
        </w:rPr>
        <w:t>如果其他方服务的公允价值不能可靠计量但权益工具公允价值能够可靠计量，按照权益工具在服务取得日的公允价值，计入相关成本费用，相应增加资本公积。</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权情况的最佳估计为基础，按照本公司承担负债的公允价值金额，将当期取得的服务计入成本或费用和相应的负债。在相关负债结算前的每个资产负债表日以及结算日，对负债的公允价值重新计量，其变动计入当期损益。</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2</w:t>
      </w:r>
      <w:r w:rsidRPr="00F7271B">
        <w:rPr>
          <w:rFonts w:hint="eastAsia"/>
          <w:sz w:val="18"/>
          <w:szCs w:val="18"/>
        </w:rPr>
        <w:t>）股份支付条款和条件修改的会计处理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对于不利修改，本公司视同该变更从未发生，仍继续对取得的服务进行会计处理。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对于有利修改，本公司按照如下规定进行处理：如果修改增加了所授予的权益工具的公允价值，企业应按照权益工具公允价值的增加相应地确认取得服务的增加。如果修改发生在等待期内，在确认修改日至修改后的可行权日之间取得服务的公允价值时，应当既包括在剩余原等待期内以原权益工具授予日公允价值为基础确定的服务金额，也包括权益工具公允价值的增加。如果修改发生在可行权日之后，应当立即确认权益工具公允价值的增加。如果股份支付协议要求职工只有先完成更长期间的服务才能取得修改后的权益工具，则企业应在整个等待期内确认权益工具公允价值的增加。</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如果修改增加了所授予的权益工具的数量，企业将增加的权益工具的公允价值相应地确认为取得服务的增加。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如果企业按照有利于职工的方式修改可行权条件，如缩短等待期、变更或取消业绩条件（而非市场条件），企业在处理可行权条件时，应当考虑修改后的可行权条件。</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本公司修改以现金结算的股份支付协议中的条款和条件，使其成为以权益结算的股份支付的，在修改日</w:t>
      </w:r>
      <w:r w:rsidRPr="00F7271B">
        <w:rPr>
          <w:sz w:val="18"/>
          <w:szCs w:val="18"/>
        </w:rPr>
        <w:t>(</w:t>
      </w:r>
      <w:r w:rsidRPr="00F7271B">
        <w:rPr>
          <w:rFonts w:hint="eastAsia"/>
          <w:sz w:val="18"/>
          <w:szCs w:val="18"/>
        </w:rPr>
        <w:t>无论发生在等待期内还是等待期结束后</w:t>
      </w:r>
      <w:r w:rsidRPr="00F7271B">
        <w:rPr>
          <w:sz w:val="18"/>
          <w:szCs w:val="18"/>
        </w:rPr>
        <w:t>)</w:t>
      </w:r>
      <w:r w:rsidRPr="00F7271B">
        <w:rPr>
          <w:rFonts w:hint="eastAsia"/>
          <w:sz w:val="18"/>
          <w:szCs w:val="18"/>
        </w:rPr>
        <w:t>，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t>（</w:t>
      </w:r>
      <w:r w:rsidRPr="00F7271B">
        <w:rPr>
          <w:sz w:val="18"/>
          <w:szCs w:val="18"/>
        </w:rPr>
        <w:t>3</w:t>
      </w:r>
      <w:r w:rsidRPr="00F7271B">
        <w:rPr>
          <w:rFonts w:hint="eastAsia"/>
          <w:sz w:val="18"/>
          <w:szCs w:val="18"/>
        </w:rPr>
        <w:t>）股份支付取消的会计处理</w:t>
      </w:r>
    </w:p>
    <w:p w:rsidR="005C49A8" w:rsidRPr="00F7271B" w:rsidRDefault="005C49A8">
      <w:pPr>
        <w:pStyle w:val="a3"/>
        <w:spacing w:before="0" w:beforeAutospacing="0" w:after="0" w:afterAutospacing="0" w:line="360" w:lineRule="auto"/>
        <w:ind w:firstLine="420"/>
        <w:jc w:val="both"/>
        <w:divId w:val="1460681984"/>
        <w:rPr>
          <w:sz w:val="18"/>
          <w:szCs w:val="18"/>
        </w:rPr>
      </w:pPr>
      <w:r w:rsidRPr="00F7271B">
        <w:rPr>
          <w:rFonts w:hint="eastAsia"/>
          <w:sz w:val="18"/>
          <w:szCs w:val="18"/>
        </w:rPr>
        <w:lastRenderedPageBreak/>
        <w:t>若在等待期内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5C49A8" w:rsidRDefault="005C49A8">
      <w:pPr>
        <w:pStyle w:val="a3"/>
        <w:divId w:val="1460681984"/>
        <w:rPr>
          <w:sz w:val="18"/>
          <w:szCs w:val="18"/>
        </w:rPr>
      </w:pPr>
      <w:r w:rsidRPr="00F7271B">
        <w:rPr>
          <w:rFonts w:hint="eastAsia"/>
          <w:sz w:val="18"/>
          <w:szCs w:val="18"/>
        </w:rPr>
        <w:t>职工自愿退出股权激励计划的，本公司作为加速行权处理，将剩余等待期内应确认的金额立即计入当期损益，同时确认资本公积。</w:t>
      </w:r>
    </w:p>
    <w:p w:rsidR="008820E4" w:rsidRDefault="005C49A8">
      <w:pPr>
        <w:pStyle w:val="3"/>
        <w:spacing w:line="280" w:lineRule="exact"/>
        <w:jc w:val="left"/>
        <w:rPr>
          <w:rFonts w:ascii="宋体" w:hAnsi="宋体" w:cs="宋体"/>
          <w:b/>
          <w:bCs/>
        </w:rPr>
      </w:pPr>
      <w:bookmarkStart w:id="59" w:name="_Toc989050"/>
      <w:r>
        <w:rPr>
          <w:rFonts w:ascii="宋体" w:hAnsi="宋体" w:cs="宋体"/>
          <w:b/>
          <w:bCs/>
        </w:rPr>
        <w:t>36、优先股、永续债等其他金融工具</w:t>
      </w:r>
      <w:bookmarkEnd w:id="59"/>
    </w:p>
    <w:p w:rsidR="005C49A8" w:rsidRDefault="005C49A8">
      <w:pPr>
        <w:pStyle w:val="a3"/>
        <w:divId w:val="125562582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60" w:name="_Toc989051"/>
      <w:r>
        <w:rPr>
          <w:rFonts w:ascii="宋体" w:hAnsi="宋体" w:cs="宋体"/>
          <w:b/>
          <w:bCs/>
        </w:rPr>
        <w:t>37、收入</w:t>
      </w:r>
      <w:bookmarkEnd w:id="6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5C49A8" w:rsidRDefault="005C49A8" w:rsidP="00C50357">
      <w:pPr>
        <w:widowControl/>
        <w:numPr>
          <w:ilvl w:val="0"/>
          <w:numId w:val="125"/>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股份支付的种类</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本公司的股份支付分为以权益结算的股份支付和以现金结算的股份支付。</w:t>
      </w:r>
    </w:p>
    <w:p w:rsidR="005C49A8" w:rsidRDefault="005C49A8" w:rsidP="00C50357">
      <w:pPr>
        <w:widowControl/>
        <w:numPr>
          <w:ilvl w:val="0"/>
          <w:numId w:val="126"/>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权益工具公允价值的确定方法</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0160E2">
        <w:rPr>
          <w:sz w:val="18"/>
          <w:szCs w:val="18"/>
        </w:rPr>
        <w:t>1</w:t>
      </w:r>
      <w:r w:rsidRPr="000160E2">
        <w:rPr>
          <w:rFonts w:hint="eastAsia"/>
          <w:sz w:val="18"/>
          <w:szCs w:val="18"/>
        </w:rPr>
        <w:t>）期权的行权价格；（</w:t>
      </w:r>
      <w:r w:rsidRPr="000160E2">
        <w:rPr>
          <w:sz w:val="18"/>
          <w:szCs w:val="18"/>
        </w:rPr>
        <w:t>2</w:t>
      </w:r>
      <w:r w:rsidRPr="000160E2">
        <w:rPr>
          <w:rFonts w:hint="eastAsia"/>
          <w:sz w:val="18"/>
          <w:szCs w:val="18"/>
        </w:rPr>
        <w:t>）期权的有效期；（</w:t>
      </w:r>
      <w:r w:rsidRPr="000160E2">
        <w:rPr>
          <w:sz w:val="18"/>
          <w:szCs w:val="18"/>
        </w:rPr>
        <w:t>3</w:t>
      </w:r>
      <w:r w:rsidRPr="000160E2">
        <w:rPr>
          <w:rFonts w:hint="eastAsia"/>
          <w:sz w:val="18"/>
          <w:szCs w:val="18"/>
        </w:rPr>
        <w:t>）标的股份的现行价格；（</w:t>
      </w:r>
      <w:r w:rsidRPr="000160E2">
        <w:rPr>
          <w:sz w:val="18"/>
          <w:szCs w:val="18"/>
        </w:rPr>
        <w:t>4</w:t>
      </w:r>
      <w:r w:rsidRPr="000160E2">
        <w:rPr>
          <w:rFonts w:hint="eastAsia"/>
          <w:sz w:val="18"/>
          <w:szCs w:val="18"/>
        </w:rPr>
        <w:t>）股价预计波动率；（</w:t>
      </w:r>
      <w:r w:rsidRPr="000160E2">
        <w:rPr>
          <w:sz w:val="18"/>
          <w:szCs w:val="18"/>
        </w:rPr>
        <w:t>5</w:t>
      </w:r>
      <w:r w:rsidRPr="000160E2">
        <w:rPr>
          <w:rFonts w:hint="eastAsia"/>
          <w:sz w:val="18"/>
          <w:szCs w:val="18"/>
        </w:rPr>
        <w:t>）股份的预计股利；（</w:t>
      </w:r>
      <w:r w:rsidRPr="000160E2">
        <w:rPr>
          <w:sz w:val="18"/>
          <w:szCs w:val="18"/>
        </w:rPr>
        <w:t>6</w:t>
      </w:r>
      <w:r w:rsidRPr="000160E2">
        <w:rPr>
          <w:rFonts w:hint="eastAsia"/>
          <w:sz w:val="18"/>
          <w:szCs w:val="18"/>
        </w:rPr>
        <w:t>）期权有效期内的无风险利率。</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在确定权益工具授予日的公允价值时，考虑股份支付协议规定的可行权条件中的市场条件和非可行权条件的影响。股份支付存在非可行权条件的，只要职工或其他方满足了所有可行权条件中的非市场条件（如服务期限等），即确认已得到服务相对应的成本费用。</w:t>
      </w:r>
    </w:p>
    <w:p w:rsidR="005C49A8" w:rsidRDefault="005C49A8" w:rsidP="00C50357">
      <w:pPr>
        <w:widowControl/>
        <w:numPr>
          <w:ilvl w:val="0"/>
          <w:numId w:val="127"/>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确定可行权权益工具最佳估计的依据</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等待期内每个资产负债表日，根据最新取得的可行权职工人数变动等后续信息作出最佳估计，修正预计可行权的权益工具数量。在可行权日，最终预计可行权权益工具的数量与实际可行权数量一致。</w:t>
      </w:r>
    </w:p>
    <w:p w:rsidR="005C49A8" w:rsidRDefault="005C49A8" w:rsidP="00C50357">
      <w:pPr>
        <w:widowControl/>
        <w:numPr>
          <w:ilvl w:val="0"/>
          <w:numId w:val="128"/>
        </w:numPr>
        <w:spacing w:before="100" w:beforeAutospacing="1" w:after="100" w:afterAutospacing="1"/>
        <w:divId w:val="71469999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1</w:t>
      </w:r>
      <w:r w:rsidRPr="000160E2">
        <w:rPr>
          <w:rFonts w:hint="eastAsia"/>
          <w:sz w:val="18"/>
          <w:szCs w:val="18"/>
        </w:rPr>
        <w:t>）权益结算和现金结算股份支付的会计处理</w:t>
      </w:r>
    </w:p>
    <w:p w:rsidR="005C49A8" w:rsidRPr="000160E2" w:rsidRDefault="005C49A8">
      <w:pPr>
        <w:pStyle w:val="a3"/>
        <w:spacing w:before="0" w:beforeAutospacing="0" w:after="0" w:afterAutospacing="0" w:line="360" w:lineRule="auto"/>
        <w:ind w:firstLine="420"/>
        <w:divId w:val="714699996"/>
        <w:rPr>
          <w:sz w:val="18"/>
          <w:szCs w:val="18"/>
        </w:rPr>
      </w:pPr>
      <w:r w:rsidRPr="000160E2">
        <w:rPr>
          <w:rFonts w:hint="eastAsia"/>
          <w:sz w:val="18"/>
          <w:szCs w:val="18"/>
        </w:rPr>
        <w:lastRenderedPageBreak/>
        <w:t>以权益结算的股份支付，按授予职工权益工具的公允价值计量。授予后立即可行权的，在授予日按照权益工具的公允价值计入相关成本或费用，相应增加资本公积。以权益结算的股份支付换取其他方服务的，如果其他方服务的公允价值能够可靠计量，按照其他方服务在取得日的公允价值，计入相关成本费用，相应增加资本公积</w:t>
      </w:r>
      <w:r w:rsidRPr="000160E2">
        <w:rPr>
          <w:sz w:val="18"/>
          <w:szCs w:val="18"/>
        </w:rPr>
        <w:t>;</w:t>
      </w:r>
      <w:r w:rsidRPr="000160E2">
        <w:rPr>
          <w:rFonts w:hint="eastAsia"/>
          <w:sz w:val="18"/>
          <w:szCs w:val="18"/>
        </w:rPr>
        <w:t>如果其他方服务的公允价值不能可靠计量但权益工具公允价值能够可靠计量，按照权益工具在服务取得日的公允价值，计入相关成本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以权益结算的股份支付换取其他方服务的，如果其他方服务的公允价值能够可靠计量，按照其他方服务在取得日的公允价值，计入相关成本费用，相应增加资本公积</w:t>
      </w:r>
      <w:r w:rsidRPr="000160E2">
        <w:rPr>
          <w:sz w:val="18"/>
          <w:szCs w:val="18"/>
        </w:rPr>
        <w:t>;</w:t>
      </w:r>
      <w:r w:rsidRPr="000160E2">
        <w:rPr>
          <w:rFonts w:hint="eastAsia"/>
          <w:sz w:val="18"/>
          <w:szCs w:val="18"/>
        </w:rPr>
        <w:t>如果其他方服务的公允价值不能可靠计量但权益工具公允价值能够可靠计量，按照权益工具在服务取得日的公允价值，计入相关成本费用，相应增加资本公积。</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权情况的最佳估计为基础，按照本公司承担负债的公允价值金额，将当期取得的服务计入成本或费用和相应的负债。在相关负债结算前的每个资产负债表日以及结算日，对负债的公允价值重新计量，其变动计入当期损益。</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2</w:t>
      </w:r>
      <w:r w:rsidRPr="000160E2">
        <w:rPr>
          <w:rFonts w:hint="eastAsia"/>
          <w:sz w:val="18"/>
          <w:szCs w:val="18"/>
        </w:rPr>
        <w:t>）股份支付条款和条件修改的会计处理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对于不利修改，本公司视同该变更从未发生，仍继续对取得的服务进行会计处理。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对于有利修改，本公司按照如下规定进行处理：如果修改增加了所授予的权益工具的公允价值，企业应按照权益工具公允价值的增加相应地确认取得服务的增加。如果修改发生在等待期内，在确认修改日至修改后的可行权日之间取得服务的公允价值时，应当既包括在剩余原等待期内以原权益工具授予日公允价值为基础确定的服务金额，也包括权益工具公允价值的增加。如果修改发生在可行权日之后，应当立即确认权益工具公允价值的增加。如果股份支付协议要求职工只有先完成更长期间的服务才能取得修改后的权益工具，则企业应在整个等待期内确认权益工具公允价值的增加。</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如果修改增加了所授予的权益工具的数量，企业将增加的权益工具的公允价值相应地确认为取得服务的增加。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如果企业按照有利于职工的方式修改可行权条件，如缩短等待期、变更或取消业绩条件（而非市场条件），企业在处理可行权条件时，应当考虑修改后的可行权条件。</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本公司修改以现金结算的股份支付协议中的条款和条件，使其成为以权益结算的股份支付的，在修改日</w:t>
      </w:r>
      <w:r w:rsidRPr="000160E2">
        <w:rPr>
          <w:sz w:val="18"/>
          <w:szCs w:val="18"/>
        </w:rPr>
        <w:t>(</w:t>
      </w:r>
      <w:r w:rsidRPr="000160E2">
        <w:rPr>
          <w:rFonts w:hint="eastAsia"/>
          <w:sz w:val="18"/>
          <w:szCs w:val="18"/>
        </w:rPr>
        <w:t>无论发生在等待期内还是等待期结束后</w:t>
      </w:r>
      <w:r w:rsidRPr="000160E2">
        <w:rPr>
          <w:sz w:val="18"/>
          <w:szCs w:val="18"/>
        </w:rPr>
        <w:t>)</w:t>
      </w:r>
      <w:r w:rsidRPr="000160E2">
        <w:rPr>
          <w:rFonts w:hint="eastAsia"/>
          <w:sz w:val="18"/>
          <w:szCs w:val="18"/>
        </w:rPr>
        <w:t>，本公司按照所授予权益工具当日的公允价值计量以权益结算的股份支付，将已取得的服</w:t>
      </w:r>
      <w:r w:rsidRPr="000160E2">
        <w:rPr>
          <w:rFonts w:hint="eastAsia"/>
          <w:sz w:val="18"/>
          <w:szCs w:val="18"/>
        </w:rPr>
        <w:lastRenderedPageBreak/>
        <w:t>务计入资本公积，同时终止确认以现金结算的股份支付在修改日已确认的负债，两者之间的差额计入当期损益。如果由于修改延长或缩短了等待期，本公司按照修改后的等待期进行会计处理。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w:t>
      </w:r>
      <w:r w:rsidRPr="000160E2">
        <w:rPr>
          <w:sz w:val="18"/>
          <w:szCs w:val="18"/>
        </w:rPr>
        <w:t>3</w:t>
      </w:r>
      <w:r w:rsidRPr="000160E2">
        <w:rPr>
          <w:rFonts w:hint="eastAsia"/>
          <w:sz w:val="18"/>
          <w:szCs w:val="18"/>
        </w:rPr>
        <w:t>）股份支付取消的会计处理</w:t>
      </w:r>
    </w:p>
    <w:p w:rsidR="005C49A8" w:rsidRPr="000160E2" w:rsidRDefault="005C49A8">
      <w:pPr>
        <w:pStyle w:val="a3"/>
        <w:spacing w:before="0" w:beforeAutospacing="0" w:after="0" w:afterAutospacing="0" w:line="360" w:lineRule="auto"/>
        <w:ind w:firstLine="420"/>
        <w:jc w:val="both"/>
        <w:divId w:val="714699996"/>
        <w:rPr>
          <w:sz w:val="18"/>
          <w:szCs w:val="18"/>
        </w:rPr>
      </w:pPr>
      <w:r w:rsidRPr="000160E2">
        <w:rPr>
          <w:rFonts w:hint="eastAsia"/>
          <w:sz w:val="18"/>
          <w:szCs w:val="18"/>
        </w:rPr>
        <w:t>若在等待期内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5C49A8" w:rsidRDefault="005C49A8">
      <w:pPr>
        <w:pStyle w:val="a3"/>
        <w:divId w:val="714699996"/>
        <w:rPr>
          <w:sz w:val="18"/>
          <w:szCs w:val="18"/>
        </w:rPr>
      </w:pPr>
      <w:r w:rsidRPr="000160E2">
        <w:rPr>
          <w:rFonts w:hint="eastAsia"/>
          <w:sz w:val="18"/>
          <w:szCs w:val="18"/>
        </w:rPr>
        <w:t>职工自愿退出股权激励计划的，本公司作为加速行权处理，将剩余等待期内应确认的金额立即计入当期损益，同时确认资本公积。</w:t>
      </w:r>
    </w:p>
    <w:p w:rsidR="008820E4" w:rsidRPr="000160E2" w:rsidRDefault="005C49A8">
      <w:pPr>
        <w:spacing w:before="100" w:after="100" w:line="240" w:lineRule="exact"/>
        <w:rPr>
          <w:rFonts w:ascii="宋体" w:eastAsia="宋体" w:hAnsi="宋体" w:cs="宋体"/>
          <w:kern w:val="0"/>
          <w:sz w:val="18"/>
          <w:szCs w:val="18"/>
        </w:rPr>
      </w:pPr>
      <w:r w:rsidRPr="000160E2">
        <w:rPr>
          <w:rFonts w:ascii="宋体" w:eastAsia="宋体" w:hAnsi="宋体" w:cs="宋体"/>
          <w:kern w:val="0"/>
          <w:sz w:val="18"/>
          <w:szCs w:val="18"/>
        </w:rPr>
        <w:t>同类业务采用不同经营模式涉及不同收入确认方式及计量方法的情况</w:t>
      </w:r>
    </w:p>
    <w:p w:rsidR="005C49A8" w:rsidRDefault="005C49A8">
      <w:pPr>
        <w:pStyle w:val="a3"/>
        <w:divId w:val="133047632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61" w:name="_Toc989052"/>
      <w:r>
        <w:rPr>
          <w:rFonts w:ascii="宋体" w:hAnsi="宋体" w:cs="宋体"/>
          <w:b/>
          <w:bCs/>
        </w:rPr>
        <w:t>38、合同成本</w:t>
      </w:r>
      <w:bookmarkEnd w:id="61"/>
    </w:p>
    <w:p w:rsidR="005C49A8" w:rsidRDefault="005C49A8" w:rsidP="00C50357">
      <w:pPr>
        <w:widowControl/>
        <w:numPr>
          <w:ilvl w:val="3"/>
          <w:numId w:val="129"/>
        </w:numPr>
        <w:tabs>
          <w:tab w:val="clear" w:pos="2880"/>
          <w:tab w:val="num" w:pos="2410"/>
        </w:tabs>
        <w:spacing w:before="100" w:beforeAutospacing="1" w:after="100" w:afterAutospacing="1"/>
        <w:ind w:left="426"/>
        <w:divId w:val="1592277067"/>
        <w:rPr>
          <w:sz w:val="18"/>
          <w:szCs w:val="18"/>
        </w:rPr>
      </w:pPr>
      <w:r>
        <w:rPr>
          <w:rFonts w:hint="eastAsia"/>
          <w:sz w:val="18"/>
          <w:szCs w:val="18"/>
        </w:rPr>
        <w:t>合同履约成本</w:t>
      </w:r>
    </w:p>
    <w:p w:rsidR="005C49A8" w:rsidRDefault="005C49A8">
      <w:pPr>
        <w:pStyle w:val="a3"/>
        <w:spacing w:before="0" w:beforeAutospacing="0" w:after="0" w:afterAutospacing="0"/>
        <w:ind w:firstLine="420"/>
        <w:jc w:val="both"/>
        <w:divId w:val="1592277067"/>
      </w:pPr>
      <w:r>
        <w:rPr>
          <w:rFonts w:hint="eastAsia"/>
          <w:sz w:val="18"/>
          <w:szCs w:val="18"/>
        </w:rPr>
        <w:t>本公司对于为履行合同发生的成本，不属于除收入准则外的其他企业会计准则范围且同时满足下列条件的作为合同履约成本确认为一项资产：</w:t>
      </w:r>
    </w:p>
    <w:p w:rsidR="005C49A8" w:rsidRDefault="005C49A8">
      <w:pPr>
        <w:pStyle w:val="a3"/>
        <w:spacing w:before="0" w:beforeAutospacing="0" w:after="0" w:afterAutospacing="0"/>
        <w:ind w:firstLine="420"/>
        <w:jc w:val="both"/>
        <w:divId w:val="1592277067"/>
      </w:pPr>
      <w:r>
        <w:rPr>
          <w:rFonts w:hint="eastAsia"/>
          <w:sz w:val="18"/>
          <w:szCs w:val="18"/>
        </w:rPr>
        <w:t>（1）该成本与一份当前或预期取得的合同直接相关，包括直接人工、直接材料、制造费用（或类似费用）、明确由客户承担的成本以及仅因该合同而发生的其他成本；</w:t>
      </w:r>
    </w:p>
    <w:p w:rsidR="005C49A8" w:rsidRDefault="005C49A8">
      <w:pPr>
        <w:pStyle w:val="a3"/>
        <w:spacing w:before="0" w:beforeAutospacing="0" w:after="0" w:afterAutospacing="0"/>
        <w:ind w:firstLine="420"/>
        <w:jc w:val="both"/>
        <w:divId w:val="1592277067"/>
      </w:pPr>
      <w:r>
        <w:rPr>
          <w:rFonts w:hint="eastAsia"/>
          <w:sz w:val="18"/>
          <w:szCs w:val="18"/>
        </w:rPr>
        <w:t>（2）该成本增加了企业未来用于履行履约义务的资源；</w:t>
      </w:r>
    </w:p>
    <w:p w:rsidR="005C49A8" w:rsidRDefault="005C49A8">
      <w:pPr>
        <w:pStyle w:val="a3"/>
        <w:spacing w:before="0" w:beforeAutospacing="0" w:after="0" w:afterAutospacing="0"/>
        <w:ind w:firstLine="420"/>
        <w:jc w:val="both"/>
        <w:divId w:val="1592277067"/>
      </w:pPr>
      <w:r>
        <w:rPr>
          <w:rFonts w:hint="eastAsia"/>
          <w:sz w:val="18"/>
          <w:szCs w:val="18"/>
        </w:rPr>
        <w:t>（3）该成本预期能够收回。</w:t>
      </w:r>
    </w:p>
    <w:p w:rsidR="005C49A8" w:rsidRDefault="005C49A8">
      <w:pPr>
        <w:pStyle w:val="a3"/>
        <w:spacing w:before="0" w:beforeAutospacing="0" w:after="0" w:afterAutospacing="0"/>
        <w:ind w:firstLine="420"/>
        <w:jc w:val="both"/>
        <w:divId w:val="1592277067"/>
      </w:pPr>
      <w:r>
        <w:rPr>
          <w:rFonts w:hint="eastAsia"/>
          <w:sz w:val="18"/>
          <w:szCs w:val="18"/>
        </w:rPr>
        <w:t>该资产根据其初始确认时摊销期限是否超过一个正常营业周期在存货或其他非流动资产中列报。</w:t>
      </w:r>
    </w:p>
    <w:p w:rsidR="005C49A8" w:rsidRDefault="005C49A8" w:rsidP="00C50357">
      <w:pPr>
        <w:widowControl/>
        <w:numPr>
          <w:ilvl w:val="3"/>
          <w:numId w:val="130"/>
        </w:numPr>
        <w:tabs>
          <w:tab w:val="clear" w:pos="2880"/>
          <w:tab w:val="num" w:pos="2410"/>
        </w:tabs>
        <w:spacing w:before="100" w:beforeAutospacing="1" w:after="100" w:afterAutospacing="1"/>
        <w:ind w:left="426"/>
        <w:divId w:val="1592277067"/>
        <w:rPr>
          <w:sz w:val="18"/>
          <w:szCs w:val="18"/>
        </w:rPr>
      </w:pPr>
      <w:r>
        <w:rPr>
          <w:rFonts w:hint="eastAsia"/>
          <w:sz w:val="18"/>
          <w:szCs w:val="18"/>
        </w:rPr>
        <w:t>合同取得成本</w:t>
      </w:r>
    </w:p>
    <w:p w:rsidR="005C49A8" w:rsidRDefault="005C49A8">
      <w:pPr>
        <w:pStyle w:val="a3"/>
        <w:spacing w:before="0" w:beforeAutospacing="0" w:after="0" w:afterAutospacing="0"/>
        <w:ind w:firstLine="420"/>
        <w:jc w:val="both"/>
        <w:divId w:val="1592277067"/>
      </w:pPr>
      <w:r>
        <w:rPr>
          <w:rFonts w:hint="eastAsia"/>
          <w:sz w:val="18"/>
          <w:szCs w:val="18"/>
        </w:rPr>
        <w:t>本公司为取得合同发生的增量成本预期能够收回的，作为合同取得成本确认为一项资产。增量成本是指本公司不取得合同就不会发生的成本，如销售佣金等。对于摊销期限不超过一年的，在发生时计入当期损益。</w:t>
      </w:r>
    </w:p>
    <w:p w:rsidR="005C49A8" w:rsidRDefault="005C49A8" w:rsidP="00C50357">
      <w:pPr>
        <w:widowControl/>
        <w:numPr>
          <w:ilvl w:val="3"/>
          <w:numId w:val="131"/>
        </w:numPr>
        <w:tabs>
          <w:tab w:val="clear" w:pos="2880"/>
          <w:tab w:val="num" w:pos="2410"/>
        </w:tabs>
        <w:spacing w:before="100" w:beforeAutospacing="1" w:after="100" w:afterAutospacing="1"/>
        <w:ind w:left="426"/>
        <w:divId w:val="1592277067"/>
        <w:rPr>
          <w:sz w:val="18"/>
          <w:szCs w:val="18"/>
        </w:rPr>
      </w:pPr>
      <w:r>
        <w:rPr>
          <w:rFonts w:hint="eastAsia"/>
          <w:sz w:val="18"/>
          <w:szCs w:val="18"/>
        </w:rPr>
        <w:t>合同成本摊销</w:t>
      </w:r>
    </w:p>
    <w:p w:rsidR="005C49A8" w:rsidRDefault="005C49A8">
      <w:pPr>
        <w:pStyle w:val="a3"/>
        <w:spacing w:before="0" w:beforeAutospacing="0" w:after="0" w:afterAutospacing="0"/>
        <w:ind w:firstLine="420"/>
        <w:jc w:val="both"/>
        <w:divId w:val="1592277067"/>
      </w:pPr>
      <w:r>
        <w:rPr>
          <w:rFonts w:hint="eastAsia"/>
          <w:sz w:val="18"/>
          <w:szCs w:val="18"/>
        </w:rPr>
        <w:t>上述与合同成本有关的资产，采用与该资产相关的商品或服务收入确认相同的基础，在履约义务履行的时点或按照履约义务的履约进度进行摊销，计入当期损益。</w:t>
      </w:r>
    </w:p>
    <w:p w:rsidR="005C49A8" w:rsidRDefault="005C49A8" w:rsidP="00C50357">
      <w:pPr>
        <w:widowControl/>
        <w:numPr>
          <w:ilvl w:val="3"/>
          <w:numId w:val="132"/>
        </w:numPr>
        <w:tabs>
          <w:tab w:val="clear" w:pos="2880"/>
          <w:tab w:val="num" w:pos="2410"/>
        </w:tabs>
        <w:spacing w:before="100" w:beforeAutospacing="1" w:after="100" w:afterAutospacing="1"/>
        <w:ind w:left="426"/>
        <w:divId w:val="1592277067"/>
        <w:rPr>
          <w:sz w:val="18"/>
          <w:szCs w:val="18"/>
        </w:rPr>
      </w:pPr>
      <w:r>
        <w:rPr>
          <w:rFonts w:hint="eastAsia"/>
          <w:sz w:val="18"/>
          <w:szCs w:val="18"/>
        </w:rPr>
        <w:t>合同成本减值</w:t>
      </w:r>
    </w:p>
    <w:p w:rsidR="005C49A8" w:rsidRDefault="005C49A8">
      <w:pPr>
        <w:pStyle w:val="a3"/>
        <w:spacing w:before="0" w:beforeAutospacing="0" w:after="0" w:afterAutospacing="0"/>
        <w:ind w:firstLine="420"/>
        <w:jc w:val="both"/>
        <w:divId w:val="1592277067"/>
      </w:pPr>
      <w:r>
        <w:rPr>
          <w:rFonts w:hint="eastAsia"/>
          <w:sz w:val="18"/>
          <w:szCs w:val="18"/>
        </w:rPr>
        <w:t>上述与合同成本有关的资产，账面价值高于本公司因转让与该资产相关的商品预期能够取得剩余对价与为转让该相关商品估计将要发生的成本的差额的，超出部分应当计提减值准备，并确认为资产减值损失。</w:t>
      </w:r>
    </w:p>
    <w:p w:rsidR="005C49A8" w:rsidRDefault="005C49A8">
      <w:pPr>
        <w:pStyle w:val="a3"/>
        <w:divId w:val="1592277067"/>
        <w:rPr>
          <w:sz w:val="18"/>
          <w:szCs w:val="18"/>
        </w:rPr>
      </w:pPr>
      <w:r>
        <w:rPr>
          <w:rFonts w:hint="eastAsia"/>
          <w:sz w:val="18"/>
          <w:szCs w:val="18"/>
        </w:rPr>
        <w:t>计提减值准备后，如果以前期间减值的因素发生变化，使得上述两项差额高于该资产账面价值的，转回原已计提的资产减值准备，并计入当期损益，但转回后的资产账面价值不超过假定不计提减值准备情况下该资产在转回日的账面价值。</w:t>
      </w:r>
    </w:p>
    <w:p w:rsidR="008820E4" w:rsidRDefault="005C49A8">
      <w:pPr>
        <w:pStyle w:val="3"/>
        <w:spacing w:line="280" w:lineRule="exact"/>
        <w:jc w:val="left"/>
        <w:rPr>
          <w:rFonts w:ascii="宋体" w:hAnsi="宋体" w:cs="宋体"/>
          <w:b/>
          <w:bCs/>
        </w:rPr>
      </w:pPr>
      <w:bookmarkStart w:id="62" w:name="_Toc989053"/>
      <w:r>
        <w:rPr>
          <w:rFonts w:ascii="宋体" w:hAnsi="宋体" w:cs="宋体"/>
          <w:b/>
          <w:bCs/>
        </w:rPr>
        <w:lastRenderedPageBreak/>
        <w:t>39、政府补助</w:t>
      </w:r>
      <w:bookmarkEnd w:id="62"/>
    </w:p>
    <w:p w:rsidR="005C49A8" w:rsidRDefault="005C49A8" w:rsidP="00C50357">
      <w:pPr>
        <w:widowControl/>
        <w:numPr>
          <w:ilvl w:val="0"/>
          <w:numId w:val="133"/>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类型</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政府补助，是本公司从政府无偿取得的货币性资产与非货币性资产。政府补助分为与资产相关的政府补助和与收益相关的政府补助。</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根据相关政府文件规定的补助对象，将政府补助划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sidRPr="000160E2">
        <w:rPr>
          <w:sz w:val="18"/>
          <w:szCs w:val="18"/>
        </w:rPr>
        <w:t>1</w:t>
      </w:r>
      <w:r w:rsidRPr="000160E2">
        <w:rPr>
          <w:rFonts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0160E2">
        <w:rPr>
          <w:sz w:val="18"/>
          <w:szCs w:val="18"/>
        </w:rPr>
        <w:t>2</w:t>
      </w:r>
      <w:r w:rsidRPr="000160E2">
        <w:rPr>
          <w:rFonts w:hint="eastAsia"/>
          <w:sz w:val="18"/>
          <w:szCs w:val="18"/>
        </w:rPr>
        <w:t>）政府文件中对用途仅作一般性表述，没有指明特定项目的，作为与收益相关的政府补助。</w:t>
      </w:r>
    </w:p>
    <w:p w:rsidR="005C49A8" w:rsidRDefault="005C49A8" w:rsidP="00C50357">
      <w:pPr>
        <w:widowControl/>
        <w:numPr>
          <w:ilvl w:val="0"/>
          <w:numId w:val="134"/>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政府补助的确认</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对期末有证据表明公司能够符合财政扶持政策规定的相关条件且预计能够收到财政扶持资金的，按应收金额确认政府补助。除此之外，政府补助均在实际收到时确认。</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政府补助为货币性资产的，按照收到或应收的金额计量。政府补助为非货币性资产的，按照公允价值计量；公允价值不能够可靠取得的，按照名义金额（人民币</w:t>
      </w:r>
      <w:r w:rsidRPr="000160E2">
        <w:rPr>
          <w:sz w:val="18"/>
          <w:szCs w:val="18"/>
        </w:rPr>
        <w:t>1</w:t>
      </w:r>
      <w:r w:rsidRPr="000160E2">
        <w:rPr>
          <w:rFonts w:hint="eastAsia"/>
          <w:sz w:val="18"/>
          <w:szCs w:val="18"/>
        </w:rPr>
        <w:t>元）计量。按照名义金额计量的政府补助，直接计入当期损益。</w:t>
      </w:r>
    </w:p>
    <w:p w:rsidR="005C49A8" w:rsidRDefault="005C49A8" w:rsidP="00C50357">
      <w:pPr>
        <w:widowControl/>
        <w:numPr>
          <w:ilvl w:val="0"/>
          <w:numId w:val="135"/>
        </w:numPr>
        <w:spacing w:before="100" w:beforeAutospacing="1" w:after="100" w:afterAutospacing="1"/>
        <w:divId w:val="68428999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本公司根据经济业务的实质，确定某一类政府补助业务应当采用总额法还是净额法进行会计处理。通常情况下，本公司对于同类或类似政府补助业务只选用一种方法，且对该业务一贯地运用该方法。</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sz w:val="18"/>
          <w:szCs w:val="18"/>
        </w:rPr>
        <w:t xml:space="preserve">    </w:t>
      </w:r>
      <w:r w:rsidRPr="000160E2">
        <w:rPr>
          <w:rFonts w:hint="eastAsia"/>
          <w:sz w:val="18"/>
          <w:szCs w:val="18"/>
        </w:rPr>
        <w:t>与资产相关的政府补助，应当冲减相关资产的账面价值或确认为递延收益。与资产相关的政府补助确认为递延收益的，在所建造或购买资产使用寿命内按照合理、系统的方法分期计入损益。</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与收益相关的政府补助，用于补偿企业以后期间的相关费用或损失的，确认为递延收益，在确认相关费用或损失的期间计入当期损益或冲减相关成本；用于补偿企业已发生的相关费用或损失的，取得时直接计入当期损益或冲减相关成本。</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与企业日常活动相关的政府补助计入其他收益或冲减相关成本费用；与企业日常活动无关的政府补助计入营业外收支。</w:t>
      </w:r>
    </w:p>
    <w:p w:rsidR="005C49A8" w:rsidRPr="000160E2"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收到与政策性优惠贷款贴息相关的政府补助冲减相关借款费用；取得贷款银行提供的政策性优惠利率贷款的，以实际收到的借款金额作为借款的入账价值，按照借款本金和该政策性优惠利率计算相关借款费用。</w:t>
      </w:r>
    </w:p>
    <w:p w:rsidR="005C49A8" w:rsidRDefault="005C49A8" w:rsidP="000160E2">
      <w:pPr>
        <w:pStyle w:val="a3"/>
        <w:spacing w:before="0" w:beforeAutospacing="0" w:after="0" w:afterAutospacing="0"/>
        <w:ind w:firstLine="420"/>
        <w:jc w:val="both"/>
        <w:divId w:val="684289991"/>
        <w:rPr>
          <w:sz w:val="18"/>
          <w:szCs w:val="18"/>
        </w:rPr>
      </w:pPr>
      <w:r w:rsidRPr="000160E2">
        <w:rPr>
          <w:rFonts w:hint="eastAsia"/>
          <w:sz w:val="18"/>
          <w:szCs w:val="18"/>
        </w:rPr>
        <w:t>已确认的政府补助需要返还时，初始确认时冲减相关资产账面价值的，调整资产账面价值；存在相关递延收益余额的，冲减相关递延收益账面余额，超出部分计入当期损益；不存在相关递延收益的，直接计入当期损益。</w:t>
      </w:r>
    </w:p>
    <w:p w:rsidR="008820E4" w:rsidRDefault="005C49A8">
      <w:pPr>
        <w:pStyle w:val="3"/>
        <w:spacing w:line="280" w:lineRule="exact"/>
        <w:jc w:val="left"/>
        <w:rPr>
          <w:rFonts w:ascii="宋体" w:hAnsi="宋体" w:cs="宋体"/>
          <w:b/>
          <w:bCs/>
        </w:rPr>
      </w:pPr>
      <w:bookmarkStart w:id="63" w:name="_Toc989054"/>
      <w:r>
        <w:rPr>
          <w:rFonts w:ascii="宋体" w:hAnsi="宋体" w:cs="宋体"/>
          <w:b/>
          <w:bCs/>
        </w:rPr>
        <w:t>40、递延所得税资产/递延所得税负债</w:t>
      </w:r>
      <w:bookmarkEnd w:id="63"/>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递延所得税资产和递延所得税负债根据资产和负债的计税基础与其账面价值的差额</w:t>
      </w:r>
      <w:r w:rsidRPr="000160E2">
        <w:rPr>
          <w:sz w:val="18"/>
          <w:szCs w:val="18"/>
        </w:rPr>
        <w:t>(</w:t>
      </w:r>
      <w:r w:rsidRPr="000160E2">
        <w:rPr>
          <w:rFonts w:hint="eastAsia"/>
          <w:sz w:val="18"/>
          <w:szCs w:val="18"/>
        </w:rPr>
        <w:t>暂时性差异</w:t>
      </w:r>
      <w:r w:rsidRPr="000160E2">
        <w:rPr>
          <w:sz w:val="18"/>
          <w:szCs w:val="18"/>
        </w:rPr>
        <w:t>)</w:t>
      </w:r>
      <w:r w:rsidRPr="000160E2">
        <w:rPr>
          <w:rFonts w:hint="eastAsia"/>
          <w:sz w:val="18"/>
          <w:szCs w:val="18"/>
        </w:rPr>
        <w:t>计算确认。于资产负债表日，递延所得税资产和递延所得税负债，按照预期收回该资产或清偿该负债期间的适用税率计量。</w:t>
      </w:r>
    </w:p>
    <w:p w:rsidR="005C49A8" w:rsidRDefault="005C49A8" w:rsidP="00C50357">
      <w:pPr>
        <w:widowControl/>
        <w:numPr>
          <w:ilvl w:val="0"/>
          <w:numId w:val="136"/>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确认递延所得税资产的依据</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本公司以很可能取得用来抵扣可抵扣暂时性差异、能够结转以后年度的可抵扣亏损和税款抵减的应纳税所得额为限，确认由可抵扣暂时性差异产生的递延所得税资产。但是，同时具有下列特征的交易中因资产或负债的初始确认所产生的</w:t>
      </w:r>
      <w:r w:rsidRPr="000160E2">
        <w:rPr>
          <w:rFonts w:hint="eastAsia"/>
          <w:sz w:val="18"/>
          <w:szCs w:val="18"/>
        </w:rPr>
        <w:lastRenderedPageBreak/>
        <w:t>递延所得税资产不予确认：（</w:t>
      </w:r>
      <w:r w:rsidRPr="000160E2">
        <w:rPr>
          <w:sz w:val="18"/>
          <w:szCs w:val="18"/>
        </w:rPr>
        <w:t>1</w:t>
      </w:r>
      <w:r w:rsidRPr="000160E2">
        <w:rPr>
          <w:rFonts w:hint="eastAsia"/>
          <w:sz w:val="18"/>
          <w:szCs w:val="18"/>
        </w:rPr>
        <w:t>）该交易不是企业合并；（</w:t>
      </w:r>
      <w:r w:rsidRPr="000160E2">
        <w:rPr>
          <w:sz w:val="18"/>
          <w:szCs w:val="18"/>
        </w:rPr>
        <w:t>2</w:t>
      </w:r>
      <w:r w:rsidRPr="000160E2">
        <w:rPr>
          <w:rFonts w:hint="eastAsia"/>
          <w:sz w:val="18"/>
          <w:szCs w:val="18"/>
        </w:rPr>
        <w:t>）交易发生时既不影响会计利润也不影响应纳税所得额或可抵扣亏损。</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对于与联营企业投资相关的可抵扣暂时性差异，同时满足下列条件的，确认相应的递延所得税资产：暂时性差异在可预见的未来很可能转回，且未来很可能获得用来抵扣可抵扣暂时性差异的应纳税所得额。</w:t>
      </w:r>
    </w:p>
    <w:p w:rsidR="005C49A8" w:rsidRDefault="005C49A8" w:rsidP="00C50357">
      <w:pPr>
        <w:widowControl/>
        <w:numPr>
          <w:ilvl w:val="0"/>
          <w:numId w:val="137"/>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确认递延所得税负债的依据</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公司将当期与以前期间应交未交的应纳税暂时性差异确认为递延所得税负债。但不包括：</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1</w:t>
      </w:r>
      <w:r w:rsidRPr="000160E2">
        <w:rPr>
          <w:rFonts w:hint="eastAsia"/>
          <w:sz w:val="18"/>
          <w:szCs w:val="18"/>
        </w:rPr>
        <w:t>）商誉的初始确认所形成的暂时性差异；</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2</w:t>
      </w:r>
      <w:r w:rsidRPr="000160E2">
        <w:rPr>
          <w:rFonts w:hint="eastAsia"/>
          <w:sz w:val="18"/>
          <w:szCs w:val="18"/>
        </w:rPr>
        <w:t>）非企业合并形成的交易或事项，且该交易或事项发生时既不影响会计利润，也不影响应纳税所得额（或可抵扣亏损）所形成的暂时性差异；</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3</w:t>
      </w:r>
      <w:r w:rsidRPr="000160E2">
        <w:rPr>
          <w:rFonts w:hint="eastAsia"/>
          <w:sz w:val="18"/>
          <w:szCs w:val="18"/>
        </w:rPr>
        <w:t>）对于与子公司、联营企业投资相关的应纳税暂时性差异，该暂时性差异转回的时间能够控制并且该暂时性差异在可预见的未来很可能不会转回。</w:t>
      </w:r>
    </w:p>
    <w:p w:rsidR="005C49A8" w:rsidRDefault="005C49A8" w:rsidP="00C50357">
      <w:pPr>
        <w:widowControl/>
        <w:numPr>
          <w:ilvl w:val="0"/>
          <w:numId w:val="138"/>
        </w:numPr>
        <w:spacing w:before="100" w:beforeAutospacing="1" w:after="100" w:afterAutospacing="1"/>
        <w:divId w:val="1077898399"/>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同时满足下列条件时，将递延所得税资产及递延所得税负债以抵销后的净额列示</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1</w:t>
      </w:r>
      <w:r w:rsidRPr="000160E2">
        <w:rPr>
          <w:rFonts w:hint="eastAsia"/>
          <w:sz w:val="18"/>
          <w:szCs w:val="18"/>
        </w:rPr>
        <w:t>）企业拥有以净额结算当期所得税资产及当期所得税负债的法定权利；</w:t>
      </w:r>
    </w:p>
    <w:p w:rsidR="005C49A8" w:rsidRPr="000160E2" w:rsidRDefault="005C49A8" w:rsidP="000160E2">
      <w:pPr>
        <w:pStyle w:val="a3"/>
        <w:spacing w:before="0" w:beforeAutospacing="0" w:after="0" w:afterAutospacing="0"/>
        <w:ind w:firstLine="420"/>
        <w:jc w:val="both"/>
        <w:divId w:val="1077898399"/>
        <w:rPr>
          <w:sz w:val="18"/>
          <w:szCs w:val="18"/>
        </w:rPr>
      </w:pPr>
      <w:r w:rsidRPr="000160E2">
        <w:rPr>
          <w:rFonts w:hint="eastAsia"/>
          <w:sz w:val="18"/>
          <w:szCs w:val="18"/>
        </w:rPr>
        <w:t>（</w:t>
      </w:r>
      <w:r w:rsidRPr="000160E2">
        <w:rPr>
          <w:sz w:val="18"/>
          <w:szCs w:val="18"/>
        </w:rPr>
        <w:t>2</w:t>
      </w:r>
      <w:r w:rsidRPr="000160E2">
        <w:rPr>
          <w:rFonts w:hint="eastAsia"/>
          <w:sz w:val="18"/>
          <w:szCs w:val="18"/>
        </w:rPr>
        <w:t>）递延所得税资产和递延所得税负债是与同一税收征管部门对同一纳税主体征收的所得税相关或者对不同的纳税主体相关，但在未来每一具有重要性的递延所得税资产和递延所得税负债转回的期间内，涉及的纳税主体体意图以净额结算当期所得税资产及当期所得税负债或是同时取得资产、清偿债务。</w:t>
      </w:r>
    </w:p>
    <w:p w:rsidR="008820E4" w:rsidRDefault="005C49A8">
      <w:pPr>
        <w:pStyle w:val="3"/>
        <w:spacing w:line="280" w:lineRule="exact"/>
        <w:jc w:val="left"/>
        <w:rPr>
          <w:rFonts w:ascii="宋体" w:hAnsi="宋体" w:cs="宋体"/>
          <w:b/>
          <w:bCs/>
        </w:rPr>
      </w:pPr>
      <w:bookmarkStart w:id="64" w:name="_Toc989055"/>
      <w:r>
        <w:rPr>
          <w:rFonts w:ascii="宋体" w:hAnsi="宋体" w:cs="宋体"/>
          <w:b/>
          <w:bCs/>
        </w:rPr>
        <w:t>41、租赁</w:t>
      </w:r>
      <w:bookmarkEnd w:id="64"/>
    </w:p>
    <w:p w:rsidR="008820E4" w:rsidRDefault="005C49A8">
      <w:pPr>
        <w:keepNext/>
        <w:keepLines/>
        <w:spacing w:before="300" w:after="300" w:line="280" w:lineRule="exact"/>
        <w:outlineLvl w:val="3"/>
        <w:rPr>
          <w:rFonts w:ascii="宋体" w:eastAsia="宋体" w:hAnsi="宋体" w:cs="宋体"/>
          <w:b/>
          <w:bCs/>
          <w:szCs w:val="21"/>
        </w:rPr>
      </w:pPr>
      <w:bookmarkStart w:id="65" w:name="_Toc989056"/>
      <w:r>
        <w:rPr>
          <w:rFonts w:ascii="宋体" w:eastAsia="宋体" w:hAnsi="宋体" w:cs="宋体"/>
          <w:b/>
          <w:bCs/>
          <w:szCs w:val="21"/>
        </w:rPr>
        <w:t>（1） 作为承租方租赁的会计处理方法</w:t>
      </w:r>
      <w:bookmarkEnd w:id="65"/>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在租赁期开始日，除应用简化处理的短期租赁和低价值资产租赁外，本公司对租赁确认使用权资产和租赁负债。</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w:t>
      </w:r>
      <w:r w:rsidRPr="000160E2">
        <w:rPr>
          <w:sz w:val="18"/>
          <w:szCs w:val="18"/>
        </w:rPr>
        <w:t>1</w:t>
      </w:r>
      <w:r w:rsidRPr="000160E2">
        <w:rPr>
          <w:rFonts w:hint="eastAsia"/>
          <w:sz w:val="18"/>
          <w:szCs w:val="18"/>
        </w:rPr>
        <w:t>）短期租赁和低价值资产租赁</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短期租赁是指不包含购买选择权且租赁期不超过</w:t>
      </w:r>
      <w:r w:rsidRPr="000160E2">
        <w:rPr>
          <w:sz w:val="18"/>
          <w:szCs w:val="18"/>
        </w:rPr>
        <w:t>12</w:t>
      </w:r>
      <w:r w:rsidRPr="000160E2">
        <w:rPr>
          <w:rFonts w:hint="eastAsia"/>
          <w:sz w:val="18"/>
          <w:szCs w:val="18"/>
        </w:rPr>
        <w:t>个月的租赁。低价值资产租赁是指单项租赁资产为全新资产时价值较低的租赁，主要包括员工宿舍租赁。</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本公司对以下短期租赁和低价值资产租赁不确认使用权资产和租赁负债，相关租赁付款额在租赁期内各个期间按照直线法计入相关资产成本或当期损益。</w:t>
      </w:r>
    </w:p>
    <w:tbl>
      <w:tblPr>
        <w:tblW w:w="9193" w:type="dxa"/>
        <w:jc w:val="center"/>
        <w:tblCellMar>
          <w:left w:w="0" w:type="dxa"/>
          <w:right w:w="0" w:type="dxa"/>
        </w:tblCellMar>
        <w:tblLook w:val="04A0" w:firstRow="1" w:lastRow="0" w:firstColumn="1" w:lastColumn="0" w:noHBand="0" w:noVBand="1"/>
        <w:tblCaption w:val="D:\大华\华孚\2024年度\TB|0-合并TB-华孚时尚股份有限公司-2024年度.xlsx|W附注模板|_jds18|0|desc|||0|1"/>
      </w:tblPr>
      <w:tblGrid>
        <w:gridCol w:w="1844"/>
        <w:gridCol w:w="7349"/>
      </w:tblGrid>
      <w:tr w:rsidR="005C49A8" w:rsidTr="000160E2">
        <w:trPr>
          <w:divId w:val="1367409517"/>
          <w:trHeight w:val="340"/>
          <w:jc w:val="center"/>
        </w:trPr>
        <w:tc>
          <w:tcPr>
            <w:tcW w:w="1844"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项目</w:t>
            </w:r>
          </w:p>
        </w:tc>
        <w:tc>
          <w:tcPr>
            <w:tcW w:w="7349"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采用简化处理的租赁资产类别</w:t>
            </w:r>
          </w:p>
        </w:tc>
      </w:tr>
      <w:tr w:rsidR="005C49A8" w:rsidTr="00CF103B">
        <w:trPr>
          <w:divId w:val="1367409517"/>
          <w:trHeight w:val="340"/>
          <w:jc w:val="center"/>
        </w:trPr>
        <w:tc>
          <w:tcPr>
            <w:tcW w:w="1844"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5C49A8" w:rsidRDefault="005C49A8">
            <w:pPr>
              <w:pStyle w:val="a3"/>
              <w:spacing w:before="0" w:beforeAutospacing="0" w:after="0" w:afterAutospacing="0"/>
              <w:rPr>
                <w:rFonts w:ascii="Times New Roman" w:hAnsi="Times New Roman" w:cs="Times New Roman"/>
                <w:sz w:val="21"/>
                <w:szCs w:val="21"/>
              </w:rPr>
            </w:pPr>
            <w:r>
              <w:rPr>
                <w:rFonts w:cs="Times New Roman" w:hint="eastAsia"/>
                <w:sz w:val="18"/>
                <w:szCs w:val="18"/>
              </w:rPr>
              <w:t>短期租赁</w:t>
            </w:r>
          </w:p>
        </w:tc>
        <w:tc>
          <w:tcPr>
            <w:tcW w:w="7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49A8" w:rsidRDefault="005C49A8">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租赁期在1年及以下的租赁</w:t>
            </w:r>
          </w:p>
        </w:tc>
      </w:tr>
    </w:tbl>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本公司对除上述以外的短期租赁和低价值资产租赁确认使用权资产和租赁负债。</w:t>
      </w:r>
    </w:p>
    <w:p w:rsidR="005C49A8" w:rsidRPr="000160E2" w:rsidRDefault="005C49A8" w:rsidP="000160E2">
      <w:pPr>
        <w:pStyle w:val="a3"/>
        <w:spacing w:before="0" w:beforeAutospacing="0" w:after="0" w:afterAutospacing="0"/>
        <w:ind w:firstLine="420"/>
        <w:jc w:val="both"/>
        <w:divId w:val="1367409517"/>
        <w:rPr>
          <w:sz w:val="18"/>
          <w:szCs w:val="18"/>
        </w:rPr>
      </w:pPr>
      <w:r w:rsidRPr="000160E2">
        <w:rPr>
          <w:rFonts w:hint="eastAsia"/>
          <w:sz w:val="18"/>
          <w:szCs w:val="18"/>
        </w:rPr>
        <w:t>（</w:t>
      </w:r>
      <w:r w:rsidRPr="000160E2">
        <w:rPr>
          <w:sz w:val="18"/>
          <w:szCs w:val="18"/>
        </w:rPr>
        <w:t>2</w:t>
      </w:r>
      <w:r w:rsidRPr="000160E2">
        <w:rPr>
          <w:rFonts w:hint="eastAsia"/>
          <w:sz w:val="18"/>
          <w:szCs w:val="18"/>
        </w:rPr>
        <w:t>）使用权资产和租赁负债的会计政策详见本附注（二十六）和（三十三）。</w:t>
      </w:r>
    </w:p>
    <w:p w:rsidR="008820E4" w:rsidRDefault="005C49A8">
      <w:pPr>
        <w:keepNext/>
        <w:keepLines/>
        <w:spacing w:before="300" w:after="300" w:line="280" w:lineRule="exact"/>
        <w:outlineLvl w:val="3"/>
        <w:rPr>
          <w:rFonts w:ascii="宋体" w:eastAsia="宋体" w:hAnsi="宋体" w:cs="宋体"/>
          <w:b/>
          <w:bCs/>
          <w:szCs w:val="21"/>
        </w:rPr>
      </w:pPr>
      <w:bookmarkStart w:id="66" w:name="_Toc989057"/>
      <w:r>
        <w:rPr>
          <w:rFonts w:ascii="宋体" w:eastAsia="宋体" w:hAnsi="宋体" w:cs="宋体"/>
          <w:b/>
          <w:bCs/>
          <w:szCs w:val="21"/>
        </w:rPr>
        <w:t>（2） 作为出租方租赁的会计处理方法</w:t>
      </w:r>
      <w:bookmarkEnd w:id="66"/>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1</w:t>
      </w:r>
      <w:r w:rsidRPr="000160E2">
        <w:rPr>
          <w:rFonts w:hint="eastAsia"/>
          <w:sz w:val="18"/>
          <w:szCs w:val="18"/>
        </w:rPr>
        <w:t>）租赁的分类</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在租赁开始日将租赁分为融资租赁和经营租赁。融资租赁是指实质上转移了与租赁资产所有权有关的几乎全部风险和报酬的租赁，其所有权最终可能转移，也可能不转移。经营租赁是指除融资租赁以外的其他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一项租赁存在下列一种或多种情形的，本公司通常分类为融资租赁：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）在租赁期届满时，租赁资产的所有权转移给承租人。</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）承租人有购买租赁资产的选择权，所订立的购买价款与预计行使选择权时租赁资产的公允价值相比足够低，因而在租赁开始日就可以合理确定承租人将行使该选择权。</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lastRenderedPageBreak/>
        <w:t>3</w:t>
      </w:r>
      <w:r w:rsidRPr="000160E2">
        <w:rPr>
          <w:rFonts w:hint="eastAsia"/>
          <w:sz w:val="18"/>
          <w:szCs w:val="18"/>
        </w:rPr>
        <w:t>）资产的所有权虽然不转移，但租赁期占租赁资产使用寿命的大部分。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4</w:t>
      </w:r>
      <w:r w:rsidRPr="000160E2">
        <w:rPr>
          <w:rFonts w:hint="eastAsia"/>
          <w:sz w:val="18"/>
          <w:szCs w:val="18"/>
        </w:rPr>
        <w:t>）在租赁开始日，租赁收款额的现值几乎相当于租赁资产的公允价值。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5</w:t>
      </w:r>
      <w:r w:rsidRPr="000160E2">
        <w:rPr>
          <w:rFonts w:hint="eastAsia"/>
          <w:sz w:val="18"/>
          <w:szCs w:val="18"/>
        </w:rPr>
        <w:t>）租赁资产性质特殊，如果不作较大改造，只有承租人才能使用。</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一项租赁存在下列一项或多项迹象的，本公司也可能分类为融资租赁：</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）若承租人撤销租赁，撤销租赁对出租人造成的损失由承租人承担。</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）资产余值的公允价值波动所产生的利得或损失归属于承租人。</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3</w:t>
      </w:r>
      <w:r w:rsidRPr="000160E2">
        <w:rPr>
          <w:rFonts w:hint="eastAsia"/>
          <w:sz w:val="18"/>
          <w:szCs w:val="18"/>
        </w:rPr>
        <w:t>）承租人有能力以远低于市场水平的租金继续租赁至下一期间。</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2</w:t>
      </w:r>
      <w:r w:rsidRPr="000160E2">
        <w:rPr>
          <w:rFonts w:hint="eastAsia"/>
          <w:sz w:val="18"/>
          <w:szCs w:val="18"/>
        </w:rPr>
        <w:t>）对融资租赁的会计处理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在租赁期开始日，本公司对融资租赁确认应收融资租赁款，并终止确认融资租赁资产。</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应收融资租赁款初始计量时，以未担保余值和租赁期开始日尚未收到的租赁收款额按照租赁内含利率折现的现值之和作为应收融资租赁款的入账价值。租赁收款额包括：</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1</w:t>
      </w:r>
      <w:r w:rsidRPr="000160E2">
        <w:rPr>
          <w:rFonts w:hint="eastAsia"/>
          <w:sz w:val="18"/>
          <w:szCs w:val="18"/>
        </w:rPr>
        <w:t>）扣除租赁激励相关金额后的固定付款额及实质固定付款额；</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2</w:t>
      </w:r>
      <w:r w:rsidRPr="000160E2">
        <w:rPr>
          <w:rFonts w:hint="eastAsia"/>
          <w:sz w:val="18"/>
          <w:szCs w:val="18"/>
        </w:rPr>
        <w:t>）取决于指数或比率的可变租赁付款额；</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3</w:t>
      </w:r>
      <w:r w:rsidRPr="000160E2">
        <w:rPr>
          <w:rFonts w:hint="eastAsia"/>
          <w:sz w:val="18"/>
          <w:szCs w:val="18"/>
        </w:rPr>
        <w:t>）合理确定承租人将行使购买选择权的情况下，租赁收款额包括购买选择权的行权价格；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4</w:t>
      </w:r>
      <w:r w:rsidRPr="000160E2">
        <w:rPr>
          <w:rFonts w:hint="eastAsia"/>
          <w:sz w:val="18"/>
          <w:szCs w:val="18"/>
        </w:rPr>
        <w:t>）租赁期反映出承租人将行使终止租赁选择权的情况下，租赁收款额包括承租人行使终止租赁选择权需支付的款项；</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sz w:val="18"/>
          <w:szCs w:val="18"/>
        </w:rPr>
        <w:t>5</w:t>
      </w:r>
      <w:r w:rsidRPr="000160E2">
        <w:rPr>
          <w:rFonts w:hint="eastAsia"/>
          <w:sz w:val="18"/>
          <w:szCs w:val="18"/>
        </w:rPr>
        <w:t>）由承租人、与承租人有关的一方以及有经济能力履行担保义务的独立第三方向出租人提供的担保余值。</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本公司按照固定的租赁内含利率计算并确认租赁期内各个期间的利息收入，所取得的未纳入租赁投资净额计量的可变租赁付款额在实际发生时计入当期损益。</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w:t>
      </w:r>
      <w:r w:rsidRPr="000160E2">
        <w:rPr>
          <w:sz w:val="18"/>
          <w:szCs w:val="18"/>
        </w:rPr>
        <w:t>3</w:t>
      </w:r>
      <w:r w:rsidRPr="000160E2">
        <w:rPr>
          <w:rFonts w:hint="eastAsia"/>
          <w:sz w:val="18"/>
          <w:szCs w:val="18"/>
        </w:rPr>
        <w:t>）对经营租赁的会计处理</w:t>
      </w:r>
    </w:p>
    <w:p w:rsidR="005C49A8" w:rsidRPr="000160E2" w:rsidRDefault="005C49A8" w:rsidP="000160E2">
      <w:pPr>
        <w:pStyle w:val="a3"/>
        <w:spacing w:before="0" w:beforeAutospacing="0" w:after="0" w:afterAutospacing="0"/>
        <w:ind w:firstLine="420"/>
        <w:jc w:val="both"/>
        <w:divId w:val="84959456"/>
        <w:rPr>
          <w:sz w:val="18"/>
          <w:szCs w:val="18"/>
        </w:rPr>
      </w:pPr>
      <w:r w:rsidRPr="000160E2">
        <w:rPr>
          <w:rFonts w:hint="eastAsia"/>
          <w:sz w:val="18"/>
          <w:szCs w:val="18"/>
        </w:rPr>
        <w:t>本公司在租赁期内各个期间采用直线法或其他系统合理的方法，将经营租赁的租赁收款额确认为租金收入；发生的与经营租赁有关的初始直接费用资本化，在租赁期内按照与租金收入确认相同的基础进行分摊，分期计入当期损益；取得的与经营租赁有关的未计入租赁收款额的可变租赁付款额，在实际发生时计入当期损益。</w:t>
      </w:r>
    </w:p>
    <w:p w:rsidR="008820E4" w:rsidRDefault="005C49A8">
      <w:pPr>
        <w:pStyle w:val="3"/>
        <w:spacing w:line="280" w:lineRule="exact"/>
        <w:jc w:val="left"/>
        <w:rPr>
          <w:rFonts w:ascii="宋体" w:hAnsi="宋体" w:cs="宋体"/>
          <w:b/>
          <w:bCs/>
        </w:rPr>
      </w:pPr>
      <w:bookmarkStart w:id="67" w:name="_Toc989058"/>
      <w:r>
        <w:rPr>
          <w:rFonts w:ascii="宋体" w:hAnsi="宋体" w:cs="宋体"/>
          <w:b/>
          <w:bCs/>
        </w:rPr>
        <w:t>42、其他重要的会计政策和会计估计</w:t>
      </w:r>
      <w:bookmarkEnd w:id="67"/>
    </w:p>
    <w:p w:rsidR="005C49A8" w:rsidRDefault="005C49A8">
      <w:pPr>
        <w:pStyle w:val="a3"/>
        <w:divId w:val="47961792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68" w:name="_Toc989059"/>
      <w:r>
        <w:rPr>
          <w:rFonts w:ascii="宋体" w:hAnsi="宋体" w:cs="宋体"/>
          <w:b/>
          <w:bCs/>
        </w:rPr>
        <w:t>43、重要会计政策和会计估计变更</w:t>
      </w:r>
      <w:bookmarkEnd w:id="68"/>
    </w:p>
    <w:p w:rsidR="008820E4" w:rsidRDefault="005C49A8">
      <w:pPr>
        <w:keepNext/>
        <w:keepLines/>
        <w:spacing w:before="300" w:after="300" w:line="280" w:lineRule="exact"/>
        <w:outlineLvl w:val="3"/>
        <w:rPr>
          <w:rFonts w:ascii="宋体" w:eastAsia="宋体" w:hAnsi="宋体" w:cs="宋体"/>
          <w:b/>
          <w:bCs/>
          <w:sz w:val="18"/>
          <w:szCs w:val="18"/>
        </w:rPr>
      </w:pPr>
      <w:bookmarkStart w:id="69" w:name="_Toc989060"/>
      <w:r>
        <w:rPr>
          <w:rFonts w:ascii="宋体" w:eastAsia="宋体" w:hAnsi="宋体" w:cs="宋体"/>
          <w:b/>
          <w:bCs/>
          <w:sz w:val="18"/>
          <w:szCs w:val="18"/>
        </w:rPr>
        <w:t>（1） 重要会计政策变更</w:t>
      </w:r>
      <w:bookmarkEnd w:id="6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70" w:name="_Toc989061"/>
      <w:r>
        <w:rPr>
          <w:rFonts w:ascii="宋体" w:eastAsia="宋体" w:hAnsi="宋体" w:cs="宋体"/>
          <w:b/>
          <w:bCs/>
          <w:sz w:val="18"/>
          <w:szCs w:val="18"/>
        </w:rPr>
        <w:t>（2） 重要会计估计变更</w:t>
      </w:r>
      <w:bookmarkEnd w:id="70"/>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71" w:name="_Toc989062"/>
      <w:r>
        <w:rPr>
          <w:rFonts w:ascii="宋体" w:eastAsia="宋体" w:hAnsi="宋体" w:cs="宋体"/>
          <w:b/>
          <w:bCs/>
          <w:sz w:val="18"/>
          <w:szCs w:val="18"/>
        </w:rPr>
        <w:t>（3） 2025年起首次执行新会计准则调整首次执行当年年初财务报表相关项目情况</w:t>
      </w:r>
      <w:bookmarkEnd w:id="7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72" w:name="_Toc989063"/>
      <w:r>
        <w:rPr>
          <w:rFonts w:ascii="宋体" w:hAnsi="宋体" w:cs="宋体"/>
          <w:b/>
          <w:bCs/>
        </w:rPr>
        <w:t>44、其他</w:t>
      </w:r>
      <w:bookmarkEnd w:id="72"/>
    </w:p>
    <w:p w:rsidR="005C49A8" w:rsidRDefault="005C49A8">
      <w:pPr>
        <w:pStyle w:val="a3"/>
        <w:divId w:val="177736645"/>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73" w:name="_Toc989064"/>
      <w:r>
        <w:rPr>
          <w:rFonts w:ascii="宋体" w:eastAsia="宋体" w:hAnsi="宋体" w:cs="宋体"/>
          <w:b/>
          <w:bCs/>
          <w:sz w:val="24"/>
          <w:szCs w:val="24"/>
        </w:rPr>
        <w:lastRenderedPageBreak/>
        <w:t>六、税项</w:t>
      </w:r>
      <w:bookmarkEnd w:id="73"/>
    </w:p>
    <w:p w:rsidR="008820E4" w:rsidRDefault="005C49A8">
      <w:pPr>
        <w:pStyle w:val="3"/>
        <w:spacing w:line="280" w:lineRule="exact"/>
        <w:jc w:val="left"/>
        <w:rPr>
          <w:rFonts w:ascii="宋体" w:hAnsi="宋体" w:cs="宋体"/>
          <w:b/>
          <w:bCs/>
        </w:rPr>
      </w:pPr>
      <w:bookmarkStart w:id="74" w:name="_Toc989065"/>
      <w:r>
        <w:rPr>
          <w:rFonts w:ascii="宋体" w:hAnsi="宋体" w:cs="宋体"/>
          <w:b/>
          <w:bCs/>
        </w:rPr>
        <w:t>1、主要税种及税率</w:t>
      </w:r>
      <w:bookmarkEnd w:id="7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5386"/>
        <w:gridCol w:w="2585"/>
      </w:tblGrid>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税种</w:t>
            </w:r>
          </w:p>
        </w:tc>
        <w:tc>
          <w:tcPr>
            <w:tcW w:w="538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计税依据</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税率</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增值税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销售货物、应税劳务收入和应税服务收入</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13%、10%、9%、6%</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7%、5%、3%</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企业所得税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应纳税所得额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15%、25%、16.5%、20%</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教育费附加</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地方教育费附加</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实缴流转税税额</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w:t>
            </w:r>
          </w:p>
        </w:tc>
      </w:tr>
      <w:tr w:rsidR="008820E4" w:rsidTr="0007728F">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w:t>
            </w:r>
          </w:p>
        </w:tc>
        <w:tc>
          <w:tcPr>
            <w:tcW w:w="538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房产税按照房产原值的70%为纳税基准，税率为1.2%，或以租金收入为纳税基准，税率为12%</w:t>
            </w:r>
          </w:p>
        </w:tc>
        <w:tc>
          <w:tcPr>
            <w:tcW w:w="25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1.2%、12%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905"/>
        <w:gridCol w:w="1734"/>
      </w:tblGrid>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纳税主体名称</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所得税税率</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香港华孚贸易有限公司、香港华孚有限公司(1)、香港天成贸易有限公司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16.50%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浙江华孚色纺有限公司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奎屯锦孚纺织有限公司、新疆六孚纺织工业园有限公司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伽师棉业有限公司、新疆棉花产业集团岳普湖棉业有限公司、沙雅银花棉业有限责任公司、库车纵横棉业有限责任公司、新疆华孚恒丰棉业有限公司、石河子华孚宏盛棉业有限公司、胡杨河华孚宏盛棉业有限公司、石河子市华孚宏丰棉业有限公司、新疆泽孚棉花有限公司、新疆盛孚棉业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新加坡耀佳国际贸易有限公司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17.00%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诸暨市卡拉美拉科技有限公司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15.00%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阿克苏华孚新能源有限公司、上海华孚色纺贸易有限公司、浙江菁英电商管理服务有限公司、浙江菁英创业服务有限公司、杭州名鲲科技有限公司等</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79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其他子公司</w:t>
            </w: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rsidP="0007728F">
            <w:pPr>
              <w:spacing w:line="0" w:lineRule="atLeast"/>
              <w:jc w:val="right"/>
              <w:rPr>
                <w:rFonts w:ascii="宋体" w:eastAsia="宋体" w:hAnsi="宋体" w:cs="宋体"/>
                <w:sz w:val="18"/>
                <w:szCs w:val="18"/>
              </w:rPr>
            </w:pPr>
            <w:r>
              <w:rPr>
                <w:rFonts w:ascii="宋体" w:eastAsia="宋体" w:hAnsi="宋体" w:cs="宋体"/>
                <w:sz w:val="18"/>
                <w:szCs w:val="18"/>
              </w:rPr>
              <w:t>25.00%</w:t>
            </w:r>
          </w:p>
        </w:tc>
      </w:tr>
    </w:tbl>
    <w:p w:rsidR="008820E4" w:rsidRDefault="005C49A8">
      <w:pPr>
        <w:pStyle w:val="3"/>
        <w:spacing w:line="280" w:lineRule="exact"/>
        <w:jc w:val="left"/>
        <w:rPr>
          <w:rFonts w:ascii="宋体" w:hAnsi="宋体" w:cs="宋体"/>
          <w:b/>
          <w:bCs/>
        </w:rPr>
      </w:pPr>
      <w:bookmarkStart w:id="75" w:name="_Toc989066"/>
      <w:r>
        <w:rPr>
          <w:rFonts w:ascii="宋体" w:hAnsi="宋体" w:cs="宋体"/>
          <w:b/>
          <w:bCs/>
        </w:rPr>
        <w:t>2、税收优惠</w:t>
      </w:r>
      <w:bookmarkEnd w:id="75"/>
    </w:p>
    <w:p w:rsidR="005C49A8" w:rsidRDefault="005C49A8" w:rsidP="0007728F">
      <w:pPr>
        <w:pStyle w:val="a3"/>
        <w:ind w:firstLineChars="200" w:firstLine="360"/>
        <w:divId w:val="526993575"/>
        <w:rPr>
          <w:sz w:val="18"/>
          <w:szCs w:val="18"/>
        </w:rPr>
      </w:pPr>
      <w:r>
        <w:rPr>
          <w:rFonts w:hint="eastAsia"/>
          <w:sz w:val="18"/>
          <w:szCs w:val="18"/>
        </w:rPr>
        <w:t>1.本公司取得了安徽省科学技术厅、安徽省财政厅、国家税务总局安徽省税务局于2024年11月28日联合颁发的证书编号GR202434005332的《高新技术企业证书》，有效期为3年。本公司自2024年度起享受高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2.根据2024年12月6日浙江省科学技术厅、浙江省财政厅、国家税务总局浙江省税务局联合颁发的证书编号GR202433003757的《高新技术企业证书》，有效期为3年。浙江色纺自2024年度起享受高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3.根据财政部公告2020年第23号文件《财政部税务总局国家发展改革委关于延续西部大开发企业所得税政策的公告》的规定，对符合[西部地区鼓励类产业目录]第二十大类中的第六项的新疆维吾尔自治区境内的纺织企业，自2020年至2030年，对设在西部地区的鼓励类产业企业减按15%的税率征收企业所得税。据此，本公司之子公司阿克苏华孚、奎屯锦孚纺织、新疆六孚纺织享受15%的企业所得税率。</w:t>
      </w:r>
      <w:r>
        <w:rPr>
          <w:rFonts w:hint="eastAsia"/>
          <w:sz w:val="18"/>
          <w:szCs w:val="18"/>
        </w:rPr>
        <w:br/>
      </w:r>
      <w:r w:rsidR="0007728F">
        <w:rPr>
          <w:rFonts w:hint="eastAsia"/>
          <w:sz w:val="18"/>
          <w:szCs w:val="18"/>
        </w:rPr>
        <w:t xml:space="preserve">  </w:t>
      </w:r>
      <w:r>
        <w:rPr>
          <w:rFonts w:hint="eastAsia"/>
          <w:sz w:val="18"/>
          <w:szCs w:val="18"/>
        </w:rPr>
        <w:t>4.根据《中华人民共和国企业所得税法》第二十七条第（一）项及《中华人民共和国企业所得税法实施条例》第二十七条第八十六条第一款之规定，通过轧花、剥绒等脱绒工序简单加工处理，制成的产品（皮棉、短绒、棉籽）的收入免征企业所得税。据此，本公司之子公司伽师棉业、岳普湖棉业、沙雅银花、库车纵横、华孚恒丰、石河子宏盛棉业、胡杨河宏盛棉业、石河子宏丰棉业、泽孚棉花、盛孚棉业免征企业所得税。</w:t>
      </w:r>
      <w:r>
        <w:rPr>
          <w:rFonts w:hint="eastAsia"/>
          <w:sz w:val="18"/>
          <w:szCs w:val="18"/>
        </w:rPr>
        <w:br/>
        <w:t>5.根据2024年12月4日新疆维吾尔自治区科学技术厅、新疆维吾尔自治区财政厅、国家税务总局新疆维吾尔自治区税务局联合颁发的证书编号GR202465000986的《高新技术企业证书》，有效期为3年。阿克苏华孚自2024年度起享受高</w:t>
      </w:r>
      <w:r>
        <w:rPr>
          <w:rFonts w:hint="eastAsia"/>
          <w:sz w:val="18"/>
          <w:szCs w:val="18"/>
        </w:rPr>
        <w:lastRenderedPageBreak/>
        <w:t>新技术企业税收优惠税率，即2024年享受15%的企业所得税优惠税率。</w:t>
      </w:r>
      <w:r>
        <w:rPr>
          <w:rFonts w:hint="eastAsia"/>
          <w:sz w:val="18"/>
          <w:szCs w:val="18"/>
        </w:rPr>
        <w:br/>
      </w:r>
      <w:r w:rsidR="0007728F">
        <w:rPr>
          <w:rFonts w:hint="eastAsia"/>
          <w:sz w:val="18"/>
          <w:szCs w:val="18"/>
        </w:rPr>
        <w:t xml:space="preserve">  </w:t>
      </w:r>
      <w:r>
        <w:rPr>
          <w:rFonts w:hint="eastAsia"/>
          <w:sz w:val="18"/>
          <w:szCs w:val="18"/>
        </w:rPr>
        <w:t>6.新加坡注册企业首1万新币利润，减免税务75%，税率为4.25%；企业后续19万新币利润，享有减免税务50%；企业超出20万新币的利润部分，按照17%的税率正常征收。</w:t>
      </w:r>
      <w:r>
        <w:rPr>
          <w:rFonts w:hint="eastAsia"/>
          <w:sz w:val="18"/>
          <w:szCs w:val="18"/>
        </w:rPr>
        <w:br/>
      </w:r>
      <w:r w:rsidR="0007728F">
        <w:rPr>
          <w:rFonts w:hint="eastAsia"/>
          <w:sz w:val="18"/>
          <w:szCs w:val="18"/>
        </w:rPr>
        <w:t xml:space="preserve">  </w:t>
      </w:r>
      <w:r>
        <w:rPr>
          <w:rFonts w:hint="eastAsia"/>
          <w:sz w:val="18"/>
          <w:szCs w:val="18"/>
        </w:rPr>
        <w:t>7.根据2022年12月24日浙江省科学技术厅、浙江省财政厅、国家税务总局浙江省税务局联合颁发的证书编号GR202233000592的《高新技术企业证书》，有效期为3年。卡拉美拉自2022年度起享受高新技术企业税收优惠税率15%的企业所得税优惠税率。</w:t>
      </w:r>
      <w:r>
        <w:rPr>
          <w:rFonts w:hint="eastAsia"/>
          <w:sz w:val="18"/>
          <w:szCs w:val="18"/>
        </w:rPr>
        <w:br/>
      </w:r>
      <w:r w:rsidR="0007728F">
        <w:rPr>
          <w:rFonts w:hint="eastAsia"/>
          <w:sz w:val="18"/>
          <w:szCs w:val="18"/>
        </w:rPr>
        <w:t xml:space="preserve">  </w:t>
      </w:r>
      <w:r>
        <w:rPr>
          <w:rFonts w:hint="eastAsia"/>
          <w:sz w:val="18"/>
          <w:szCs w:val="18"/>
        </w:rPr>
        <w:t>8.根据《财政部税务总局关于进一步实施小微企业所得税优惠政策的公告》（财政部税务总局公告2022年第13号）、《财政部税务总局关于小微企业和个体工商户所得税优惠政策的公告》（财政部税务总局公告2023年第6号）、《财政部税务总局关于进一步支持小微企业和个体工商户发展有关税费政策的公告》（财政部税务总局公告2023年第12号）的规定，自2022年1月1日至2024年12月31日，对小型微利企业年应纳税所得额超过100万元但不超过300万元的部分，减按25%计入应纳税所得额，按20%的税率缴纳企业所得税。自2023年1月1日至2024年12月31日，对小型微利企业年应纳税所得额不超过100万元的部分，减按25%计入应纳税所得额，按20%的税率缴纳企业所得税。对小型微利企业减按25%计算应纳税所得额，按20%的税率缴纳企业所得税政策，延续执行至2027年12月31日。阿克苏新能源、浙江阿大互联、上海华孚色纺、菁英电商、菁英创业等子公司按照政策适用该税收优惠政策。</w:t>
      </w:r>
    </w:p>
    <w:p w:rsidR="008820E4" w:rsidRDefault="005C49A8">
      <w:pPr>
        <w:pStyle w:val="3"/>
        <w:spacing w:line="280" w:lineRule="exact"/>
        <w:jc w:val="left"/>
        <w:rPr>
          <w:rFonts w:ascii="宋体" w:hAnsi="宋体" w:cs="宋体"/>
          <w:b/>
          <w:bCs/>
        </w:rPr>
      </w:pPr>
      <w:bookmarkStart w:id="76" w:name="_Toc989067"/>
      <w:r>
        <w:rPr>
          <w:rFonts w:ascii="宋体" w:hAnsi="宋体" w:cs="宋体"/>
          <w:b/>
          <w:bCs/>
        </w:rPr>
        <w:t>3、其他</w:t>
      </w:r>
      <w:bookmarkEnd w:id="76"/>
    </w:p>
    <w:p w:rsidR="005C49A8" w:rsidRDefault="005C49A8" w:rsidP="0007728F">
      <w:pPr>
        <w:pStyle w:val="a3"/>
        <w:ind w:firstLineChars="200" w:firstLine="360"/>
        <w:divId w:val="1317495088"/>
        <w:rPr>
          <w:sz w:val="18"/>
          <w:szCs w:val="18"/>
        </w:rPr>
      </w:pPr>
      <w:r>
        <w:rPr>
          <w:rFonts w:hint="eastAsia"/>
          <w:sz w:val="18"/>
          <w:szCs w:val="18"/>
        </w:rPr>
        <w:t>香港华孚有限自2012年1月1日起被国家税务总局认定为居民企业，相关股利分红的税收制度享受居民企业待遇。</w:t>
      </w:r>
    </w:p>
    <w:p w:rsidR="008820E4" w:rsidRDefault="005C49A8">
      <w:pPr>
        <w:pStyle w:val="2"/>
        <w:spacing w:before="300" w:after="300" w:line="320" w:lineRule="exact"/>
        <w:rPr>
          <w:rFonts w:ascii="宋体" w:eastAsia="宋体" w:hAnsi="宋体" w:cs="宋体"/>
          <w:b/>
          <w:bCs/>
          <w:sz w:val="24"/>
          <w:szCs w:val="24"/>
        </w:rPr>
      </w:pPr>
      <w:bookmarkStart w:id="77" w:name="_Toc989068"/>
      <w:r>
        <w:rPr>
          <w:rFonts w:ascii="宋体" w:eastAsia="宋体" w:hAnsi="宋体" w:cs="宋体"/>
          <w:b/>
          <w:bCs/>
          <w:sz w:val="24"/>
          <w:szCs w:val="24"/>
        </w:rPr>
        <w:t>七、合并财务报表项目注释</w:t>
      </w:r>
      <w:bookmarkEnd w:id="77"/>
    </w:p>
    <w:p w:rsidR="008820E4" w:rsidRDefault="005C49A8">
      <w:pPr>
        <w:pStyle w:val="3"/>
        <w:spacing w:line="280" w:lineRule="exact"/>
        <w:jc w:val="left"/>
        <w:rPr>
          <w:rFonts w:ascii="宋体" w:hAnsi="宋体" w:cs="宋体"/>
          <w:b/>
          <w:bCs/>
        </w:rPr>
      </w:pPr>
      <w:bookmarkStart w:id="78" w:name="_Toc989069"/>
      <w:r>
        <w:rPr>
          <w:rFonts w:ascii="宋体" w:hAnsi="宋体" w:cs="宋体"/>
          <w:b/>
          <w:bCs/>
        </w:rPr>
        <w:t>1、货币资金</w:t>
      </w:r>
      <w:bookmarkEnd w:id="7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100,875.56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69,644.90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1,037,469,234.86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1,840,496,250.51</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3,000,053,762.50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654,984,950.17</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4,037,623,872.92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2,495,550,845.58</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112,913,138.01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221,425,649.33</w:t>
            </w:r>
          </w:p>
        </w:tc>
      </w:tr>
    </w:tbl>
    <w:p w:rsidR="005C49A8" w:rsidRDefault="005C49A8">
      <w:pPr>
        <w:pStyle w:val="a3"/>
        <w:divId w:val="1314797297"/>
        <w:rPr>
          <w:sz w:val="18"/>
          <w:szCs w:val="18"/>
        </w:rPr>
      </w:pPr>
      <w:r>
        <w:rPr>
          <w:rFonts w:hint="eastAsia"/>
          <w:sz w:val="18"/>
          <w:szCs w:val="18"/>
        </w:rPr>
        <w:t>其中受限制的货币资金明细如下：</w:t>
      </w:r>
    </w:p>
    <w:p w:rsidR="005C49A8" w:rsidRDefault="00F7271B" w:rsidP="00EA52D0">
      <w:pPr>
        <w:pStyle w:val="a3"/>
        <w:jc w:val="right"/>
        <w:divId w:val="1314797297"/>
        <w:rPr>
          <w:sz w:val="18"/>
          <w:szCs w:val="18"/>
        </w:rPr>
      </w:pPr>
      <w:r>
        <w:rPr>
          <w:rFonts w:hint="eastAsia"/>
          <w:sz w:val="18"/>
          <w:szCs w:val="18"/>
        </w:rPr>
        <w:t>单位：元</w:t>
      </w:r>
    </w:p>
    <w:tbl>
      <w:tblPr>
        <w:tblW w:w="9449" w:type="dxa"/>
        <w:jc w:val="center"/>
        <w:tblInd w:w="-204" w:type="dxa"/>
        <w:tblCellMar>
          <w:left w:w="0" w:type="dxa"/>
          <w:right w:w="0" w:type="dxa"/>
        </w:tblCellMar>
        <w:tblLook w:val="04A0" w:firstRow="1" w:lastRow="0" w:firstColumn="1" w:lastColumn="0" w:noHBand="0" w:noVBand="1"/>
      </w:tblPr>
      <w:tblGrid>
        <w:gridCol w:w="3159"/>
        <w:gridCol w:w="3126"/>
        <w:gridCol w:w="3164"/>
      </w:tblGrid>
      <w:tr w:rsidR="005C49A8" w:rsidTr="0007728F">
        <w:trPr>
          <w:divId w:val="1314797297"/>
          <w:trHeight w:val="342"/>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项目</w:t>
            </w:r>
          </w:p>
        </w:tc>
        <w:tc>
          <w:tcPr>
            <w:tcW w:w="312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期末余额</w:t>
            </w:r>
          </w:p>
        </w:tc>
        <w:tc>
          <w:tcPr>
            <w:tcW w:w="3164"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期初余额</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银行承兑汇票保证金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83,552,058.92</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70,563,188.91</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信用证保证金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12,500,000.00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123,296,500.00</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质押保证金</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2,715,624,328.20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141,921,880.32</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其他使用受限</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2,841,950.00</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81,009.83</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both"/>
              <w:rPr>
                <w:rFonts w:ascii="宋体" w:eastAsia="宋体" w:hAnsi="宋体" w:cs="宋体"/>
                <w:color w:val="000000"/>
                <w:sz w:val="18"/>
                <w:szCs w:val="18"/>
              </w:rPr>
            </w:pPr>
            <w:r>
              <w:rPr>
                <w:rFonts w:hint="eastAsia"/>
                <w:color w:val="000000"/>
                <w:sz w:val="18"/>
                <w:szCs w:val="18"/>
              </w:rPr>
              <w:t>公积金中心托管维修基金账户</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3,506,403.92</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2,480,320.43</w:t>
            </w:r>
          </w:p>
        </w:tc>
      </w:tr>
      <w:tr w:rsidR="005C49A8" w:rsidTr="0007728F">
        <w:trPr>
          <w:divId w:val="1314797297"/>
          <w:trHeight w:val="327"/>
          <w:jc w:val="center"/>
        </w:trPr>
        <w:tc>
          <w:tcPr>
            <w:tcW w:w="3159"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合计</w:t>
            </w:r>
          </w:p>
        </w:tc>
        <w:tc>
          <w:tcPr>
            <w:tcW w:w="312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2,818,024,741.04</w:t>
            </w:r>
          </w:p>
        </w:tc>
        <w:tc>
          <w:tcPr>
            <w:tcW w:w="316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07728F" w:rsidRDefault="005C49A8" w:rsidP="0007728F">
            <w:pPr>
              <w:spacing w:line="0" w:lineRule="atLeast"/>
              <w:jc w:val="right"/>
              <w:rPr>
                <w:rFonts w:ascii="宋体" w:eastAsia="宋体" w:hAnsi="宋体" w:cs="宋体"/>
                <w:sz w:val="18"/>
                <w:szCs w:val="18"/>
              </w:rPr>
            </w:pPr>
            <w:r w:rsidRPr="0007728F">
              <w:rPr>
                <w:rFonts w:ascii="宋体" w:eastAsia="宋体" w:hAnsi="宋体" w:cs="宋体" w:hint="eastAsia"/>
                <w:sz w:val="18"/>
                <w:szCs w:val="18"/>
              </w:rPr>
              <w:t>338,342,899.49</w:t>
            </w:r>
          </w:p>
        </w:tc>
      </w:tr>
    </w:tbl>
    <w:p w:rsidR="005C49A8" w:rsidRDefault="005C49A8">
      <w:pPr>
        <w:divId w:val="1314797297"/>
        <w:rPr>
          <w:sz w:val="24"/>
          <w:szCs w:val="24"/>
        </w:rPr>
      </w:pPr>
    </w:p>
    <w:p w:rsidR="008820E4" w:rsidRDefault="005C49A8">
      <w:pPr>
        <w:pStyle w:val="3"/>
        <w:spacing w:line="280" w:lineRule="exact"/>
        <w:jc w:val="left"/>
        <w:rPr>
          <w:rFonts w:ascii="宋体" w:hAnsi="宋体" w:cs="宋体"/>
          <w:b/>
          <w:bCs/>
        </w:rPr>
      </w:pPr>
      <w:bookmarkStart w:id="79" w:name="_Toc989070"/>
      <w:r>
        <w:rPr>
          <w:rFonts w:ascii="宋体" w:hAnsi="宋体" w:cs="宋体"/>
          <w:b/>
          <w:bCs/>
        </w:rPr>
        <w:lastRenderedPageBreak/>
        <w:t>2、交易性金融资产</w:t>
      </w:r>
      <w:bookmarkEnd w:id="7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货币型基金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101,235,317.35</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7,356,413.17</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63,160,062.90</w:t>
            </w:r>
          </w:p>
        </w:tc>
      </w:tr>
      <w:tr w:rsidR="008820E4" w:rsidTr="0007728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59,442,200.88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231,193,994.30</w:t>
            </w:r>
          </w:p>
        </w:tc>
      </w:tr>
    </w:tbl>
    <w:p w:rsidR="008820E4" w:rsidRDefault="005C49A8">
      <w:pPr>
        <w:pStyle w:val="3"/>
        <w:spacing w:line="280" w:lineRule="exact"/>
        <w:jc w:val="left"/>
        <w:rPr>
          <w:rFonts w:ascii="宋体" w:hAnsi="宋体" w:cs="宋体"/>
          <w:b/>
          <w:bCs/>
        </w:rPr>
      </w:pPr>
      <w:bookmarkStart w:id="80" w:name="_Toc989071"/>
      <w:r>
        <w:rPr>
          <w:rFonts w:ascii="宋体" w:hAnsi="宋体" w:cs="宋体"/>
          <w:b/>
          <w:bCs/>
        </w:rPr>
        <w:t>3、衍生金融资产</w:t>
      </w:r>
      <w:bookmarkEnd w:id="80"/>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07728F">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81" w:name="_Toc989072"/>
      <w:r>
        <w:rPr>
          <w:rFonts w:ascii="宋体" w:hAnsi="宋体" w:cs="宋体"/>
          <w:b/>
          <w:bCs/>
        </w:rPr>
        <w:t>4、应收票据</w:t>
      </w:r>
      <w:bookmarkEnd w:id="81"/>
    </w:p>
    <w:p w:rsidR="008820E4" w:rsidRDefault="005C49A8">
      <w:pPr>
        <w:keepNext/>
        <w:keepLines/>
        <w:spacing w:before="300" w:after="300" w:line="280" w:lineRule="exact"/>
        <w:outlineLvl w:val="3"/>
        <w:rPr>
          <w:rFonts w:ascii="宋体" w:eastAsia="宋体" w:hAnsi="宋体" w:cs="宋体"/>
          <w:b/>
          <w:bCs/>
          <w:szCs w:val="21"/>
        </w:rPr>
      </w:pPr>
      <w:bookmarkStart w:id="82" w:name="_Toc989073"/>
      <w:r>
        <w:rPr>
          <w:rFonts w:ascii="宋体" w:eastAsia="宋体" w:hAnsi="宋体" w:cs="宋体"/>
          <w:b/>
          <w:bCs/>
          <w:szCs w:val="21"/>
        </w:rPr>
        <w:t>（1） 应收票据分类列示</w:t>
      </w:r>
      <w:bookmarkEnd w:id="8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21,046,146.58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8,377,444.36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bl>
    <w:p w:rsidR="008820E4" w:rsidRDefault="005C49A8">
      <w:pPr>
        <w:keepNext/>
        <w:keepLines/>
        <w:spacing w:before="300" w:after="300" w:line="280" w:lineRule="exact"/>
        <w:outlineLvl w:val="3"/>
        <w:rPr>
          <w:rFonts w:ascii="宋体" w:eastAsia="宋体" w:hAnsi="宋体" w:cs="宋体"/>
          <w:b/>
          <w:bCs/>
          <w:szCs w:val="21"/>
        </w:rPr>
      </w:pPr>
      <w:bookmarkStart w:id="83" w:name="_Toc989074"/>
      <w:r>
        <w:rPr>
          <w:rFonts w:ascii="宋体" w:eastAsia="宋体" w:hAnsi="宋体" w:cs="宋体"/>
          <w:b/>
          <w:bCs/>
          <w:szCs w:val="21"/>
        </w:rPr>
        <w:t>（2） 按坏账计提方法分类披露</w:t>
      </w:r>
      <w:bookmarkEnd w:id="8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61,350,358.39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56,611,922.62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其中：银行承兑汇票组合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39,196,519.88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47,793,560.14</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21,046,146.58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8,818,362.48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8,377,444.36</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61,350,358.39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60,242,666.46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56,611,922.62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56,171,004.50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按组合计提坏账准备类别名称：商业承兑汇票组合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07728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22,153,838.51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84" w:name="_Toc989075"/>
      <w:r>
        <w:rPr>
          <w:rFonts w:ascii="宋体" w:eastAsia="宋体" w:hAnsi="宋体" w:cs="宋体"/>
          <w:b/>
          <w:bCs/>
          <w:szCs w:val="21"/>
        </w:rPr>
        <w:t>（3） 本期计提、收回或转回的坏账准备情况</w:t>
      </w:r>
      <w:bookmarkEnd w:id="84"/>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1377" w:type="dxa"/>
            <w:tcBorders>
              <w:top w:val="single" w:sz="2"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7728F">
        <w:trPr>
          <w:trHeight w:val="240"/>
        </w:trPr>
        <w:tc>
          <w:tcPr>
            <w:tcW w:w="1377" w:type="dxa"/>
            <w:tcBorders>
              <w:top w:val="nil"/>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其中：银行承兑汇票组合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07728F">
        <w:trPr>
          <w:trHeight w:val="240"/>
        </w:trPr>
        <w:tc>
          <w:tcPr>
            <w:tcW w:w="1377" w:type="dxa"/>
            <w:tcBorders>
              <w:top w:val="nil"/>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商业承兑汇票组合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440,918.12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1,107,691.93</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85" w:name="_Toc989076"/>
      <w:r>
        <w:rPr>
          <w:rFonts w:ascii="宋体" w:eastAsia="宋体" w:hAnsi="宋体" w:cs="宋体"/>
          <w:b/>
          <w:bCs/>
          <w:szCs w:val="21"/>
        </w:rPr>
        <w:t>（4） 期末公司已质押的应收票据</w:t>
      </w:r>
      <w:bookmarkEnd w:id="8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期末已质押金额</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r>
    </w:tbl>
    <w:p w:rsidR="008820E4" w:rsidRDefault="005C49A8">
      <w:pPr>
        <w:keepNext/>
        <w:keepLines/>
        <w:spacing w:before="300" w:after="300" w:line="280" w:lineRule="exact"/>
        <w:outlineLvl w:val="3"/>
        <w:rPr>
          <w:rFonts w:ascii="宋体" w:eastAsia="宋体" w:hAnsi="宋体" w:cs="宋体"/>
          <w:b/>
          <w:bCs/>
          <w:szCs w:val="21"/>
        </w:rPr>
      </w:pPr>
      <w:bookmarkStart w:id="86" w:name="_Toc989077"/>
      <w:r>
        <w:rPr>
          <w:rFonts w:ascii="宋体" w:eastAsia="宋体" w:hAnsi="宋体" w:cs="宋体"/>
          <w:b/>
          <w:bCs/>
          <w:szCs w:val="21"/>
        </w:rPr>
        <w:t>（5） 期末公司已背书或贴现且在资产负债表日尚未到期的应收票据</w:t>
      </w:r>
      <w:bookmarkEnd w:id="8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期末未终止确认金额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3,156,398,538.37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11,024,885.76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3,167,423,424.13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87" w:name="_Toc989078"/>
      <w:r>
        <w:rPr>
          <w:rFonts w:ascii="宋体" w:eastAsia="宋体" w:hAnsi="宋体" w:cs="宋体"/>
          <w:b/>
          <w:bCs/>
          <w:szCs w:val="21"/>
        </w:rPr>
        <w:t>（6） 本期实际核销的应收票据情况</w:t>
      </w:r>
      <w:bookmarkEnd w:id="87"/>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应收票据核销说明：</w:t>
      </w:r>
      <w:r>
        <w:rPr>
          <w:rFonts w:hint="eastAsia"/>
          <w:sz w:val="18"/>
          <w:szCs w:val="18"/>
        </w:rPr>
        <w:t>无</w:t>
      </w:r>
    </w:p>
    <w:p w:rsidR="008820E4" w:rsidRDefault="005C49A8">
      <w:pPr>
        <w:pStyle w:val="3"/>
        <w:spacing w:line="280" w:lineRule="exact"/>
        <w:jc w:val="left"/>
        <w:rPr>
          <w:rFonts w:ascii="宋体" w:hAnsi="宋体" w:cs="宋体"/>
          <w:b/>
          <w:bCs/>
        </w:rPr>
      </w:pPr>
      <w:bookmarkStart w:id="88" w:name="_Toc989079"/>
      <w:r>
        <w:rPr>
          <w:rFonts w:ascii="宋体" w:hAnsi="宋体" w:cs="宋体"/>
          <w:b/>
          <w:bCs/>
        </w:rPr>
        <w:lastRenderedPageBreak/>
        <w:t>5、应收账款</w:t>
      </w:r>
      <w:bookmarkEnd w:id="88"/>
    </w:p>
    <w:p w:rsidR="008820E4" w:rsidRDefault="005C49A8">
      <w:pPr>
        <w:keepNext/>
        <w:keepLines/>
        <w:spacing w:before="300" w:after="300" w:line="280" w:lineRule="exact"/>
        <w:outlineLvl w:val="3"/>
        <w:rPr>
          <w:rFonts w:ascii="宋体" w:eastAsia="宋体" w:hAnsi="宋体" w:cs="宋体"/>
          <w:b/>
          <w:bCs/>
          <w:szCs w:val="21"/>
        </w:rPr>
      </w:pPr>
      <w:bookmarkStart w:id="89" w:name="_Toc989080"/>
      <w:r>
        <w:rPr>
          <w:rFonts w:ascii="宋体" w:eastAsia="宋体" w:hAnsi="宋体" w:cs="宋体"/>
          <w:b/>
          <w:bCs/>
          <w:szCs w:val="21"/>
        </w:rPr>
        <w:t>（1） 按账龄披露</w:t>
      </w:r>
      <w:bookmarkEnd w:id="89"/>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1,342,340,590.40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1,400,053,367.88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139,107,251.38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1,731,462.05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1,564,988.33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8,073,819.92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7,993,448.12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4,744,511.19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4,723,517.68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214,355.73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252,653.42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3,017,277.02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1,492,720,738.04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1,548,719,055.71</w:t>
            </w:r>
          </w:p>
        </w:tc>
      </w:tr>
    </w:tbl>
    <w:p w:rsidR="008820E4" w:rsidRDefault="005C49A8">
      <w:pPr>
        <w:keepNext/>
        <w:keepLines/>
        <w:spacing w:before="300" w:after="300" w:line="280" w:lineRule="exact"/>
        <w:outlineLvl w:val="3"/>
        <w:rPr>
          <w:rFonts w:ascii="宋体" w:eastAsia="宋体" w:hAnsi="宋体" w:cs="宋体"/>
          <w:b/>
          <w:bCs/>
          <w:szCs w:val="21"/>
        </w:rPr>
      </w:pPr>
      <w:bookmarkStart w:id="90" w:name="_Toc989081"/>
      <w:r>
        <w:rPr>
          <w:rFonts w:ascii="宋体" w:eastAsia="宋体" w:hAnsi="宋体" w:cs="宋体"/>
          <w:b/>
          <w:bCs/>
          <w:szCs w:val="21"/>
        </w:rPr>
        <w:t>（2） 按坏账计提方法分类披露</w:t>
      </w:r>
      <w:bookmarkEnd w:id="9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1,546,148,196.85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07728F">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07728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1,546,148,196.85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1,492,720,738.04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88,464,931.11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1,404,255,806.93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1,548,719,055.71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91,092,979.29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1,457,626,076.42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07728F">
        <w:trPr>
          <w:cantSplit/>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cantSplit/>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07728F">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东莞德永佳纺织制衣有限公司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07728F">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按组合计提坏账准备类别名称：预期信用风险组合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07728F">
        <w:trPr>
          <w:trHeight w:val="240"/>
        </w:trPr>
        <w:tc>
          <w:tcPr>
            <w:tcW w:w="2410"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1,342,340,590.40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67,117,029.52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140,574,865.67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14,057,486.57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1,731,462.05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346,292.41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2,173,652.33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1,086,826.17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r>
      <w:tr w:rsidR="008820E4" w:rsidTr="0007728F">
        <w:trPr>
          <w:trHeight w:val="240"/>
        </w:trPr>
        <w:tc>
          <w:tcPr>
            <w:tcW w:w="2410"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214,355.73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171,484.58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07728F">
        <w:trPr>
          <w:trHeight w:val="240"/>
        </w:trPr>
        <w:tc>
          <w:tcPr>
            <w:tcW w:w="2410"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3,114,953.00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1,490,149,879.18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91" w:name="_Toc989082"/>
      <w:r>
        <w:rPr>
          <w:rFonts w:ascii="宋体" w:eastAsia="宋体" w:hAnsi="宋体" w:cs="宋体"/>
          <w:b/>
          <w:bCs/>
          <w:szCs w:val="21"/>
        </w:rPr>
        <w:t>（3） 本期计提、收回或转回的坏账准备情况</w:t>
      </w:r>
      <w:bookmarkEnd w:id="9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07728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CF103B">
        <w:trPr>
          <w:trHeight w:val="240"/>
        </w:trPr>
        <w:tc>
          <w:tcPr>
            <w:tcW w:w="137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单项计提坏账准备的应收账款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2,570,858.86</w:t>
            </w:r>
          </w:p>
        </w:tc>
      </w:tr>
      <w:tr w:rsidR="008820E4" w:rsidTr="00CF103B">
        <w:trPr>
          <w:trHeight w:val="240"/>
        </w:trPr>
        <w:tc>
          <w:tcPr>
            <w:tcW w:w="1377"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1377"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88,522,120.43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2,216,167.59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-411,880.59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85,894,072.25</w:t>
            </w:r>
          </w:p>
        </w:tc>
      </w:tr>
      <w:tr w:rsidR="008820E4" w:rsidTr="0007728F">
        <w:trPr>
          <w:trHeight w:val="240"/>
        </w:trPr>
        <w:tc>
          <w:tcPr>
            <w:tcW w:w="1377" w:type="dxa"/>
            <w:tcBorders>
              <w:top w:val="nil"/>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91,092,979.29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2,216,167.59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-411,880.59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88,464,931.11</w:t>
            </w:r>
          </w:p>
        </w:tc>
      </w:tr>
    </w:tbl>
    <w:p w:rsidR="005C49A8" w:rsidRPr="0007728F" w:rsidRDefault="005C49A8" w:rsidP="0007728F">
      <w:pPr>
        <w:spacing w:before="100" w:after="100" w:line="240" w:lineRule="exact"/>
      </w:pPr>
      <w:r>
        <w:rPr>
          <w:rFonts w:ascii="宋体" w:eastAsia="宋体" w:hAnsi="宋体" w:cs="宋体"/>
          <w:sz w:val="18"/>
          <w:szCs w:val="18"/>
        </w:rPr>
        <w:t>其中本期坏账准备收回或转回金额重要的：</w:t>
      </w:r>
      <w:r w:rsidR="0007728F">
        <w:t xml:space="preserve"> </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92" w:name="_Toc989083"/>
      <w:r>
        <w:rPr>
          <w:rFonts w:ascii="宋体" w:eastAsia="宋体" w:hAnsi="宋体" w:cs="宋体"/>
          <w:b/>
          <w:bCs/>
          <w:szCs w:val="21"/>
        </w:rPr>
        <w:t>（4） 本期实际核销的应收账款情况</w:t>
      </w:r>
      <w:bookmarkEnd w:id="92"/>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应收账款核销说明：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93" w:name="_Toc989084"/>
      <w:r>
        <w:rPr>
          <w:rFonts w:ascii="宋体" w:eastAsia="宋体" w:hAnsi="宋体" w:cs="宋体"/>
          <w:b/>
          <w:bCs/>
          <w:szCs w:val="21"/>
        </w:rPr>
        <w:t>（5） 按欠款方归集的期末余额前五名的应收账款和合同资产情况</w:t>
      </w:r>
      <w:bookmarkEnd w:id="9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07728F" w:rsidRDefault="0007728F">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07728F">
        <w:trPr>
          <w:cantSplit/>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8820E4" w:rsidTr="0007728F">
        <w:trPr>
          <w:cantSplit/>
          <w:trHeight w:val="240"/>
        </w:trPr>
        <w:tc>
          <w:tcPr>
            <w:tcW w:w="1606"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363,897,083.39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363,897,083.39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18,194,854.17</w:t>
            </w:r>
          </w:p>
        </w:tc>
      </w:tr>
      <w:tr w:rsidR="008820E4" w:rsidTr="0007728F">
        <w:trPr>
          <w:cantSplit/>
          <w:trHeight w:val="240"/>
        </w:trPr>
        <w:tc>
          <w:tcPr>
            <w:tcW w:w="1606"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189,743,700.00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189,743,700.00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9,487,185.00</w:t>
            </w:r>
          </w:p>
        </w:tc>
      </w:tr>
      <w:tr w:rsidR="008820E4" w:rsidTr="0007728F">
        <w:trPr>
          <w:cantSplit/>
          <w:trHeight w:val="240"/>
        </w:trPr>
        <w:tc>
          <w:tcPr>
            <w:tcW w:w="1606"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155,992,228.69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155,992,228.69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7,799,611.43</w:t>
            </w:r>
          </w:p>
        </w:tc>
      </w:tr>
      <w:tr w:rsidR="008820E4" w:rsidTr="0007728F">
        <w:trPr>
          <w:cantSplit/>
          <w:trHeight w:val="240"/>
        </w:trPr>
        <w:tc>
          <w:tcPr>
            <w:tcW w:w="1606"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153,640,377.18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153,640,377.18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7,682,018.86</w:t>
            </w:r>
          </w:p>
        </w:tc>
      </w:tr>
      <w:tr w:rsidR="008820E4" w:rsidTr="0007728F">
        <w:trPr>
          <w:cantSplit/>
          <w:trHeight w:val="240"/>
        </w:trPr>
        <w:tc>
          <w:tcPr>
            <w:tcW w:w="1606"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141,350,502.46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141,350,502.46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7,067,525.12</w:t>
            </w:r>
          </w:p>
        </w:tc>
      </w:tr>
      <w:tr w:rsidR="008820E4" w:rsidTr="0007728F">
        <w:trPr>
          <w:cantSplit/>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1,004,623,891.72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1,004,623,891.72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67.30%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50,231,194.58</w:t>
            </w:r>
          </w:p>
        </w:tc>
      </w:tr>
    </w:tbl>
    <w:p w:rsidR="008820E4" w:rsidRDefault="005C49A8">
      <w:pPr>
        <w:pStyle w:val="3"/>
        <w:spacing w:line="280" w:lineRule="exact"/>
        <w:jc w:val="left"/>
        <w:rPr>
          <w:rFonts w:ascii="宋体" w:hAnsi="宋体" w:cs="宋体"/>
          <w:b/>
          <w:bCs/>
        </w:rPr>
      </w:pPr>
      <w:bookmarkStart w:id="94" w:name="_Toc989085"/>
      <w:r>
        <w:rPr>
          <w:rFonts w:ascii="宋体" w:hAnsi="宋体" w:cs="宋体"/>
          <w:b/>
          <w:bCs/>
        </w:rPr>
        <w:t>6、合同资产</w:t>
      </w:r>
      <w:bookmarkEnd w:id="9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07728F">
        <w:rPr>
          <w:rFonts w:ascii="宋体" w:eastAsia="宋体" w:hAnsi="宋体" w:cs="宋体"/>
          <w:sz w:val="18"/>
          <w:szCs w:val="18"/>
        </w:rPr>
        <w:t>无。</w:t>
      </w:r>
    </w:p>
    <w:p w:rsidR="008820E4" w:rsidRDefault="005C49A8">
      <w:pPr>
        <w:pStyle w:val="3"/>
        <w:spacing w:line="280" w:lineRule="exact"/>
        <w:jc w:val="left"/>
        <w:rPr>
          <w:rFonts w:ascii="宋体" w:hAnsi="宋体" w:cs="宋体"/>
          <w:b/>
          <w:bCs/>
        </w:rPr>
      </w:pPr>
      <w:bookmarkStart w:id="95" w:name="_Toc989091"/>
      <w:r>
        <w:rPr>
          <w:rFonts w:ascii="宋体" w:hAnsi="宋体" w:cs="宋体"/>
          <w:b/>
          <w:bCs/>
        </w:rPr>
        <w:t>7、应收款项融资</w:t>
      </w:r>
      <w:bookmarkEnd w:id="95"/>
    </w:p>
    <w:p w:rsidR="005C49A8" w:rsidRPr="0007728F" w:rsidRDefault="005C49A8" w:rsidP="0007728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96" w:name="_Toc989100"/>
      <w:r>
        <w:rPr>
          <w:rFonts w:ascii="宋体" w:hAnsi="宋体" w:cs="宋体"/>
          <w:b/>
          <w:bCs/>
        </w:rPr>
        <w:t>8、其他应收款</w:t>
      </w:r>
      <w:bookmarkEnd w:id="9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keepNext/>
        <w:keepLines/>
        <w:spacing w:before="300" w:after="300" w:line="280" w:lineRule="exact"/>
        <w:outlineLvl w:val="3"/>
        <w:rPr>
          <w:rFonts w:ascii="宋体" w:eastAsia="宋体" w:hAnsi="宋体" w:cs="宋体"/>
          <w:b/>
          <w:bCs/>
          <w:szCs w:val="21"/>
        </w:rPr>
      </w:pPr>
      <w:bookmarkStart w:id="97" w:name="_Toc989101"/>
      <w:r>
        <w:rPr>
          <w:rFonts w:ascii="宋体" w:eastAsia="宋体" w:hAnsi="宋体" w:cs="宋体"/>
          <w:b/>
          <w:bCs/>
          <w:szCs w:val="21"/>
        </w:rPr>
        <w:t>（1） 应收利息</w:t>
      </w:r>
      <w:bookmarkEnd w:id="97"/>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98" w:name="_Toc989107"/>
      <w:r>
        <w:rPr>
          <w:rFonts w:ascii="宋体" w:eastAsia="宋体" w:hAnsi="宋体" w:cs="宋体"/>
          <w:b/>
          <w:bCs/>
          <w:szCs w:val="21"/>
        </w:rPr>
        <w:t>（2） 应收股利</w:t>
      </w:r>
      <w:bookmarkEnd w:id="98"/>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99" w:name="_Toc989113"/>
      <w:r>
        <w:rPr>
          <w:rFonts w:ascii="宋体" w:eastAsia="宋体" w:hAnsi="宋体" w:cs="宋体"/>
          <w:b/>
          <w:bCs/>
          <w:szCs w:val="21"/>
        </w:rPr>
        <w:t>（3） 其他应收款</w:t>
      </w:r>
      <w:bookmarkEnd w:id="99"/>
    </w:p>
    <w:p w:rsidR="008820E4" w:rsidRDefault="005C49A8">
      <w:pPr>
        <w:keepNext/>
        <w:keepLines/>
        <w:spacing w:before="300" w:after="300" w:line="280" w:lineRule="exact"/>
        <w:outlineLvl w:val="4"/>
        <w:rPr>
          <w:rFonts w:ascii="宋体" w:eastAsia="宋体" w:hAnsi="宋体" w:cs="宋体"/>
          <w:b/>
          <w:bCs/>
          <w:sz w:val="18"/>
          <w:szCs w:val="18"/>
        </w:rPr>
      </w:pPr>
      <w:bookmarkStart w:id="100" w:name="_Toc989114"/>
      <w:r>
        <w:rPr>
          <w:rFonts w:ascii="宋体" w:eastAsia="宋体" w:hAnsi="宋体" w:cs="宋体"/>
          <w:b/>
          <w:bCs/>
          <w:sz w:val="18"/>
          <w:szCs w:val="18"/>
        </w:rPr>
        <w:t>1） 其他应收款按款项性质分类情况</w:t>
      </w:r>
      <w:bookmarkEnd w:id="10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24,276,541.73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23,380,253.38</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13,358,944.67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14,041,045.16</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押金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696,253.54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1,757,631.27</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90,085.47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55,210.49</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员工借款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1,321,259.18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1,702,097.93</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151,241,364.94</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应收出口退税款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827,250.09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788,619.95</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代付款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6,562,354.33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11,905,956.67</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39,434,754.30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62,529,912.20</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固定资产转让款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67,819,479.00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股权转让款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24,070,000.00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30,070,000.00</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16,861,306.87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19,890,780.15</w:t>
            </w:r>
          </w:p>
        </w:tc>
      </w:tr>
      <w:tr w:rsidR="008820E4" w:rsidTr="00F552E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101" w:name="_Toc989115"/>
      <w:r>
        <w:rPr>
          <w:rFonts w:ascii="宋体" w:eastAsia="宋体" w:hAnsi="宋体" w:cs="宋体"/>
          <w:b/>
          <w:bCs/>
          <w:sz w:val="18"/>
          <w:szCs w:val="18"/>
        </w:rPr>
        <w:lastRenderedPageBreak/>
        <w:t>2） 按账龄披露</w:t>
      </w:r>
      <w:bookmarkEnd w:id="101"/>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175,702,282.70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111,357,145.75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40,615,757.04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48,769,192.97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11,874,967.93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36,553,216.50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80,954,349.27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120,683,316.92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11,705,019.28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11,453,643.13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12,014,603.60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12,240,258.51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57,234,726.39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96,989,415.28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309,147,356.94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317,362,872.14</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102" w:name="_Toc989116"/>
      <w:r>
        <w:rPr>
          <w:rFonts w:ascii="宋体" w:eastAsia="宋体" w:hAnsi="宋体" w:cs="宋体"/>
          <w:b/>
          <w:bCs/>
          <w:sz w:val="18"/>
          <w:szCs w:val="18"/>
        </w:rPr>
        <w:t>3） 按坏账计提方法分类披露</w:t>
      </w:r>
      <w:bookmarkEnd w:id="10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282,450,771.20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91.36%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58,848,216.51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291,160,265.41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115,713,866.22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r w:rsidR="008820E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148,724,393.35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52.65%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124,079,748.90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118,060,280.52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32,733,760.29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85,326,520.23</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应收财政款组合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40.30%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79,625,555.70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151,241,364.94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82,980,105.93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54.87%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68,261,259.01</w:t>
            </w:r>
          </w:p>
        </w:tc>
      </w:tr>
      <w:tr w:rsidR="008820E4" w:rsidTr="00F552EF">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21,858,619.95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21,858,619.95</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309,147,356.94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27.67%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223,602,554.69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317,362,872.14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44.72%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175,446,399.19</w:t>
            </w:r>
          </w:p>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宁波欧励实业有限公司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光通天下网络科技股份有限公司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169,485.25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青岛锦晟棉业有限公司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762,314.41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沙雅县雅鑫农业综合开发有限公司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新疆福润盈贸易有限公司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江苏传文化传播有限公司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江阴市传澄电子商务有限公司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10,068,674.97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10,068,674.97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100,726,805.09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5,036,340.25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17,745,757.04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1,774,575.70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9,574,550.15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1,914,910.03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8,699,860.42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4,349,930.21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2,042,661.97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1,634,129.58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9,934,758.68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9,934,758.68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148,724,393.35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按组合计提坏账准备类别名称：应收财政款组合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74,148,227.52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3,707,411.38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2,080,932.53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416,186.51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37,599,967.71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30,079,974.17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113,829,127.76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按组合计提坏账准备类别名称：性质组合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转让博忆股权款（说明1）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19,070,000.00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出口退税</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827,250.09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19,897,250.09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5C49A8" w:rsidRDefault="005C49A8" w:rsidP="00F552EF">
      <w:pPr>
        <w:pStyle w:val="a3"/>
        <w:ind w:firstLineChars="200" w:firstLine="360"/>
        <w:divId w:val="526795570"/>
        <w:rPr>
          <w:sz w:val="18"/>
          <w:szCs w:val="18"/>
        </w:rPr>
      </w:pPr>
      <w:r>
        <w:rPr>
          <w:rFonts w:hint="eastAsia"/>
          <w:sz w:val="18"/>
          <w:szCs w:val="18"/>
        </w:rPr>
        <w:t>说明1：2023年10月24日，子公司浙江阿大互联科技有限公司与许栩光、张晚霞签订股权转让协议，浙江阿大互联科技有限公司以4,578.60万元将持有的浙江博忆纺织科技有限公司51.002%股权转让给许栩光、张晚霞，约定许栩光、张晚霞分两期支付，首期2,290万元于2023年支付，剩余2,288.60万元应于2024年-2029年的6年内支付，同时许栩光、张晚霞以其持有的房产作抵押。</w:t>
      </w:r>
    </w:p>
    <w:p w:rsidR="00EA52D0" w:rsidRDefault="005C49A8">
      <w:pPr>
        <w:spacing w:line="240" w:lineRule="exact"/>
        <w:rPr>
          <w:rFonts w:ascii="宋体" w:eastAsia="宋体" w:hAnsi="宋体" w:cs="宋体"/>
          <w:sz w:val="18"/>
          <w:szCs w:val="18"/>
        </w:rPr>
      </w:pPr>
      <w:r>
        <w:rPr>
          <w:rFonts w:ascii="宋体" w:eastAsia="宋体" w:hAnsi="宋体" w:cs="宋体"/>
          <w:sz w:val="18"/>
          <w:szCs w:val="18"/>
        </w:rPr>
        <w:lastRenderedPageBreak/>
        <w:t>按预期信用损失一般模型计提坏账准备：</w:t>
      </w:r>
    </w:p>
    <w:p w:rsidR="00EA52D0" w:rsidRDefault="005C49A8" w:rsidP="00EA52D0">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EA52D0" w:rsidRPr="00EA52D0" w:rsidTr="00EA52D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合计</w:t>
            </w:r>
          </w:p>
        </w:tc>
      </w:tr>
      <w:tr w:rsidR="00EA52D0" w:rsidRPr="00EA52D0" w:rsidTr="00EA52D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jc w:val="center"/>
              <w:rPr>
                <w:rFonts w:ascii="宋体" w:eastAsia="宋体" w:hAnsi="宋体" w:cs="宋体"/>
                <w:sz w:val="18"/>
                <w:szCs w:val="18"/>
              </w:rPr>
            </w:pPr>
            <w:r w:rsidRPr="00EA52D0">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141,916,472.95</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141,916,472.95</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-26,202,606.73</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26,202,606.73</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21,914,786.08</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21,914,786.08</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7,757,897.32</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7,757,897.32</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49,191,088.89</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21,420,807.07</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70,611,895.96</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83,336.50</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83,336.50</w:t>
            </w:r>
          </w:p>
        </w:tc>
      </w:tr>
      <w:tr w:rsidR="00EA52D0" w:rsidRPr="00EA52D0" w:rsidTr="00EA52D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A52D0" w:rsidRPr="00EA52D0" w:rsidRDefault="00EA52D0" w:rsidP="00EA52D0">
            <w:pPr>
              <w:spacing w:before="40" w:after="40" w:line="240" w:lineRule="exact"/>
              <w:rPr>
                <w:rFonts w:ascii="宋体" w:eastAsia="宋体" w:hAnsi="宋体" w:cs="宋体"/>
                <w:sz w:val="18"/>
                <w:szCs w:val="18"/>
              </w:rPr>
            </w:pPr>
            <w:r w:rsidRPr="00EA52D0">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58,848,216.51</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26,696,585.74</w:t>
            </w:r>
          </w:p>
        </w:tc>
        <w:tc>
          <w:tcPr>
            <w:tcW w:w="1928" w:type="dxa"/>
            <w:tcBorders>
              <w:top w:val="single" w:sz="2" w:space="0" w:color="auto"/>
              <w:left w:val="single" w:sz="2" w:space="0" w:color="auto"/>
              <w:bottom w:val="single" w:sz="2" w:space="0" w:color="auto"/>
              <w:right w:val="single" w:sz="2" w:space="0" w:color="auto"/>
            </w:tcBorders>
            <w:vAlign w:val="center"/>
          </w:tcPr>
          <w:p w:rsidR="00EA52D0" w:rsidRPr="00EA52D0" w:rsidRDefault="00EA52D0" w:rsidP="00EA52D0">
            <w:pPr>
              <w:spacing w:line="240" w:lineRule="exact"/>
              <w:jc w:val="right"/>
              <w:rPr>
                <w:rFonts w:ascii="宋体" w:eastAsia="宋体" w:hAnsi="宋体" w:cs="宋体"/>
                <w:sz w:val="18"/>
                <w:szCs w:val="18"/>
              </w:rPr>
            </w:pPr>
            <w:r w:rsidRPr="00EA52D0">
              <w:rPr>
                <w:rFonts w:ascii="宋体" w:eastAsia="宋体" w:hAnsi="宋体" w:cs="宋体"/>
                <w:sz w:val="18"/>
                <w:szCs w:val="18"/>
              </w:rPr>
              <w:t>85,544,802.25</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各阶段划分依据和坏账准备计提比例</w:t>
      </w:r>
      <w:r w:rsidR="00F552EF">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103" w:name="_Toc989117"/>
      <w:r>
        <w:rPr>
          <w:rFonts w:ascii="宋体" w:eastAsia="宋体" w:hAnsi="宋体" w:cs="宋体"/>
          <w:b/>
          <w:bCs/>
          <w:sz w:val="18"/>
          <w:szCs w:val="18"/>
        </w:rPr>
        <w:t>4） 本期计提、收回或转回的坏账准备情况</w:t>
      </w:r>
      <w:bookmarkEnd w:id="103"/>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F552EF">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单项计提预期信用损失的其他应收款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26,202,606.73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26,696,585.74</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按组合计提预期信用损失的其他应收款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其中：预期信用风险组合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32,733,760.29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8,172,452.34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24,644,644.45</w:t>
            </w:r>
          </w:p>
        </w:tc>
      </w:tr>
      <w:tr w:rsidR="008820E4" w:rsidTr="00F552E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应收财政款组合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82,980,105.93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414,555.02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49,191,088.89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34,203,572.06</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141,916,472.95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22,329,341.10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8,172,452.34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85,544,802.25</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其中本期坏账准备转回或收回金额重要的：</w:t>
      </w: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104" w:name="_Toc989118"/>
      <w:r>
        <w:rPr>
          <w:rFonts w:ascii="宋体" w:eastAsia="宋体" w:hAnsi="宋体" w:cs="宋体"/>
          <w:b/>
          <w:bCs/>
          <w:sz w:val="18"/>
          <w:szCs w:val="18"/>
        </w:rPr>
        <w:t>5） 本期实际核销的其他应收款情况</w:t>
      </w:r>
      <w:bookmarkEnd w:id="10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F552E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核销金额</w:t>
            </w:r>
          </w:p>
        </w:tc>
      </w:tr>
      <w:tr w:rsidR="008820E4" w:rsidTr="00F552E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其中重要的其他应收款核销情况：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其他应收款性质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款项是否由关联交易产生</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新疆生产建设兵团第六师财政局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贷款贴息</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17,034,739.77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新疆生产建设兵团第六师财政局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使用新疆棉补贴</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8,173,394.02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阿克苏纺织工业城（开发区）财政局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增值税返还</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4,592,600.00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确定无法收回的政府补助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增值税返还</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5,284,000.99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使用新疆棉补贴</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7,888,494.25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石河子市财政局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贷款贴息</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6,217,859.86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5年以上且提足坏账准备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宁波欧励实业有限公司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21,420,807.07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确定无法收回</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财经中心核实批准核销</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70,611,895.96</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其他应收款核销说明：</w:t>
      </w: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105" w:name="_Toc989119"/>
      <w:r>
        <w:rPr>
          <w:rFonts w:ascii="宋体" w:eastAsia="宋体" w:hAnsi="宋体" w:cs="宋体"/>
          <w:b/>
          <w:bCs/>
          <w:sz w:val="18"/>
          <w:szCs w:val="18"/>
        </w:rPr>
        <w:t>6） 按欠款方归集的期末余额前五名的其他应收款情况</w:t>
      </w:r>
      <w:bookmarkEnd w:id="10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坏账准备期末余额</w:t>
            </w:r>
          </w:p>
        </w:tc>
      </w:tr>
      <w:tr w:rsidR="00F552EF" w:rsidTr="00F552EF">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47,342,955.45</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15.31%</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2,367,147.77</w:t>
            </w:r>
          </w:p>
        </w:tc>
      </w:tr>
      <w:tr w:rsidR="00F552EF" w:rsidTr="00F552EF">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2,080,932.53</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0.67%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416,186.51</w:t>
            </w:r>
          </w:p>
        </w:tc>
      </w:tr>
      <w:tr w:rsidR="00F552EF" w:rsidTr="00F552EF">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37,360,604.62</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12.09%</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29,888,483.70</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固定资产转让款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67,819,479.00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3,390,973.95</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股权转让款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19,070,000.00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13,612,963.00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680,648.15</w:t>
            </w:r>
          </w:p>
        </w:tc>
      </w:tr>
      <w:tr w:rsidR="00F552EF" w:rsidTr="0029457D">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1,129,444.45</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1,129,444.45</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1,016,666.66</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0.33%</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1,016,666.66</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9,700,000.00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3.14%</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F552EF" w:rsidTr="0029457D">
        <w:trPr>
          <w:trHeight w:val="240"/>
        </w:trPr>
        <w:tc>
          <w:tcPr>
            <w:tcW w:w="1606" w:type="dxa"/>
            <w:vMerge/>
            <w:tcBorders>
              <w:left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1,113,400.00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0.36%</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1,113,400.00</w:t>
            </w:r>
          </w:p>
        </w:tc>
      </w:tr>
      <w:tr w:rsidR="00F552EF" w:rsidTr="0029457D">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F552EF" w:rsidRDefault="00F552EF">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8,955,274.97</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2.90%</w:t>
            </w:r>
          </w:p>
        </w:tc>
        <w:tc>
          <w:tcPr>
            <w:tcW w:w="1607" w:type="dxa"/>
            <w:tcBorders>
              <w:top w:val="single" w:sz="2" w:space="0" w:color="auto"/>
              <w:left w:val="single" w:sz="2" w:space="0" w:color="auto"/>
              <w:bottom w:val="single" w:sz="2" w:space="0" w:color="auto"/>
              <w:right w:val="single" w:sz="2" w:space="0" w:color="auto"/>
            </w:tcBorders>
            <w:vAlign w:val="center"/>
          </w:tcPr>
          <w:p w:rsidR="00F552EF" w:rsidRDefault="00F552EF">
            <w:pPr>
              <w:spacing w:line="0" w:lineRule="atLeast"/>
              <w:jc w:val="right"/>
              <w:rPr>
                <w:rFonts w:ascii="宋体" w:eastAsia="宋体" w:hAnsi="宋体" w:cs="宋体"/>
                <w:sz w:val="18"/>
                <w:szCs w:val="18"/>
              </w:rPr>
            </w:pPr>
            <w:r>
              <w:rPr>
                <w:rFonts w:ascii="宋体" w:eastAsia="宋体" w:hAnsi="宋体" w:cs="宋体"/>
                <w:sz w:val="18"/>
                <w:szCs w:val="18"/>
              </w:rPr>
              <w:t>8,955,274.97</w:t>
            </w:r>
          </w:p>
        </w:tc>
      </w:tr>
      <w:tr w:rsidR="008820E4" w:rsidTr="00F552EF">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209,201,720.68</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58,658,226.16</w:t>
            </w:r>
          </w:p>
        </w:tc>
      </w:tr>
    </w:tbl>
    <w:p w:rsidR="008820E4" w:rsidRDefault="005C49A8">
      <w:pPr>
        <w:keepNext/>
        <w:keepLines/>
        <w:spacing w:before="300" w:after="300" w:line="280" w:lineRule="exact"/>
        <w:outlineLvl w:val="4"/>
        <w:rPr>
          <w:rFonts w:ascii="宋体" w:eastAsia="宋体" w:hAnsi="宋体" w:cs="宋体"/>
          <w:b/>
          <w:bCs/>
          <w:szCs w:val="21"/>
        </w:rPr>
      </w:pPr>
      <w:bookmarkStart w:id="106" w:name="_Toc989120"/>
      <w:r>
        <w:rPr>
          <w:rFonts w:ascii="宋体" w:eastAsia="宋体" w:hAnsi="宋体" w:cs="宋体"/>
          <w:b/>
          <w:bCs/>
          <w:szCs w:val="21"/>
        </w:rPr>
        <w:t>7） 因资金集中管理而列报于其他应收款</w:t>
      </w:r>
      <w:bookmarkEnd w:id="106"/>
    </w:p>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07" w:name="_Toc989121"/>
      <w:r>
        <w:rPr>
          <w:rFonts w:ascii="宋体" w:hAnsi="宋体" w:cs="宋体"/>
          <w:b/>
          <w:bCs/>
        </w:rPr>
        <w:t>9、预付款项</w:t>
      </w:r>
      <w:bookmarkEnd w:id="107"/>
    </w:p>
    <w:p w:rsidR="008820E4" w:rsidRDefault="005C49A8">
      <w:pPr>
        <w:keepNext/>
        <w:keepLines/>
        <w:spacing w:before="300" w:after="300" w:line="280" w:lineRule="exact"/>
        <w:outlineLvl w:val="3"/>
        <w:rPr>
          <w:rFonts w:ascii="宋体" w:eastAsia="宋体" w:hAnsi="宋体" w:cs="宋体"/>
          <w:b/>
          <w:bCs/>
          <w:szCs w:val="21"/>
        </w:rPr>
      </w:pPr>
      <w:bookmarkStart w:id="108" w:name="_Toc989122"/>
      <w:r>
        <w:rPr>
          <w:rFonts w:ascii="宋体" w:eastAsia="宋体" w:hAnsi="宋体" w:cs="宋体"/>
          <w:b/>
          <w:bCs/>
          <w:szCs w:val="21"/>
        </w:rPr>
        <w:t>（1） 预付款项按账龄列示</w:t>
      </w:r>
      <w:bookmarkEnd w:id="10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F552EF">
        <w:trPr>
          <w:trHeight w:val="240"/>
          <w:jc w:val="center"/>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F552EF">
        <w:trPr>
          <w:trHeight w:val="240"/>
          <w:jc w:val="center"/>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990,784,817.91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786,963,582.97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98.82%</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2,784,052.27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0.28%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6,934,112.74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0.87%</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2至3年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426,039.64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2,193,999.96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0.28%</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615,084.94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271,483.80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0.03%</w:t>
            </w:r>
          </w:p>
        </w:tc>
      </w:tr>
      <w:tr w:rsidR="008820E4" w:rsidTr="00F552EF">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994,609,994.76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796,363,179.47</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r>
        <w:rPr>
          <w:rFonts w:hint="eastAsia"/>
          <w:sz w:val="18"/>
          <w:szCs w:val="18"/>
        </w:rPr>
        <w:t>无</w:t>
      </w:r>
    </w:p>
    <w:p w:rsidR="00EA52D0" w:rsidRDefault="005C49A8">
      <w:pPr>
        <w:keepNext/>
        <w:keepLines/>
        <w:spacing w:before="300" w:after="300" w:line="280" w:lineRule="exact"/>
        <w:outlineLvl w:val="3"/>
        <w:rPr>
          <w:rFonts w:ascii="宋体" w:eastAsia="宋体" w:hAnsi="宋体" w:cs="宋体"/>
          <w:b/>
          <w:bCs/>
          <w:szCs w:val="21"/>
        </w:rPr>
      </w:pPr>
      <w:bookmarkStart w:id="109" w:name="_Toc989123"/>
      <w:r>
        <w:rPr>
          <w:rFonts w:ascii="宋体" w:eastAsia="宋体" w:hAnsi="宋体" w:cs="宋体"/>
          <w:b/>
          <w:bCs/>
          <w:szCs w:val="21"/>
        </w:rPr>
        <w:t>（2） 按预付对象归集的期末余额前五名的预付款情况</w:t>
      </w:r>
      <w:bookmarkEnd w:id="109"/>
    </w:p>
    <w:p w:rsidR="00EA52D0" w:rsidRPr="00EA52D0" w:rsidRDefault="00EA52D0" w:rsidP="00EA52D0">
      <w:pPr>
        <w:spacing w:before="100" w:after="100" w:line="240" w:lineRule="exact"/>
        <w:jc w:val="right"/>
        <w:rPr>
          <w:rFonts w:ascii="宋体" w:eastAsia="宋体" w:hAnsi="宋体" w:cs="宋体"/>
          <w:sz w:val="18"/>
          <w:szCs w:val="18"/>
        </w:rPr>
      </w:pPr>
      <w:r w:rsidRPr="00EA52D0">
        <w:rPr>
          <w:rFonts w:ascii="宋体" w:eastAsia="宋体" w:hAnsi="宋体" w:cs="宋体"/>
          <w:sz w:val="18"/>
          <w:szCs w:val="18"/>
        </w:rPr>
        <w:t>单位：元</w:t>
      </w:r>
    </w:p>
    <w:tbl>
      <w:tblPr>
        <w:tblW w:w="9599" w:type="dxa"/>
        <w:jc w:val="center"/>
        <w:tblInd w:w="509" w:type="dxa"/>
        <w:tblCellMar>
          <w:left w:w="0" w:type="dxa"/>
          <w:right w:w="0" w:type="dxa"/>
        </w:tblCellMar>
        <w:tblLook w:val="04A0" w:firstRow="1" w:lastRow="0" w:firstColumn="1" w:lastColumn="0" w:noHBand="0" w:noVBand="1"/>
      </w:tblPr>
      <w:tblGrid>
        <w:gridCol w:w="2164"/>
        <w:gridCol w:w="1972"/>
        <w:gridCol w:w="1971"/>
        <w:gridCol w:w="1972"/>
        <w:gridCol w:w="1520"/>
      </w:tblGrid>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单位名称</w:t>
            </w:r>
          </w:p>
        </w:tc>
        <w:tc>
          <w:tcPr>
            <w:tcW w:w="1972"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期末余额</w:t>
            </w:r>
          </w:p>
        </w:tc>
        <w:tc>
          <w:tcPr>
            <w:tcW w:w="1971"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占预付账款期末余额的比例(%)</w:t>
            </w:r>
          </w:p>
        </w:tc>
        <w:tc>
          <w:tcPr>
            <w:tcW w:w="1972"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账龄</w:t>
            </w:r>
          </w:p>
        </w:tc>
        <w:tc>
          <w:tcPr>
            <w:tcW w:w="1520" w:type="dxa"/>
            <w:tcBorders>
              <w:top w:val="single" w:sz="8" w:space="0" w:color="auto"/>
              <w:left w:val="nil"/>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未结算原因</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第一名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92,170,000.00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9.27</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第二名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90,000,000.00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9.05</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第三名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85,920,000.00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8.64</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第四名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74,972,100.80</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7.54</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hint="eastAsia"/>
                <w:sz w:val="18"/>
                <w:szCs w:val="18"/>
              </w:rPr>
              <w:t>第五名</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65,265,527.77</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6.56</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1年以内</w:t>
            </w:r>
          </w:p>
        </w:tc>
        <w:tc>
          <w:tcPr>
            <w:tcW w:w="1520"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合同未执行完毕</w:t>
            </w:r>
          </w:p>
        </w:tc>
      </w:tr>
      <w:tr w:rsidR="005C49A8" w:rsidTr="00F552EF">
        <w:trPr>
          <w:divId w:val="1670525227"/>
          <w:trHeight w:val="20"/>
          <w:jc w:val="center"/>
        </w:trPr>
        <w:tc>
          <w:tcPr>
            <w:tcW w:w="2164"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5C49A8" w:rsidRPr="00F552EF" w:rsidRDefault="005C49A8">
            <w:pPr>
              <w:jc w:val="center"/>
              <w:rPr>
                <w:rFonts w:asciiTheme="minorEastAsia" w:hAnsiTheme="minorEastAsia" w:cs="宋体"/>
                <w:sz w:val="18"/>
                <w:szCs w:val="18"/>
              </w:rPr>
            </w:pPr>
            <w:r w:rsidRPr="00F552EF">
              <w:rPr>
                <w:rFonts w:asciiTheme="minorEastAsia" w:hAnsiTheme="minorEastAsia" w:hint="eastAsia"/>
                <w:sz w:val="18"/>
                <w:szCs w:val="18"/>
              </w:rPr>
              <w:t>合计</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408,327,628.57</w:t>
            </w:r>
          </w:p>
        </w:tc>
        <w:tc>
          <w:tcPr>
            <w:tcW w:w="1971" w:type="dxa"/>
            <w:tcBorders>
              <w:top w:val="nil"/>
              <w:left w:val="nil"/>
              <w:bottom w:val="single" w:sz="8" w:space="0" w:color="auto"/>
              <w:right w:val="single" w:sz="8" w:space="0" w:color="auto"/>
            </w:tcBorders>
            <w:vAlign w:val="center"/>
            <w:hideMark/>
          </w:tcPr>
          <w:p w:rsidR="005C49A8" w:rsidRPr="00F552EF" w:rsidRDefault="005C49A8">
            <w:pPr>
              <w:jc w:val="right"/>
              <w:rPr>
                <w:rFonts w:asciiTheme="minorEastAsia" w:hAnsiTheme="minorEastAsia" w:cs="宋体"/>
                <w:sz w:val="18"/>
                <w:szCs w:val="18"/>
              </w:rPr>
            </w:pPr>
            <w:r w:rsidRPr="00F552EF">
              <w:rPr>
                <w:rFonts w:asciiTheme="minorEastAsia" w:hAnsiTheme="minorEastAsia"/>
                <w:sz w:val="18"/>
                <w:szCs w:val="18"/>
              </w:rPr>
              <w:t>41.05</w:t>
            </w:r>
          </w:p>
        </w:tc>
        <w:tc>
          <w:tcPr>
            <w:tcW w:w="1972" w:type="dxa"/>
            <w:tcBorders>
              <w:top w:val="nil"/>
              <w:left w:val="nil"/>
              <w:bottom w:val="single" w:sz="8" w:space="0" w:color="auto"/>
              <w:right w:val="single" w:sz="8" w:space="0" w:color="auto"/>
            </w:tcBorders>
            <w:vAlign w:val="center"/>
            <w:hideMark/>
          </w:tcPr>
          <w:p w:rsidR="005C49A8" w:rsidRPr="00F552EF" w:rsidRDefault="005C49A8">
            <w:pPr>
              <w:jc w:val="both"/>
              <w:rPr>
                <w:rFonts w:asciiTheme="minorEastAsia" w:hAnsiTheme="minorEastAsia" w:cs="宋体"/>
                <w:sz w:val="18"/>
                <w:szCs w:val="18"/>
              </w:rPr>
            </w:pPr>
            <w:r w:rsidRPr="00F552EF">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noWrap/>
            <w:vAlign w:val="center"/>
            <w:hideMark/>
          </w:tcPr>
          <w:p w:rsidR="005C49A8" w:rsidRPr="00F552EF" w:rsidRDefault="005C49A8">
            <w:pPr>
              <w:jc w:val="both"/>
              <w:rPr>
                <w:rFonts w:asciiTheme="minorEastAsia" w:hAnsiTheme="minorEastAsia" w:cs="宋体"/>
                <w:sz w:val="22"/>
              </w:rPr>
            </w:pPr>
            <w:r w:rsidRPr="00F552EF">
              <w:rPr>
                <w:rFonts w:asciiTheme="minorEastAsia" w:hAnsiTheme="minorEastAsia"/>
                <w:sz w:val="22"/>
              </w:rPr>
              <w:t xml:space="preserve">　</w:t>
            </w:r>
          </w:p>
        </w:tc>
      </w:tr>
    </w:tbl>
    <w:p w:rsidR="005C49A8" w:rsidRPr="00F552EF" w:rsidRDefault="005C49A8" w:rsidP="00F552EF">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10" w:name="_Toc989124"/>
      <w:r>
        <w:rPr>
          <w:rFonts w:ascii="宋体" w:hAnsi="宋体" w:cs="宋体"/>
          <w:b/>
          <w:bCs/>
        </w:rPr>
        <w:t>10、存货</w:t>
      </w:r>
      <w:bookmarkEnd w:id="110"/>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否</w:t>
      </w:r>
    </w:p>
    <w:p w:rsidR="008820E4" w:rsidRDefault="005C49A8">
      <w:pPr>
        <w:keepNext/>
        <w:keepLines/>
        <w:spacing w:before="300" w:after="300" w:line="280" w:lineRule="exact"/>
        <w:outlineLvl w:val="3"/>
        <w:rPr>
          <w:rFonts w:ascii="宋体" w:eastAsia="宋体" w:hAnsi="宋体" w:cs="宋体"/>
          <w:b/>
          <w:bCs/>
          <w:szCs w:val="21"/>
        </w:rPr>
      </w:pPr>
      <w:bookmarkStart w:id="111" w:name="_Toc989125"/>
      <w:r>
        <w:rPr>
          <w:rFonts w:ascii="宋体" w:eastAsia="宋体" w:hAnsi="宋体" w:cs="宋体"/>
          <w:b/>
          <w:bCs/>
          <w:szCs w:val="21"/>
        </w:rPr>
        <w:t>（1） 存货分类</w:t>
      </w:r>
      <w:bookmarkEnd w:id="11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1,901,930,252.66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4,196,638.88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1,897,733,613.78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2,705,612,661.75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5,738,451.24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2,699,874,210.51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205,376,669.92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4,547,032.76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200,829,637.16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146,343,834.95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4,868,046.91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141,475,788.04</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1,581,541,058.84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72,046,307.14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1,509,494,751.70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1,488,174,468.49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75,380,632.68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1,412,793,835.81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17,299,797.40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17,299,797.40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6,686,765.80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6,686,765.80</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99,729,909.21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99,729,909.21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305,675,692.91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305,675,692.91</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委托加工物资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456,885.19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456,885.19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430,190.78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430,190.78</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自制半成品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182,209,081.90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182,209,081.90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195,038,238.31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195,038,238.31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3,988,543,655.12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80,789,978.78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3,907,753,676.34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4,847,961,852.99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85,987,130.83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4,761,974,722.16</w:t>
            </w:r>
          </w:p>
        </w:tc>
      </w:tr>
    </w:tbl>
    <w:p w:rsidR="008820E4" w:rsidRDefault="005C49A8">
      <w:pPr>
        <w:keepNext/>
        <w:keepLines/>
        <w:spacing w:before="300" w:after="300" w:line="280" w:lineRule="exact"/>
        <w:outlineLvl w:val="3"/>
        <w:rPr>
          <w:rFonts w:ascii="宋体" w:eastAsia="宋体" w:hAnsi="宋体" w:cs="宋体"/>
          <w:b/>
          <w:bCs/>
          <w:szCs w:val="21"/>
        </w:rPr>
      </w:pPr>
      <w:bookmarkStart w:id="112" w:name="_Toc989126"/>
      <w:r>
        <w:rPr>
          <w:rFonts w:ascii="宋体" w:eastAsia="宋体" w:hAnsi="宋体" w:cs="宋体"/>
          <w:b/>
          <w:bCs/>
          <w:szCs w:val="21"/>
        </w:rPr>
        <w:t>（2） 确认为存货的数据资源</w:t>
      </w:r>
      <w:bookmarkEnd w:id="112"/>
    </w:p>
    <w:p w:rsidR="005C49A8" w:rsidRDefault="005C49A8">
      <w:pPr>
        <w:pStyle w:val="a3"/>
        <w:divId w:val="667515715"/>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13" w:name="_Toc989127"/>
      <w:r>
        <w:rPr>
          <w:rFonts w:ascii="宋体" w:eastAsia="宋体" w:hAnsi="宋体" w:cs="宋体"/>
          <w:b/>
          <w:bCs/>
          <w:szCs w:val="21"/>
        </w:rPr>
        <w:lastRenderedPageBreak/>
        <w:t>（3） 存货跌价准备和合同履约成本减值准备</w:t>
      </w:r>
      <w:bookmarkEnd w:id="11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29457D">
        <w:trPr>
          <w:cantSplit/>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29457D">
        <w:trPr>
          <w:cantSplit/>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5,738,451.24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1,541,812.36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4,196,638.88</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4,868,046.91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321,014.15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4,547,032.76</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75,380,632.68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2,002,471.62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5,336,797.16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72,046,307.14</w:t>
            </w:r>
          </w:p>
        </w:tc>
      </w:tr>
      <w:tr w:rsidR="008820E4" w:rsidTr="0029457D">
        <w:trPr>
          <w:cantSplit/>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85,987,130.83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2,002,471.62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7,199,623.67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80,789,978.78</w:t>
            </w:r>
          </w:p>
        </w:tc>
      </w:tr>
    </w:tbl>
    <w:p w:rsidR="008820E4" w:rsidRDefault="005C49A8">
      <w:pPr>
        <w:keepNext/>
        <w:keepLines/>
        <w:spacing w:before="300" w:after="300" w:line="280" w:lineRule="exact"/>
        <w:outlineLvl w:val="3"/>
        <w:rPr>
          <w:rFonts w:ascii="宋体" w:eastAsia="宋体" w:hAnsi="宋体" w:cs="宋体"/>
          <w:b/>
          <w:bCs/>
          <w:szCs w:val="21"/>
        </w:rPr>
      </w:pPr>
      <w:bookmarkStart w:id="114" w:name="_Toc989128"/>
      <w:r>
        <w:rPr>
          <w:rFonts w:ascii="宋体" w:eastAsia="宋体" w:hAnsi="宋体" w:cs="宋体"/>
          <w:b/>
          <w:bCs/>
          <w:szCs w:val="21"/>
        </w:rPr>
        <w:t>（4） 存货期末余额含有借款费用资本化金额的说明</w:t>
      </w:r>
      <w:bookmarkEnd w:id="114"/>
    </w:p>
    <w:p w:rsidR="005C49A8" w:rsidRDefault="005C49A8">
      <w:pPr>
        <w:pStyle w:val="a3"/>
        <w:divId w:val="168324334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15" w:name="_Toc989129"/>
      <w:r>
        <w:rPr>
          <w:rFonts w:ascii="宋体" w:eastAsia="宋体" w:hAnsi="宋体" w:cs="宋体"/>
          <w:b/>
          <w:bCs/>
          <w:szCs w:val="21"/>
        </w:rPr>
        <w:t>（5） 合同履约成本本期摊销金额的说明</w:t>
      </w:r>
      <w:bookmarkEnd w:id="115"/>
    </w:p>
    <w:p w:rsidR="005C49A8" w:rsidRDefault="005C49A8">
      <w:pPr>
        <w:pStyle w:val="a3"/>
        <w:divId w:val="211998882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16" w:name="_Toc989130"/>
      <w:r>
        <w:rPr>
          <w:rFonts w:ascii="宋体" w:hAnsi="宋体" w:cs="宋体"/>
          <w:b/>
          <w:bCs/>
        </w:rPr>
        <w:t>11、持有待售资产</w:t>
      </w:r>
      <w:bookmarkEnd w:id="116"/>
    </w:p>
    <w:p w:rsidR="005C49A8" w:rsidRDefault="005C49A8">
      <w:pPr>
        <w:pStyle w:val="a3"/>
        <w:divId w:val="10944526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17" w:name="_Toc989131"/>
      <w:r>
        <w:rPr>
          <w:rFonts w:ascii="宋体" w:hAnsi="宋体" w:cs="宋体"/>
          <w:b/>
          <w:bCs/>
        </w:rPr>
        <w:t>12、一年内到期的非流动资产</w:t>
      </w:r>
      <w:bookmarkEnd w:id="11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r>
    </w:tbl>
    <w:p w:rsidR="008820E4" w:rsidRDefault="005C49A8">
      <w:pPr>
        <w:keepNext/>
        <w:keepLines/>
        <w:spacing w:before="300" w:after="300" w:line="280" w:lineRule="exact"/>
        <w:outlineLvl w:val="3"/>
        <w:rPr>
          <w:rFonts w:ascii="宋体" w:eastAsia="宋体" w:hAnsi="宋体" w:cs="宋体"/>
          <w:b/>
          <w:bCs/>
          <w:szCs w:val="21"/>
        </w:rPr>
      </w:pPr>
      <w:bookmarkStart w:id="118" w:name="_Toc989132"/>
      <w:r>
        <w:rPr>
          <w:rFonts w:ascii="宋体" w:eastAsia="宋体" w:hAnsi="宋体" w:cs="宋体"/>
          <w:b/>
          <w:bCs/>
          <w:szCs w:val="21"/>
        </w:rPr>
        <w:t>（1） 一年内到期的债权投资</w:t>
      </w:r>
      <w:bookmarkEnd w:id="11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19" w:name="_Toc989133"/>
      <w:r>
        <w:rPr>
          <w:rFonts w:ascii="宋体" w:eastAsia="宋体" w:hAnsi="宋体" w:cs="宋体"/>
          <w:b/>
          <w:bCs/>
          <w:szCs w:val="21"/>
        </w:rPr>
        <w:t>（2） 一年内到期的其他债权投资</w:t>
      </w:r>
      <w:bookmarkEnd w:id="11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120" w:name="_Toc989134"/>
      <w:r>
        <w:rPr>
          <w:rFonts w:ascii="宋体" w:hAnsi="宋体" w:cs="宋体"/>
          <w:b/>
          <w:bCs/>
        </w:rPr>
        <w:t>13、其他流动资产</w:t>
      </w:r>
      <w:bookmarkEnd w:id="12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增值税留抵扣额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265,005,791.06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185,034,897.34</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以抵销后净额列示的所得税预缴税额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2,488,716.24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8,491,460.74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267,494,507.30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193,526,358.08</w:t>
            </w: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21" w:name="_Toc989135"/>
      <w:r>
        <w:rPr>
          <w:rFonts w:ascii="宋体" w:hAnsi="宋体" w:cs="宋体"/>
          <w:b/>
          <w:bCs/>
        </w:rPr>
        <w:lastRenderedPageBreak/>
        <w:t>14、债权投资</w:t>
      </w:r>
      <w:bookmarkEnd w:id="121"/>
    </w:p>
    <w:p w:rsidR="005C49A8" w:rsidRDefault="005C49A8">
      <w:pPr>
        <w:pStyle w:val="a3"/>
        <w:divId w:val="128472999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22" w:name="_Toc989140"/>
      <w:r>
        <w:rPr>
          <w:rFonts w:ascii="宋体" w:hAnsi="宋体" w:cs="宋体"/>
          <w:b/>
          <w:bCs/>
        </w:rPr>
        <w:t>15、其他债权投资</w:t>
      </w:r>
      <w:bookmarkEnd w:id="122"/>
    </w:p>
    <w:p w:rsidR="005C49A8" w:rsidRDefault="005C49A8">
      <w:pPr>
        <w:pStyle w:val="a3"/>
        <w:divId w:val="16359379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23" w:name="_Toc989145"/>
      <w:r>
        <w:rPr>
          <w:rFonts w:ascii="宋体" w:hAnsi="宋体" w:cs="宋体"/>
          <w:b/>
          <w:bCs/>
        </w:rPr>
        <w:t>16、其他权益工具投资</w:t>
      </w:r>
      <w:bookmarkEnd w:id="12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rsidTr="0029457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r>
      <w:tr w:rsidR="008820E4" w:rsidTr="00CF103B">
        <w:trPr>
          <w:trHeight w:val="240"/>
        </w:trPr>
        <w:tc>
          <w:tcPr>
            <w:tcW w:w="107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浙江八达股份有限公司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石河子国民村镇银行有限责任公司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8"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杭州英涉时装有限公司</w:t>
            </w:r>
          </w:p>
        </w:tc>
        <w:tc>
          <w:tcPr>
            <w:tcW w:w="1071" w:type="dxa"/>
            <w:tcBorders>
              <w:top w:val="single" w:sz="2" w:space="0" w:color="auto"/>
              <w:left w:val="single" w:sz="8"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8"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徽商银行股份有限公司</w:t>
            </w:r>
          </w:p>
        </w:tc>
        <w:tc>
          <w:tcPr>
            <w:tcW w:w="1071" w:type="dxa"/>
            <w:tcBorders>
              <w:top w:val="single" w:sz="2" w:space="0" w:color="auto"/>
              <w:left w:val="single" w:sz="8"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58,313,147.94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89,742,490.87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广州思立德供应链管理有限公司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CF103B">
        <w:trPr>
          <w:trHeight w:val="240"/>
        </w:trPr>
        <w:tc>
          <w:tcPr>
            <w:tcW w:w="1071"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共青城龙芯创零创业投资基金合伙企业（有限合伙）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81,709,147.94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31,429,342.93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113,138,490.87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分项披露本期非交易性权益工具投资</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其他综合收益转入留存收益的原因</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徽商银行股份有限公司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12,441,123.73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“三无”投资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1684937353"/>
        <w:rPr>
          <w:sz w:val="18"/>
          <w:szCs w:val="18"/>
        </w:rPr>
      </w:pPr>
      <w:r>
        <w:rPr>
          <w:rFonts w:hint="eastAsia"/>
          <w:sz w:val="18"/>
          <w:szCs w:val="18"/>
        </w:rPr>
        <w:lastRenderedPageBreak/>
        <w:t>（1）徽商银行(03698，HK)于2013年11月12日在香港联交所挂牌交易，本公司所持有徽商银行股份有限公司的投资拟长期持有，以资产负债表日收盘计算公允价值，公允价值变动计入其他综合收益。</w:t>
      </w:r>
    </w:p>
    <w:p w:rsidR="005C49A8" w:rsidRDefault="005C49A8">
      <w:pPr>
        <w:pStyle w:val="a3"/>
        <w:divId w:val="1684937353"/>
        <w:rPr>
          <w:sz w:val="18"/>
          <w:szCs w:val="18"/>
        </w:rPr>
      </w:pPr>
      <w:r>
        <w:rPr>
          <w:rFonts w:hint="eastAsia"/>
          <w:sz w:val="18"/>
          <w:szCs w:val="18"/>
        </w:rPr>
        <w:t>（2）其他公司的其他权益工具投资的公允价值可能估计金额分布范围很广，成本代表了该范围内对公允价值的最佳估计，该成本可代表其在该分布范围内对公允价值的恰当估计。</w:t>
      </w:r>
    </w:p>
    <w:p w:rsidR="008820E4" w:rsidRDefault="005C49A8">
      <w:pPr>
        <w:pStyle w:val="3"/>
        <w:spacing w:line="280" w:lineRule="exact"/>
        <w:jc w:val="left"/>
        <w:rPr>
          <w:rFonts w:ascii="宋体" w:hAnsi="宋体" w:cs="宋体"/>
          <w:b/>
          <w:bCs/>
        </w:rPr>
      </w:pPr>
      <w:bookmarkStart w:id="124" w:name="_Toc989146"/>
      <w:r>
        <w:rPr>
          <w:rFonts w:ascii="宋体" w:hAnsi="宋体" w:cs="宋体"/>
          <w:b/>
          <w:bCs/>
        </w:rPr>
        <w:t>17、长期应收款</w:t>
      </w:r>
      <w:bookmarkEnd w:id="124"/>
    </w:p>
    <w:p w:rsidR="008820E4" w:rsidRDefault="005C49A8">
      <w:pPr>
        <w:keepNext/>
        <w:keepLines/>
        <w:spacing w:before="300" w:after="300" w:line="280" w:lineRule="exact"/>
        <w:outlineLvl w:val="3"/>
        <w:rPr>
          <w:rFonts w:ascii="宋体" w:eastAsia="宋体" w:hAnsi="宋体" w:cs="宋体"/>
          <w:b/>
          <w:bCs/>
          <w:szCs w:val="21"/>
        </w:rPr>
      </w:pPr>
      <w:bookmarkStart w:id="125" w:name="_Toc989147"/>
      <w:r>
        <w:rPr>
          <w:rFonts w:ascii="宋体" w:eastAsia="宋体" w:hAnsi="宋体" w:cs="宋体"/>
          <w:b/>
          <w:bCs/>
          <w:szCs w:val="21"/>
        </w:rPr>
        <w:t>（1） 长期应收款情况</w:t>
      </w:r>
      <w:bookmarkEnd w:id="12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385"/>
        <w:gridCol w:w="1275"/>
        <w:gridCol w:w="1418"/>
        <w:gridCol w:w="742"/>
      </w:tblGrid>
      <w:tr w:rsidR="008820E4" w:rsidTr="0029457D">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07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折现率区间</w:t>
            </w:r>
          </w:p>
        </w:tc>
      </w:tr>
      <w:tr w:rsidR="008820E4" w:rsidTr="0029457D">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8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7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融资租赁款</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3,478,822.10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3,169,604.73</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3,580,581.72</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3,271,364.35</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29457D">
            <w:pPr>
              <w:spacing w:before="40" w:after="40" w:line="0" w:lineRule="atLeast"/>
              <w:rPr>
                <w:rFonts w:ascii="宋体" w:eastAsia="宋体" w:hAnsi="宋体" w:cs="宋体"/>
                <w:sz w:val="18"/>
                <w:szCs w:val="18"/>
              </w:rPr>
            </w:pPr>
            <w:r>
              <w:rPr>
                <w:rFonts w:ascii="宋体" w:eastAsia="宋体" w:hAnsi="宋体" w:cs="宋体"/>
                <w:sz w:val="18"/>
                <w:szCs w:val="18"/>
              </w:rPr>
              <w:t>其中：未实现融资收益</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9,452.50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9,452.50</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15,720.40</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15,720.40</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减：一年内到期的长期应收款</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-3,092,173.69</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-2,782,956.32</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-3,351,271.93</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-309,217.37</w:t>
            </w: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-3,042,054.56</w:t>
            </w:r>
          </w:p>
        </w:tc>
        <w:tc>
          <w:tcPr>
            <w:tcW w:w="74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386,648.41</w:t>
            </w:r>
          </w:p>
        </w:tc>
        <w:tc>
          <w:tcPr>
            <w:tcW w:w="138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c>
          <w:tcPr>
            <w:tcW w:w="127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229,309.79</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26" w:name="_Toc989151"/>
      <w:r>
        <w:rPr>
          <w:rFonts w:ascii="宋体" w:hAnsi="宋体" w:cs="宋体"/>
          <w:b/>
          <w:bCs/>
        </w:rPr>
        <w:t>18、长期股权投资</w:t>
      </w:r>
      <w:bookmarkEnd w:id="12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8820E4">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减值准备期末余额</w:t>
            </w:r>
          </w:p>
        </w:tc>
      </w:tr>
      <w:tr w:rsidR="008820E4">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一、合营企业</w:t>
            </w:r>
          </w:p>
        </w:tc>
      </w:tr>
      <w:tr w:rsidR="008820E4">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二、联营企业</w:t>
            </w:r>
          </w:p>
        </w:tc>
      </w:tr>
      <w:tr w:rsidR="008820E4" w:rsidTr="00CF103B">
        <w:trPr>
          <w:trHeight w:val="240"/>
        </w:trPr>
        <w:tc>
          <w:tcPr>
            <w:tcW w:w="74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45,046,641.47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2,835.82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45,049,477.29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single" w:sz="8" w:space="0" w:color="auto"/>
              <w:left w:val="single" w:sz="2" w:space="0" w:color="auto"/>
              <w:bottom w:val="nil"/>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247,997,146.26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1,858,783.47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242,921,835.43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nil"/>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浙江华尚产业</w:t>
            </w:r>
            <w:r>
              <w:rPr>
                <w:rFonts w:ascii="宋体" w:eastAsia="宋体" w:hAnsi="宋体" w:cs="宋体"/>
                <w:sz w:val="18"/>
                <w:szCs w:val="18"/>
              </w:rPr>
              <w:lastRenderedPageBreak/>
              <w:t>运营有限公司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38,588,747.98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-1,228,220.</w:t>
            </w:r>
            <w:r>
              <w:rPr>
                <w:rFonts w:ascii="宋体" w:eastAsia="宋体" w:hAnsi="宋体" w:cs="宋体"/>
                <w:sz w:val="18"/>
                <w:szCs w:val="18"/>
              </w:rPr>
              <w:lastRenderedPageBreak/>
              <w:t>13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37,360,527.85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CF103B">
        <w:trPr>
          <w:trHeight w:val="240"/>
        </w:trPr>
        <w:tc>
          <w:tcPr>
            <w:tcW w:w="741" w:type="dxa"/>
            <w:tcBorders>
              <w:top w:val="single" w:sz="8"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平湖泽奕拾号创业投资合伙企业（有限合伙）</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633,399.16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331,632,535.71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7,713,514.33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633,399.16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6,934,094.30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333,045,354.90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29457D">
        <w:rPr>
          <w:rFonts w:ascii="宋体" w:eastAsia="宋体" w:hAnsi="宋体" w:cs="宋体" w:hint="eastAsia"/>
          <w:sz w:val="18"/>
          <w:szCs w:val="18"/>
        </w:rPr>
        <w:t>：</w:t>
      </w:r>
      <w:r>
        <w:rPr>
          <w:rFonts w:hint="eastAsia"/>
          <w:sz w:val="18"/>
          <w:szCs w:val="18"/>
        </w:rPr>
        <w:t>无</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29457D">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rsidP="0029457D">
      <w:pPr>
        <w:pStyle w:val="a3"/>
        <w:ind w:firstLineChars="200" w:firstLine="360"/>
        <w:divId w:val="1317687027"/>
        <w:rPr>
          <w:sz w:val="18"/>
          <w:szCs w:val="18"/>
        </w:rPr>
      </w:pPr>
      <w:r>
        <w:rPr>
          <w:rFonts w:hint="eastAsia"/>
          <w:sz w:val="18"/>
          <w:szCs w:val="18"/>
        </w:rPr>
        <w:t>本公司子公司香港天成持有福田实业（集团）有限公司（以下简称福田实业，股票代码：HK0420）17.30%的股权及表决权。虽然该比例低于20%，但由于本公司在福田实业董事会中派有代表并参与财务和经营政策的决策，所以本公司 能够对福田实业施加重大影响。</w:t>
      </w:r>
    </w:p>
    <w:p w:rsidR="008820E4" w:rsidRDefault="005C49A8">
      <w:pPr>
        <w:pStyle w:val="3"/>
        <w:spacing w:line="280" w:lineRule="exact"/>
        <w:jc w:val="left"/>
        <w:rPr>
          <w:rFonts w:ascii="宋体" w:hAnsi="宋体" w:cs="宋体"/>
          <w:b/>
          <w:bCs/>
        </w:rPr>
      </w:pPr>
      <w:bookmarkStart w:id="127" w:name="_Toc989152"/>
      <w:r>
        <w:rPr>
          <w:rFonts w:ascii="宋体" w:hAnsi="宋体" w:cs="宋体"/>
          <w:b/>
          <w:bCs/>
        </w:rPr>
        <w:t>19、其他非流动金融资产</w:t>
      </w:r>
      <w:bookmarkEnd w:id="127"/>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28" w:name="_Toc989153"/>
      <w:r>
        <w:rPr>
          <w:rFonts w:ascii="宋体" w:hAnsi="宋体" w:cs="宋体"/>
          <w:b/>
          <w:bCs/>
        </w:rPr>
        <w:t>20、投资性房地产</w:t>
      </w:r>
      <w:bookmarkEnd w:id="128"/>
    </w:p>
    <w:p w:rsidR="008820E4" w:rsidRDefault="005C49A8">
      <w:pPr>
        <w:keepNext/>
        <w:keepLines/>
        <w:spacing w:before="300" w:after="300" w:line="280" w:lineRule="exact"/>
        <w:outlineLvl w:val="3"/>
        <w:rPr>
          <w:rFonts w:ascii="宋体" w:eastAsia="宋体" w:hAnsi="宋体" w:cs="宋体"/>
          <w:b/>
          <w:bCs/>
          <w:sz w:val="18"/>
          <w:szCs w:val="18"/>
        </w:rPr>
      </w:pPr>
      <w:bookmarkStart w:id="129" w:name="_Toc989154"/>
      <w:r>
        <w:rPr>
          <w:rFonts w:ascii="宋体" w:eastAsia="宋体" w:hAnsi="宋体" w:cs="宋体"/>
          <w:b/>
          <w:bCs/>
          <w:sz w:val="18"/>
          <w:szCs w:val="18"/>
        </w:rPr>
        <w:t>（1） 采用成本计量模式的投资性房地产</w:t>
      </w:r>
      <w:bookmarkEnd w:id="129"/>
    </w:p>
    <w:p w:rsidR="008820E4" w:rsidRDefault="005C49A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201,662,136.52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201,662,136.52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lastRenderedPageBreak/>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-354,959.82</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（3）转自用房地产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174,755,878.35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174,755,878.35</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67,452,299.80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67,452,299.80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2,901,110.80</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（3）转自用房地产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53,143,601.56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53,143,601.56</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121,612,276.79</w:t>
            </w:r>
          </w:p>
        </w:tc>
      </w:tr>
      <w:tr w:rsidR="008820E4" w:rsidTr="0029457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134,209,836.72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29457D">
        <w:rPr>
          <w:rFonts w:ascii="宋体" w:eastAsia="宋体" w:hAnsi="宋体" w:cs="宋体" w:hint="eastAsia"/>
          <w:sz w:val="18"/>
          <w:szCs w:val="18"/>
        </w:rPr>
        <w:t>：</w:t>
      </w:r>
      <w:r>
        <w:rPr>
          <w:rFonts w:hint="eastAsia"/>
          <w:sz w:val="18"/>
          <w:szCs w:val="18"/>
        </w:rPr>
        <w:t>无</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29457D">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130" w:name="_Toc989155"/>
      <w:r>
        <w:rPr>
          <w:rFonts w:ascii="宋体" w:eastAsia="宋体" w:hAnsi="宋体" w:cs="宋体"/>
          <w:b/>
          <w:bCs/>
          <w:sz w:val="18"/>
          <w:szCs w:val="18"/>
        </w:rPr>
        <w:t>（2） 采用公允价值计量模式的投资性房地产</w:t>
      </w:r>
      <w:bookmarkEnd w:id="130"/>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29457D">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31" w:name="_Toc989158"/>
      <w:r>
        <w:rPr>
          <w:rFonts w:ascii="宋体" w:hAnsi="宋体" w:cs="宋体"/>
          <w:b/>
          <w:bCs/>
        </w:rPr>
        <w:lastRenderedPageBreak/>
        <w:t>21、固定资产</w:t>
      </w:r>
      <w:bookmarkEnd w:id="13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4,290,980,705.95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4,343,396,060.69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bl>
    <w:p w:rsidR="008820E4" w:rsidRDefault="005C49A8">
      <w:pPr>
        <w:keepNext/>
        <w:keepLines/>
        <w:spacing w:before="300" w:after="300" w:line="280" w:lineRule="exact"/>
        <w:outlineLvl w:val="3"/>
        <w:rPr>
          <w:rFonts w:ascii="宋体" w:eastAsia="宋体" w:hAnsi="宋体" w:cs="宋体"/>
          <w:b/>
          <w:bCs/>
          <w:szCs w:val="21"/>
        </w:rPr>
      </w:pPr>
      <w:bookmarkStart w:id="132" w:name="_Toc989159"/>
      <w:r>
        <w:rPr>
          <w:rFonts w:ascii="宋体" w:eastAsia="宋体" w:hAnsi="宋体" w:cs="宋体"/>
          <w:b/>
          <w:bCs/>
          <w:szCs w:val="21"/>
        </w:rPr>
        <w:t>（1） 固定资产情况</w:t>
      </w:r>
      <w:bookmarkEnd w:id="13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机器设备</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运输工具</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电子及其他设备</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3,697,409,214.62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5,151,246,616.82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53,893,735.20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221,367,947.69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9,123,917,514.33</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10,221,097.78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-20,314,665.41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481,789.05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-11,302,501.21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-20,914,279.79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9,347,409.92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6,657,780.12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898,376.78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1,061,621.23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17,965,188.05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271,844.66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3,965,510.50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75,600.00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4,312,955.16</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投资性房地产转入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26,551,298.35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-25,949,455.15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-30,937,956.03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-416,587.73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-12,439,722.44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-69,743,721.35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138,446,785.25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132,218,830.44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4,327,583.95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2,609,660.45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277,602,860.09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138,446,785.25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132,218,830.44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4,327,583.95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2,609,660.45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277,602,860.09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3,569,183,527.15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4,998,713,120.97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50,047,940.30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207,455,786.03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8,825,400,374.45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1,191,839,066.54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2,953,771,993.44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41,585,559.06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202,004,156.37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4,389,200,775.41</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76,642,869.41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206,366,482.38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981,143.98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-26,930,915.18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257,059,580.59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69,753,951.32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181,513,606.30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1,183,383.72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4,627,246.54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257,078,187.88</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投资性房地产转入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17,209,809.04</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外币报表折算差额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-10,320,890.95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24,852,876.08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-202,239.74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-31,558,161.72</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-17,228,416.33</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42,920,227.95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96,323,099.26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4,051,512.65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2,464,197.43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145,759,037.29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42,920,227.95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96,323,099.26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4,051,512.65</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2,464,197.43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145,759,037.29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1,225,561,708.00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3,063,815,376.56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38,515,190.39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172,609,043.76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4,500,501,318.71</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27,855,790.59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5,928,643.64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38,569.60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95,345.96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33,918,349.79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27,855,790.59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5,928,643.64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38,569.60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95,345.96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33,918,349.79</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2,315,766,028.56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1,928,969,100.77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11,494,180.31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34,751,396.31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4,290,980,705.95</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2,477,714,357.49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2,191,545,979.74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12,269,606.54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19,268,445.36</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4,700,798,389.13</w:t>
            </w:r>
          </w:p>
        </w:tc>
      </w:tr>
    </w:tbl>
    <w:p w:rsidR="008820E4" w:rsidRDefault="005C49A8">
      <w:pPr>
        <w:keepNext/>
        <w:keepLines/>
        <w:spacing w:before="300" w:after="300" w:line="280" w:lineRule="exact"/>
        <w:outlineLvl w:val="3"/>
        <w:rPr>
          <w:rFonts w:ascii="宋体" w:eastAsia="宋体" w:hAnsi="宋体" w:cs="宋体"/>
          <w:b/>
          <w:bCs/>
          <w:szCs w:val="21"/>
        </w:rPr>
      </w:pPr>
      <w:bookmarkStart w:id="133" w:name="_Toc989160"/>
      <w:r>
        <w:rPr>
          <w:rFonts w:ascii="宋体" w:eastAsia="宋体" w:hAnsi="宋体" w:cs="宋体"/>
          <w:b/>
          <w:bCs/>
          <w:szCs w:val="21"/>
        </w:rPr>
        <w:t>（2） 暂时闲置的固定资产情况</w:t>
      </w:r>
      <w:bookmarkEnd w:id="13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账面原值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累计折旧</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备注</w:t>
            </w: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270,110,084.32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136,040,429.17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15,823,169.01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118,246,486.14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260,937,311.08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217,484,988.71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4,464,017.46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38,988,304.91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1,552,661.42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1,397,106.17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155,555.25</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电子及其他设备</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13,665,543.10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11,878,518.98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1,836.51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1,785,187.61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rsidTr="0029457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546,265,599.92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366,801,043.03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20,289,022.98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159,175,533.91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134" w:name="_Toc989161"/>
      <w:r>
        <w:rPr>
          <w:rFonts w:ascii="宋体" w:eastAsia="宋体" w:hAnsi="宋体" w:cs="宋体"/>
          <w:b/>
          <w:bCs/>
          <w:szCs w:val="21"/>
        </w:rPr>
        <w:t>（3）</w:t>
      </w:r>
      <w:bookmarkStart w:id="135" w:name="_Toc989162"/>
      <w:bookmarkEnd w:id="134"/>
      <w:r>
        <w:rPr>
          <w:rFonts w:ascii="宋体" w:eastAsia="宋体" w:hAnsi="宋体" w:cs="宋体"/>
          <w:b/>
          <w:bCs/>
          <w:szCs w:val="21"/>
        </w:rPr>
        <w:t>未办妥产权证书的固定资产情况</w:t>
      </w:r>
      <w:bookmarkEnd w:id="13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未办妥产权证书的原因</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136,777,070.67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尚在办理中</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136,777,070.67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29457D">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36" w:name="_Toc989163"/>
      <w:r>
        <w:rPr>
          <w:rFonts w:ascii="宋体" w:eastAsia="宋体" w:hAnsi="宋体" w:cs="宋体"/>
          <w:b/>
          <w:bCs/>
          <w:szCs w:val="21"/>
        </w:rPr>
        <w:t>（5） 固定资产的减值测试情况</w:t>
      </w:r>
      <w:bookmarkEnd w:id="13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37" w:name="_Toc989164"/>
      <w:r>
        <w:rPr>
          <w:rFonts w:ascii="宋体" w:eastAsia="宋体" w:hAnsi="宋体" w:cs="宋体"/>
          <w:b/>
          <w:bCs/>
          <w:szCs w:val="21"/>
        </w:rPr>
        <w:t>（6） 固定资产清理</w:t>
      </w:r>
      <w:bookmarkEnd w:id="13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待处理设备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52,415,354.74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29457D" w:rsidRDefault="005C49A8" w:rsidP="0029457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38" w:name="_Toc989165"/>
      <w:r>
        <w:rPr>
          <w:rFonts w:ascii="宋体" w:hAnsi="宋体" w:cs="宋体"/>
          <w:b/>
          <w:bCs/>
        </w:rPr>
        <w:t>22、在建工程</w:t>
      </w:r>
      <w:bookmarkEnd w:id="13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bl>
    <w:p w:rsidR="008820E4" w:rsidRDefault="005C49A8">
      <w:pPr>
        <w:keepNext/>
        <w:keepLines/>
        <w:spacing w:before="300" w:after="300" w:line="280" w:lineRule="exact"/>
        <w:outlineLvl w:val="3"/>
        <w:rPr>
          <w:rFonts w:ascii="宋体" w:eastAsia="宋体" w:hAnsi="宋体" w:cs="宋体"/>
          <w:b/>
          <w:bCs/>
          <w:szCs w:val="21"/>
        </w:rPr>
      </w:pPr>
      <w:bookmarkStart w:id="139" w:name="_Toc989166"/>
      <w:r>
        <w:rPr>
          <w:rFonts w:ascii="宋体" w:eastAsia="宋体" w:hAnsi="宋体" w:cs="宋体"/>
          <w:b/>
          <w:bCs/>
          <w:szCs w:val="21"/>
        </w:rPr>
        <w:t>（1） 在建工程情况</w:t>
      </w:r>
      <w:bookmarkEnd w:id="13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29457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浙江色纺二期项目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18,843,952.21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18,843,952.21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4,725,973.72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4,725,973.72</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阿克苏二车间改造项目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阿克苏标信在建工程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296,992.74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296,992.74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63,983.02</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63,983.02</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10,963,181.69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10,963,181.69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7,838,313.36</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7,838,313.36</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阿大数字袜制品生产车间</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r>
      <w:tr w:rsidR="008820E4" w:rsidTr="0029457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30万锭智能产业园项目</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bookmarkStart w:id="140" w:name="_GoBack"/>
            <w:bookmarkEnd w:id="140"/>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428,012,818.00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324,546,393.57</w:t>
            </w:r>
          </w:p>
        </w:tc>
      </w:tr>
    </w:tbl>
    <w:p w:rsidR="008820E4" w:rsidRDefault="005C49A8" w:rsidP="00CF103B">
      <w:pPr>
        <w:ind w:firstLineChars="200" w:firstLine="420"/>
      </w:pPr>
      <w:r>
        <w:rPr>
          <w:rFonts w:ascii="仿宋" w:eastAsia="仿宋" w:hAnsi="仿宋" w:cs="仿宋"/>
        </w:rPr>
        <w:t>注：</w:t>
      </w:r>
      <w:r w:rsidR="008E2575" w:rsidRPr="002711C8">
        <w:rPr>
          <w:rFonts w:ascii="仿宋" w:eastAsia="仿宋" w:hAnsi="仿宋" w:cs="仿宋"/>
        </w:rPr>
        <w:t>30万锭智能纺纱产业园项目</w:t>
      </w:r>
      <w:r w:rsidR="008E2575">
        <w:rPr>
          <w:rFonts w:ascii="仿宋" w:eastAsia="仿宋" w:hAnsi="仿宋" w:cs="仿宋"/>
        </w:rPr>
        <w:t>建设资金来源为募集资金和公司自筹资金，其中募集资金已使用完毕，募集资金使用进度为101</w:t>
      </w:r>
      <w:r w:rsidR="008E2575">
        <w:rPr>
          <w:rFonts w:ascii="仿宋" w:eastAsia="仿宋" w:hAnsi="仿宋" w:cs="仿宋" w:hint="eastAsia"/>
        </w:rPr>
        <w:t>.33</w:t>
      </w:r>
      <w:r w:rsidR="008E2575">
        <w:rPr>
          <w:rFonts w:ascii="仿宋" w:eastAsia="仿宋" w:hAnsi="仿宋" w:cs="仿宋"/>
        </w:rPr>
        <w:t>%（包含募集资金产生的利息），后续项目建设资金来源为自筹资金，报告</w:t>
      </w:r>
      <w:proofErr w:type="gramStart"/>
      <w:r w:rsidR="008E2575">
        <w:rPr>
          <w:rFonts w:ascii="仿宋" w:eastAsia="仿宋" w:hAnsi="仿宋" w:cs="仿宋"/>
        </w:rPr>
        <w:t>期末该</w:t>
      </w:r>
      <w:proofErr w:type="gramEnd"/>
      <w:r w:rsidR="008E2575">
        <w:rPr>
          <w:rFonts w:ascii="仿宋" w:eastAsia="仿宋" w:hAnsi="仿宋" w:cs="仿宋"/>
        </w:rPr>
        <w:t>项目整体建设进度为70</w:t>
      </w:r>
      <w:r w:rsidR="008E2575">
        <w:rPr>
          <w:rFonts w:ascii="仿宋" w:eastAsia="仿宋" w:hAnsi="仿宋" w:cs="仿宋" w:hint="eastAsia"/>
        </w:rPr>
        <w:t>.73</w:t>
      </w:r>
      <w:r w:rsidR="008E2575">
        <w:rPr>
          <w:rFonts w:ascii="仿宋" w:eastAsia="仿宋" w:hAnsi="仿宋" w:cs="仿宋"/>
        </w:rPr>
        <w:t>%。</w:t>
      </w:r>
    </w:p>
    <w:p w:rsidR="008820E4" w:rsidRDefault="005C49A8">
      <w:pPr>
        <w:keepNext/>
        <w:keepLines/>
        <w:spacing w:before="300" w:after="300" w:line="280" w:lineRule="exact"/>
        <w:outlineLvl w:val="3"/>
        <w:rPr>
          <w:rFonts w:ascii="宋体" w:eastAsia="宋体" w:hAnsi="宋体" w:cs="宋体"/>
          <w:b/>
          <w:bCs/>
          <w:szCs w:val="21"/>
        </w:rPr>
      </w:pPr>
      <w:bookmarkStart w:id="141" w:name="_Toc989167"/>
      <w:r>
        <w:rPr>
          <w:rFonts w:ascii="宋体" w:eastAsia="宋体" w:hAnsi="宋体" w:cs="宋体"/>
          <w:b/>
          <w:bCs/>
          <w:szCs w:val="21"/>
        </w:rPr>
        <w:t>（2） 重要在建工程项目本期变动情况</w:t>
      </w:r>
      <w:bookmarkEnd w:id="14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29457D" w:rsidRDefault="0029457D">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资金来源</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30万锭智能产业园项目</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1,202,645,208.19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219,218,227.50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20,508,332.99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239,726,560.49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70.73%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70.73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24,890,067.48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7,988,359.62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w:t>
            </w:r>
            <w:proofErr w:type="gramStart"/>
            <w:r>
              <w:rPr>
                <w:rFonts w:ascii="宋体" w:eastAsia="宋体" w:hAnsi="宋体" w:cs="宋体"/>
                <w:sz w:val="18"/>
                <w:szCs w:val="18"/>
              </w:rPr>
              <w:t>袜</w:t>
            </w:r>
            <w:proofErr w:type="gramEnd"/>
            <w:r>
              <w:rPr>
                <w:rFonts w:ascii="宋体" w:eastAsia="宋体" w:hAnsi="宋体" w:cs="宋体"/>
                <w:sz w:val="18"/>
                <w:szCs w:val="18"/>
              </w:rPr>
              <w:t>制品生产车间</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134,620,750.88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88,249,424.28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4,337,221.42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293,200.00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92,293,445.70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92.29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rsidTr="0029457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阿克苏二车间改造项目</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193,910,000.00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4,450,471.69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61,438,213.48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65,888,685.17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31.68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r>
      <w:tr w:rsidR="008820E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1,531,175,959.07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311,918,123.47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86,283,767.89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293,200.00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397,908,691.36</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24,890,067.48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7,988,359.62</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keepNext/>
        <w:keepLines/>
        <w:spacing w:before="300" w:after="300" w:line="280" w:lineRule="exact"/>
        <w:outlineLvl w:val="3"/>
        <w:rPr>
          <w:rFonts w:ascii="宋体" w:eastAsia="宋体" w:hAnsi="宋体" w:cs="宋体"/>
          <w:b/>
          <w:bCs/>
          <w:szCs w:val="21"/>
        </w:rPr>
      </w:pPr>
      <w:bookmarkStart w:id="142" w:name="_Toc989168"/>
      <w:r>
        <w:rPr>
          <w:rFonts w:ascii="宋体" w:eastAsia="宋体" w:hAnsi="宋体" w:cs="宋体"/>
          <w:b/>
          <w:bCs/>
          <w:szCs w:val="21"/>
        </w:rPr>
        <w:t>（3） 本期计提在建工程减值准备情况</w:t>
      </w:r>
      <w:bookmarkEnd w:id="142"/>
    </w:p>
    <w:p w:rsidR="005C49A8" w:rsidRDefault="005C49A8">
      <w:pPr>
        <w:pStyle w:val="a3"/>
        <w:divId w:val="67680576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43" w:name="_Toc989169"/>
      <w:r>
        <w:rPr>
          <w:rFonts w:ascii="宋体" w:eastAsia="宋体" w:hAnsi="宋体" w:cs="宋体"/>
          <w:b/>
          <w:bCs/>
          <w:szCs w:val="21"/>
        </w:rPr>
        <w:t>（4） 在建工程的减值测试情况</w:t>
      </w:r>
      <w:bookmarkEnd w:id="14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44" w:name="_Toc989170"/>
      <w:r>
        <w:rPr>
          <w:rFonts w:ascii="宋体" w:eastAsia="宋体" w:hAnsi="宋体" w:cs="宋体"/>
          <w:b/>
          <w:bCs/>
          <w:szCs w:val="21"/>
        </w:rPr>
        <w:t>（5） 工程物资</w:t>
      </w:r>
      <w:bookmarkEnd w:id="144"/>
    </w:p>
    <w:p w:rsidR="005C49A8" w:rsidRDefault="005C49A8">
      <w:pPr>
        <w:pStyle w:val="a3"/>
        <w:divId w:val="35003566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45" w:name="_Toc989171"/>
      <w:r>
        <w:rPr>
          <w:rFonts w:ascii="宋体" w:hAnsi="宋体" w:cs="宋体"/>
          <w:b/>
          <w:bCs/>
        </w:rPr>
        <w:t>23、生产性生物资产</w:t>
      </w:r>
      <w:bookmarkEnd w:id="145"/>
    </w:p>
    <w:p w:rsidR="008820E4" w:rsidRDefault="005C49A8">
      <w:pPr>
        <w:keepNext/>
        <w:keepLines/>
        <w:spacing w:before="300" w:after="300" w:line="280" w:lineRule="exact"/>
        <w:outlineLvl w:val="3"/>
        <w:rPr>
          <w:rFonts w:ascii="宋体" w:eastAsia="宋体" w:hAnsi="宋体" w:cs="宋体"/>
          <w:b/>
          <w:bCs/>
          <w:szCs w:val="21"/>
        </w:rPr>
      </w:pPr>
      <w:bookmarkStart w:id="146" w:name="_Toc989172"/>
      <w:r>
        <w:rPr>
          <w:rFonts w:ascii="宋体" w:eastAsia="宋体" w:hAnsi="宋体" w:cs="宋体"/>
          <w:b/>
          <w:bCs/>
          <w:szCs w:val="21"/>
        </w:rPr>
        <w:t>（1） 采用成本计量模式的生产性生物资产</w:t>
      </w:r>
      <w:bookmarkEnd w:id="14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47" w:name="_Toc989173"/>
      <w:r>
        <w:rPr>
          <w:rFonts w:ascii="宋体" w:eastAsia="宋体" w:hAnsi="宋体" w:cs="宋体"/>
          <w:b/>
          <w:bCs/>
          <w:szCs w:val="21"/>
        </w:rPr>
        <w:t>（2） 采用成本计量模式的生产性生物资产的减值测试情况</w:t>
      </w:r>
      <w:bookmarkEnd w:id="147"/>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148" w:name="_Toc989174"/>
      <w:r>
        <w:rPr>
          <w:rFonts w:ascii="宋体" w:eastAsia="宋体" w:hAnsi="宋体" w:cs="宋体"/>
          <w:b/>
          <w:bCs/>
          <w:szCs w:val="21"/>
        </w:rPr>
        <w:t>（3） 采用公允价值计量模式的生产性生物资产</w:t>
      </w:r>
      <w:bookmarkEnd w:id="14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149" w:name="_Toc989175"/>
      <w:r>
        <w:rPr>
          <w:rFonts w:ascii="宋体" w:hAnsi="宋体" w:cs="宋体"/>
          <w:b/>
          <w:bCs/>
        </w:rPr>
        <w:t>24、油气资产</w:t>
      </w:r>
      <w:bookmarkEnd w:id="14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150" w:name="_Toc989176"/>
      <w:r>
        <w:rPr>
          <w:rFonts w:ascii="宋体" w:hAnsi="宋体" w:cs="宋体"/>
          <w:b/>
          <w:bCs/>
        </w:rPr>
        <w:t>25、使用权资产</w:t>
      </w:r>
      <w:bookmarkEnd w:id="150"/>
    </w:p>
    <w:p w:rsidR="008820E4" w:rsidRDefault="005C49A8">
      <w:pPr>
        <w:keepNext/>
        <w:keepLines/>
        <w:spacing w:before="300" w:after="300" w:line="280" w:lineRule="exact"/>
        <w:outlineLvl w:val="3"/>
        <w:rPr>
          <w:rFonts w:ascii="宋体" w:eastAsia="宋体" w:hAnsi="宋体" w:cs="宋体"/>
          <w:b/>
          <w:bCs/>
          <w:szCs w:val="21"/>
        </w:rPr>
      </w:pPr>
      <w:bookmarkStart w:id="151" w:name="_Toc989177"/>
      <w:r>
        <w:rPr>
          <w:rFonts w:ascii="宋体" w:eastAsia="宋体" w:hAnsi="宋体" w:cs="宋体"/>
          <w:b/>
          <w:bCs/>
          <w:szCs w:val="21"/>
        </w:rPr>
        <w:t>（1） 使用权资产情况</w:t>
      </w:r>
      <w:bookmarkEnd w:id="15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机器设备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36,700,594.20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715,358.08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37,415,952.28</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36,700,594.20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715,358.08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37,415,952.28</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7,934,617.59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320,908.32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8,255,525.91</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lastRenderedPageBreak/>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11,600,227.42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320,908.32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11,921,135.74</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25,100,366.78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394,449.76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25,494,816.54</w:t>
            </w:r>
          </w:p>
        </w:tc>
      </w:tr>
      <w:tr w:rsidR="008820E4" w:rsidTr="00381B4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28,765,976.61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394,449.76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29,160,426.37</w:t>
            </w:r>
          </w:p>
        </w:tc>
      </w:tr>
    </w:tbl>
    <w:p w:rsidR="008820E4" w:rsidRDefault="005C49A8">
      <w:pPr>
        <w:keepNext/>
        <w:keepLines/>
        <w:spacing w:before="300" w:after="300" w:line="280" w:lineRule="exact"/>
        <w:outlineLvl w:val="3"/>
        <w:rPr>
          <w:rFonts w:ascii="宋体" w:eastAsia="宋体" w:hAnsi="宋体" w:cs="宋体"/>
          <w:b/>
          <w:bCs/>
          <w:szCs w:val="21"/>
        </w:rPr>
      </w:pPr>
      <w:bookmarkStart w:id="152" w:name="_Toc989178"/>
      <w:r>
        <w:rPr>
          <w:rFonts w:ascii="宋体" w:eastAsia="宋体" w:hAnsi="宋体" w:cs="宋体"/>
          <w:b/>
          <w:bCs/>
          <w:szCs w:val="21"/>
        </w:rPr>
        <w:t>（2） 使用权资产的减值测试情况</w:t>
      </w:r>
      <w:bookmarkEnd w:id="15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53" w:name="_Toc989179"/>
      <w:r>
        <w:rPr>
          <w:rFonts w:ascii="宋体" w:hAnsi="宋体" w:cs="宋体"/>
          <w:b/>
          <w:bCs/>
        </w:rPr>
        <w:t>26、无形资产</w:t>
      </w:r>
      <w:bookmarkEnd w:id="153"/>
    </w:p>
    <w:p w:rsidR="008820E4" w:rsidRDefault="005C49A8">
      <w:pPr>
        <w:keepNext/>
        <w:keepLines/>
        <w:spacing w:before="300" w:after="300" w:line="280" w:lineRule="exact"/>
        <w:outlineLvl w:val="3"/>
        <w:rPr>
          <w:rFonts w:ascii="宋体" w:eastAsia="宋体" w:hAnsi="宋体" w:cs="宋体"/>
          <w:b/>
          <w:bCs/>
          <w:szCs w:val="21"/>
        </w:rPr>
      </w:pPr>
      <w:bookmarkStart w:id="154" w:name="_Toc989180"/>
      <w:r>
        <w:rPr>
          <w:rFonts w:ascii="宋体" w:eastAsia="宋体" w:hAnsi="宋体" w:cs="宋体"/>
          <w:b/>
          <w:bCs/>
          <w:szCs w:val="21"/>
        </w:rPr>
        <w:t>（1） 无形资产情况</w:t>
      </w:r>
      <w:bookmarkEnd w:id="15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970"/>
        <w:gridCol w:w="1970"/>
        <w:gridCol w:w="1971"/>
        <w:gridCol w:w="1971"/>
        <w:gridCol w:w="1971"/>
      </w:tblGrid>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土地使用权</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jc w:val="center"/>
              <w:rPr>
                <w:rFonts w:ascii="宋体" w:eastAsia="宋体" w:hAnsi="宋体" w:cs="宋体"/>
                <w:sz w:val="18"/>
                <w:szCs w:val="18"/>
              </w:rPr>
            </w:pPr>
            <w:r>
              <w:rPr>
                <w:rFonts w:ascii="宋体" w:eastAsia="宋体" w:hAnsi="宋体" w:cs="宋体"/>
                <w:sz w:val="18"/>
                <w:szCs w:val="18"/>
              </w:rPr>
              <w:t>专利权</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jc w:val="center"/>
              <w:rPr>
                <w:rFonts w:ascii="宋体" w:eastAsia="宋体" w:hAnsi="宋体" w:cs="宋体"/>
                <w:sz w:val="18"/>
                <w:szCs w:val="18"/>
              </w:rPr>
            </w:pPr>
            <w:r>
              <w:rPr>
                <w:rFonts w:ascii="宋体" w:eastAsia="宋体" w:hAnsi="宋体" w:cs="宋体"/>
                <w:sz w:val="18"/>
                <w:szCs w:val="18"/>
              </w:rPr>
              <w:t>非专利技术</w:t>
            </w:r>
          </w:p>
        </w:tc>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一、账面原值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1,082,904,153.20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33,505,487.47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6,928,639.43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1,123,338,280.10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-18,242,140.17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2,025,974.65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2,667,184.40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-13,548,981.12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（1）购置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50,233.66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2,025,974.65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187,184.40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2,263,392.71</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（2）内部研发</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（3）企业合并增加</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2,480,000.00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（4）在建工程转入</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636,222.54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636,222.54</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（5）外币报表折算差额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-18,928,596.37</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-18,928,596.37</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65,000,000.00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65,300,000.00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65,000,000.00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65,300,000.00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999,662,013.03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35,531,462.12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9,295,823.83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1,044,489,298.98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二、累计摊销</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212,721,971.04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26,057,847.06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5,914,488.65</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244,694,306.75</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2,875,947.61</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1,047,222.60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161,132.34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4,084,302.55</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（1）计提</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8,303,994.09</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1,047,222.60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161,132.34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9,512,349.03</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line="0" w:lineRule="atLeast"/>
              <w:rPr>
                <w:rFonts w:ascii="宋体" w:eastAsia="宋体" w:hAnsi="宋体" w:cs="宋体"/>
                <w:sz w:val="18"/>
                <w:szCs w:val="18"/>
              </w:rPr>
            </w:pPr>
            <w:r>
              <w:rPr>
                <w:rFonts w:ascii="宋体" w:eastAsia="宋体" w:hAnsi="宋体" w:cs="宋体"/>
                <w:sz w:val="18"/>
                <w:szCs w:val="18"/>
              </w:rPr>
              <w:t>（2）外币报表折算差异</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-5,428,046.48</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-5,428,046.48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8,558,333.12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8,858,333.12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lastRenderedPageBreak/>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8,558,333.12</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300,000.00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8,858,333.12</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207,039,585.53</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27,105,069.66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5,775,620.99</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239,920,276.18</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三、减值准备</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1.期初余额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2.本期增加金额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（1）计提</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3.本期减少金额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（1）处置</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4.期末余额</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pPr>
              <w:spacing w:before="40" w:after="40" w:line="0" w:lineRule="atLeast"/>
              <w:rPr>
                <w:rFonts w:ascii="宋体" w:eastAsia="宋体" w:hAnsi="宋体" w:cs="宋体"/>
                <w:sz w:val="18"/>
                <w:szCs w:val="18"/>
              </w:rPr>
            </w:pPr>
            <w:r>
              <w:rPr>
                <w:rFonts w:ascii="宋体" w:eastAsia="宋体" w:hAnsi="宋体" w:cs="宋体"/>
                <w:sz w:val="18"/>
                <w:szCs w:val="18"/>
              </w:rPr>
              <w:t>四、账面价值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1.期末账面价值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792,622,427.50</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8,426,392.46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3,520,202.84</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804,569,022.80</w:t>
            </w:r>
          </w:p>
        </w:tc>
      </w:tr>
      <w:tr w:rsidR="00EA52D0" w:rsidTr="00EA52D0">
        <w:trPr>
          <w:trHeight w:val="240"/>
        </w:trPr>
        <w:tc>
          <w:tcPr>
            <w:tcW w:w="1000" w:type="pct"/>
            <w:tcBorders>
              <w:top w:val="single" w:sz="2" w:space="0" w:color="auto"/>
              <w:left w:val="single" w:sz="2" w:space="0" w:color="auto"/>
              <w:bottom w:val="single" w:sz="2" w:space="0" w:color="auto"/>
              <w:right w:val="single" w:sz="2" w:space="0" w:color="auto"/>
            </w:tcBorders>
            <w:shd w:val="clear" w:color="auto" w:fill="D3D3D3"/>
            <w:vAlign w:val="center"/>
          </w:tcPr>
          <w:p w:rsidR="00EA52D0" w:rsidRDefault="00EA52D0" w:rsidP="00381B41">
            <w:pPr>
              <w:spacing w:before="40" w:after="40" w:line="0" w:lineRule="atLeast"/>
              <w:rPr>
                <w:rFonts w:ascii="宋体" w:eastAsia="宋体" w:hAnsi="宋体" w:cs="宋体"/>
                <w:sz w:val="18"/>
                <w:szCs w:val="18"/>
              </w:rPr>
            </w:pPr>
            <w:r>
              <w:rPr>
                <w:rFonts w:ascii="宋体" w:eastAsia="宋体" w:hAnsi="宋体" w:cs="宋体"/>
                <w:sz w:val="18"/>
                <w:szCs w:val="18"/>
              </w:rPr>
              <w:t>2.期初账面价值</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870,182,182.16</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7,447,640.41</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1,014,150.78</w:t>
            </w:r>
          </w:p>
        </w:tc>
        <w:tc>
          <w:tcPr>
            <w:tcW w:w="1000" w:type="pct"/>
            <w:tcBorders>
              <w:top w:val="single" w:sz="2" w:space="0" w:color="auto"/>
              <w:left w:val="single" w:sz="2" w:space="0" w:color="auto"/>
              <w:bottom w:val="single" w:sz="2" w:space="0" w:color="auto"/>
              <w:right w:val="single" w:sz="2" w:space="0" w:color="auto"/>
            </w:tcBorders>
            <w:vAlign w:val="center"/>
          </w:tcPr>
          <w:p w:rsidR="00EA52D0" w:rsidRDefault="00EA52D0">
            <w:pPr>
              <w:spacing w:line="0" w:lineRule="atLeast"/>
              <w:jc w:val="right"/>
              <w:rPr>
                <w:rFonts w:ascii="宋体" w:eastAsia="宋体" w:hAnsi="宋体" w:cs="宋体"/>
                <w:sz w:val="18"/>
                <w:szCs w:val="18"/>
              </w:rPr>
            </w:pPr>
            <w:r>
              <w:rPr>
                <w:rFonts w:ascii="宋体" w:eastAsia="宋体" w:hAnsi="宋体" w:cs="宋体"/>
                <w:sz w:val="18"/>
                <w:szCs w:val="18"/>
              </w:rPr>
              <w:t>878,643,973.35</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w:t>
      </w:r>
    </w:p>
    <w:p w:rsidR="008820E4" w:rsidRDefault="005C49A8">
      <w:pPr>
        <w:keepNext/>
        <w:keepLines/>
        <w:spacing w:before="300" w:after="300" w:line="280" w:lineRule="exact"/>
        <w:outlineLvl w:val="3"/>
        <w:rPr>
          <w:rFonts w:ascii="宋体" w:eastAsia="宋体" w:hAnsi="宋体" w:cs="宋体"/>
          <w:b/>
          <w:bCs/>
          <w:szCs w:val="21"/>
        </w:rPr>
      </w:pPr>
      <w:bookmarkStart w:id="155" w:name="_Toc989181"/>
      <w:r>
        <w:rPr>
          <w:rFonts w:ascii="宋体" w:eastAsia="宋体" w:hAnsi="宋体" w:cs="宋体"/>
          <w:b/>
          <w:bCs/>
          <w:szCs w:val="21"/>
        </w:rPr>
        <w:t>（2） 确认为无形资产的数据资源</w:t>
      </w:r>
      <w:bookmarkEnd w:id="155"/>
    </w:p>
    <w:p w:rsidR="005C49A8" w:rsidRDefault="005C49A8">
      <w:pPr>
        <w:pStyle w:val="a3"/>
        <w:divId w:val="40017663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56" w:name="_Toc989182"/>
      <w:r>
        <w:rPr>
          <w:rFonts w:ascii="宋体" w:eastAsia="宋体" w:hAnsi="宋体" w:cs="宋体"/>
          <w:b/>
          <w:bCs/>
          <w:szCs w:val="21"/>
        </w:rPr>
        <w:t>（3） 未办妥产权证书的土地使用权情况</w:t>
      </w:r>
      <w:bookmarkEnd w:id="15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未办妥产权证书的原因</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土地使用权</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3,522,996.39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尚在办理中</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3,522,996.39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57" w:name="_Toc989183"/>
      <w:r>
        <w:rPr>
          <w:rFonts w:ascii="宋体" w:eastAsia="宋体" w:hAnsi="宋体" w:cs="宋体"/>
          <w:b/>
          <w:bCs/>
          <w:szCs w:val="21"/>
        </w:rPr>
        <w:t>（4） 无形资产的减值测试情况</w:t>
      </w:r>
      <w:bookmarkEnd w:id="15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158" w:name="_Toc989184"/>
      <w:r>
        <w:rPr>
          <w:rFonts w:ascii="宋体" w:hAnsi="宋体" w:cs="宋体"/>
          <w:b/>
          <w:bCs/>
        </w:rPr>
        <w:t>27、商誉</w:t>
      </w:r>
      <w:bookmarkEnd w:id="158"/>
    </w:p>
    <w:p w:rsidR="008820E4" w:rsidRDefault="005C49A8">
      <w:pPr>
        <w:keepNext/>
        <w:keepLines/>
        <w:spacing w:before="300" w:after="300" w:line="280" w:lineRule="exact"/>
        <w:outlineLvl w:val="3"/>
        <w:rPr>
          <w:rFonts w:ascii="宋体" w:eastAsia="宋体" w:hAnsi="宋体" w:cs="宋体"/>
          <w:b/>
          <w:bCs/>
          <w:szCs w:val="21"/>
        </w:rPr>
      </w:pPr>
      <w:bookmarkStart w:id="159" w:name="_Toc989185"/>
      <w:r>
        <w:rPr>
          <w:rFonts w:ascii="宋体" w:eastAsia="宋体" w:hAnsi="宋体" w:cs="宋体"/>
          <w:b/>
          <w:bCs/>
          <w:szCs w:val="21"/>
        </w:rPr>
        <w:t>（1） 商誉账面原值</w:t>
      </w:r>
      <w:bookmarkEnd w:id="15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2754"/>
        <w:gridCol w:w="2754"/>
        <w:gridCol w:w="1377"/>
      </w:tblGrid>
      <w:tr w:rsidR="008820E4" w:rsidTr="00381B41">
        <w:trPr>
          <w:trHeight w:val="240"/>
        </w:trPr>
        <w:tc>
          <w:tcPr>
            <w:tcW w:w="1377" w:type="dxa"/>
            <w:vMerge w:val="restart"/>
            <w:tcBorders>
              <w:top w:val="single" w:sz="2" w:space="0" w:color="auto"/>
              <w:left w:val="single" w:sz="2" w:space="0" w:color="auto"/>
              <w:bottom w:val="nil"/>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CF103B" w:rsidTr="003E2157">
        <w:trPr>
          <w:trHeight w:val="240"/>
        </w:trPr>
        <w:tc>
          <w:tcPr>
            <w:tcW w:w="1377" w:type="dxa"/>
            <w:vMerge/>
            <w:tcBorders>
              <w:top w:val="nil"/>
              <w:left w:val="single" w:sz="2" w:space="0" w:color="auto"/>
              <w:bottom w:val="single" w:sz="8" w:space="0" w:color="auto"/>
              <w:right w:val="single" w:sz="2" w:space="0" w:color="auto"/>
            </w:tcBorders>
            <w:shd w:val="clear" w:color="auto" w:fill="D3D3D3"/>
            <w:vAlign w:val="center"/>
          </w:tcPr>
          <w:p w:rsidR="00CF103B" w:rsidRDefault="00CF103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企业合并形成的</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处置</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r>
      <w:tr w:rsidR="00CF103B" w:rsidTr="00F62C54">
        <w:trPr>
          <w:trHeight w:val="240"/>
        </w:trPr>
        <w:tc>
          <w:tcPr>
            <w:tcW w:w="1377" w:type="dxa"/>
            <w:tcBorders>
              <w:top w:val="single" w:sz="8" w:space="0" w:color="auto"/>
              <w:left w:val="single" w:sz="2" w:space="0" w:color="auto"/>
              <w:bottom w:val="single" w:sz="8" w:space="0" w:color="auto"/>
              <w:right w:val="single" w:sz="8"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377" w:type="dxa"/>
            <w:tcBorders>
              <w:top w:val="single" w:sz="2" w:space="0" w:color="auto"/>
              <w:left w:val="single" w:sz="8"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3,861,366.21</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3,861,366.21</w:t>
            </w:r>
          </w:p>
        </w:tc>
      </w:tr>
      <w:tr w:rsidR="00CF103B" w:rsidTr="00F62C54">
        <w:trPr>
          <w:trHeight w:val="240"/>
        </w:trPr>
        <w:tc>
          <w:tcPr>
            <w:tcW w:w="1377" w:type="dxa"/>
            <w:tcBorders>
              <w:top w:val="single" w:sz="8" w:space="0" w:color="auto"/>
              <w:left w:val="single" w:sz="2" w:space="0" w:color="auto"/>
              <w:bottom w:val="single" w:sz="8"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147,900,475.26</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p>
        </w:tc>
        <w:tc>
          <w:tcPr>
            <w:tcW w:w="2754" w:type="dxa"/>
            <w:tcBorders>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147,900,475.26</w:t>
            </w:r>
          </w:p>
        </w:tc>
      </w:tr>
      <w:tr w:rsidR="00CF103B" w:rsidTr="00F62C54">
        <w:trPr>
          <w:trHeight w:val="240"/>
        </w:trPr>
        <w:tc>
          <w:tcPr>
            <w:tcW w:w="1377" w:type="dxa"/>
            <w:tcBorders>
              <w:top w:val="single" w:sz="8"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16,520,000.00</w:t>
            </w:r>
          </w:p>
        </w:tc>
        <w:tc>
          <w:tcPr>
            <w:tcW w:w="2754" w:type="dxa"/>
            <w:tcBorders>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16,520,000.00</w:t>
            </w:r>
          </w:p>
        </w:tc>
      </w:tr>
      <w:tr w:rsidR="00CF103B" w:rsidTr="00F62C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151,761,841.47</w:t>
            </w:r>
          </w:p>
        </w:tc>
        <w:tc>
          <w:tcPr>
            <w:tcW w:w="2754" w:type="dxa"/>
            <w:tcBorders>
              <w:top w:val="single" w:sz="2" w:space="0" w:color="auto"/>
              <w:left w:val="single" w:sz="2" w:space="0" w:color="auto"/>
              <w:bottom w:val="single" w:sz="2" w:space="0" w:color="auto"/>
              <w:right w:val="single" w:sz="2" w:space="0" w:color="auto"/>
            </w:tcBorders>
            <w:vAlign w:val="center"/>
          </w:tcPr>
          <w:p w:rsidR="00CF103B" w:rsidRDefault="00CF103B" w:rsidP="00CF103B">
            <w:pPr>
              <w:spacing w:line="0" w:lineRule="atLeast"/>
              <w:jc w:val="center"/>
              <w:rPr>
                <w:rFonts w:ascii="宋体" w:eastAsia="宋体" w:hAnsi="宋体" w:cs="宋体"/>
                <w:sz w:val="18"/>
                <w:szCs w:val="18"/>
              </w:rPr>
            </w:pPr>
            <w:r>
              <w:rPr>
                <w:rFonts w:ascii="宋体" w:eastAsia="宋体" w:hAnsi="宋体" w:cs="宋体"/>
                <w:sz w:val="18"/>
                <w:szCs w:val="18"/>
              </w:rPr>
              <w:t>16,520,000.00</w:t>
            </w: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168,281,841.47</w:t>
            </w:r>
          </w:p>
        </w:tc>
      </w:tr>
    </w:tbl>
    <w:p w:rsidR="008820E4" w:rsidRDefault="005C49A8">
      <w:pPr>
        <w:keepNext/>
        <w:keepLines/>
        <w:spacing w:before="300" w:after="300" w:line="280" w:lineRule="exact"/>
        <w:outlineLvl w:val="3"/>
        <w:rPr>
          <w:rFonts w:ascii="宋体" w:eastAsia="宋体" w:hAnsi="宋体" w:cs="宋体"/>
          <w:b/>
          <w:bCs/>
          <w:szCs w:val="21"/>
        </w:rPr>
      </w:pPr>
      <w:bookmarkStart w:id="160" w:name="_Toc989186"/>
      <w:r>
        <w:rPr>
          <w:rFonts w:ascii="宋体" w:eastAsia="宋体" w:hAnsi="宋体" w:cs="宋体"/>
          <w:b/>
          <w:bCs/>
          <w:szCs w:val="21"/>
        </w:rPr>
        <w:lastRenderedPageBreak/>
        <w:t>（2） 商誉减值准备</w:t>
      </w:r>
      <w:bookmarkEnd w:id="16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2754"/>
        <w:gridCol w:w="2754"/>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CF103B" w:rsidTr="00C5395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计提</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jc w:val="center"/>
              <w:rPr>
                <w:rFonts w:ascii="宋体" w:eastAsia="宋体" w:hAnsi="宋体" w:cs="宋体"/>
                <w:sz w:val="18"/>
                <w:szCs w:val="18"/>
              </w:rPr>
            </w:pPr>
            <w:r>
              <w:rPr>
                <w:rFonts w:ascii="宋体" w:eastAsia="宋体" w:hAnsi="宋体" w:cs="宋体"/>
                <w:sz w:val="18"/>
                <w:szCs w:val="18"/>
              </w:rPr>
              <w:t>处置</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tc>
      </w:tr>
      <w:tr w:rsidR="00CF103B" w:rsidTr="004A156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top w:val="single" w:sz="2" w:space="0" w:color="auto"/>
              <w:left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r>
      <w:tr w:rsidR="00CF103B" w:rsidTr="004A156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CF103B" w:rsidRDefault="00CF103B">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2754" w:type="dxa"/>
            <w:tcBorders>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CF103B" w:rsidRDefault="00CF103B">
            <w:pPr>
              <w:spacing w:line="0" w:lineRule="atLeast"/>
              <w:jc w:val="right"/>
              <w:rPr>
                <w:rFonts w:ascii="宋体" w:eastAsia="宋体" w:hAnsi="宋体" w:cs="宋体"/>
                <w:sz w:val="18"/>
                <w:szCs w:val="18"/>
              </w:rPr>
            </w:pPr>
            <w:r>
              <w:rPr>
                <w:rFonts w:ascii="宋体" w:eastAsia="宋体" w:hAnsi="宋体" w:cs="宋体"/>
                <w:sz w:val="18"/>
                <w:szCs w:val="18"/>
              </w:rPr>
              <w:t>19,831,313.14</w:t>
            </w:r>
          </w:p>
        </w:tc>
      </w:tr>
    </w:tbl>
    <w:p w:rsidR="00381B41" w:rsidRDefault="005C49A8" w:rsidP="00381B41">
      <w:pPr>
        <w:keepNext/>
        <w:keepLines/>
        <w:spacing w:before="300" w:after="300" w:line="280" w:lineRule="exact"/>
        <w:outlineLvl w:val="3"/>
        <w:rPr>
          <w:rFonts w:ascii="宋体" w:eastAsia="宋体" w:hAnsi="宋体" w:cs="宋体"/>
          <w:b/>
          <w:bCs/>
          <w:szCs w:val="21"/>
        </w:rPr>
      </w:pPr>
      <w:bookmarkStart w:id="161" w:name="_Toc989187"/>
      <w:r>
        <w:rPr>
          <w:rFonts w:ascii="宋体" w:eastAsia="宋体" w:hAnsi="宋体" w:cs="宋体"/>
          <w:b/>
          <w:bCs/>
          <w:szCs w:val="21"/>
        </w:rPr>
        <w:t>（3） 商誉所在资产组或资产组组合的相关信息</w:t>
      </w:r>
      <w:bookmarkEnd w:id="161"/>
    </w:p>
    <w:p w:rsidR="008820E4" w:rsidRDefault="005C49A8" w:rsidP="00381B41">
      <w:pPr>
        <w:keepNext/>
        <w:keepLines/>
        <w:spacing w:before="300" w:after="300" w:line="280" w:lineRule="exact"/>
        <w:outlineLvl w:val="3"/>
        <w:rPr>
          <w:rFonts w:ascii="宋体" w:eastAsia="宋体" w:hAnsi="宋体" w:cs="宋体"/>
          <w:sz w:val="18"/>
          <w:szCs w:val="18"/>
        </w:rPr>
      </w:pPr>
      <w:r>
        <w:rPr>
          <w:rFonts w:ascii="宋体" w:eastAsia="宋体" w:hAnsi="宋体" w:cs="宋体"/>
          <w:sz w:val="18"/>
          <w:szCs w:val="18"/>
        </w:rPr>
        <w:t>其他说明</w:t>
      </w:r>
    </w:p>
    <w:p w:rsidR="005C49A8" w:rsidRDefault="005C49A8" w:rsidP="00381B41">
      <w:pPr>
        <w:pStyle w:val="a3"/>
        <w:ind w:firstLineChars="200" w:firstLine="360"/>
        <w:divId w:val="1611276219"/>
        <w:rPr>
          <w:sz w:val="18"/>
          <w:szCs w:val="18"/>
        </w:rPr>
      </w:pPr>
      <w:r>
        <w:rPr>
          <w:rFonts w:hint="eastAsia"/>
          <w:sz w:val="18"/>
          <w:szCs w:val="18"/>
        </w:rPr>
        <w:t>本公司子公司新疆华孚棉业于2018年1月对新疆棉花交易市场进行增资；注入增资款3,520.00万元，占总价款的100%；合并日，取得的被投资单位可辨认净资产公允价值份额为3,233.86万元，从而形成商誉386.14万元；</w:t>
      </w:r>
    </w:p>
    <w:p w:rsidR="005C49A8" w:rsidRDefault="005C49A8" w:rsidP="00381B41">
      <w:pPr>
        <w:pStyle w:val="a3"/>
        <w:ind w:firstLineChars="200" w:firstLine="360"/>
        <w:divId w:val="1611276219"/>
        <w:rPr>
          <w:sz w:val="18"/>
          <w:szCs w:val="18"/>
        </w:rPr>
      </w:pPr>
      <w:r>
        <w:rPr>
          <w:rFonts w:hint="eastAsia"/>
          <w:sz w:val="18"/>
          <w:szCs w:val="18"/>
        </w:rPr>
        <w:t>本公司子公司深圳</w:t>
      </w:r>
      <w:proofErr w:type="gramStart"/>
      <w:r>
        <w:rPr>
          <w:rFonts w:hint="eastAsia"/>
          <w:sz w:val="18"/>
          <w:szCs w:val="18"/>
        </w:rPr>
        <w:t>网链于</w:t>
      </w:r>
      <w:proofErr w:type="gramEnd"/>
      <w:r>
        <w:rPr>
          <w:rFonts w:hint="eastAsia"/>
          <w:sz w:val="18"/>
          <w:szCs w:val="18"/>
        </w:rPr>
        <w:t>2021年8月以现金27,083.00万元和持有的阿克苏纺织小商品产业园有限公司100%股权、 浙江博忆纺织科技有限公司51%股权、浙江易孚贸易有限公司70%股权向目标公司浙江鲲驰互联科技有限公司进行增资， 投资成本合计为39,161.60万元，取得的被投资单位可辨认净资产公允价值份额为24,371.55万元，从而形成商誉 14,790.05万元。</w:t>
      </w:r>
    </w:p>
    <w:p w:rsidR="005C49A8" w:rsidRDefault="005C49A8" w:rsidP="00381B41">
      <w:pPr>
        <w:pStyle w:val="a3"/>
        <w:ind w:firstLineChars="200" w:firstLine="360"/>
        <w:divId w:val="1611276219"/>
        <w:rPr>
          <w:sz w:val="18"/>
          <w:szCs w:val="18"/>
        </w:rPr>
      </w:pPr>
      <w:r>
        <w:rPr>
          <w:rFonts w:hint="eastAsia"/>
          <w:sz w:val="18"/>
          <w:szCs w:val="18"/>
        </w:rPr>
        <w:t>本公司子公司新疆华孚种业科技股份有限公司于2025年3月以现金1900万元收购新疆硕丰种业有限公司，合并日，取得的被投资单位可辨认净资产公允价值份额为248万元，从而形成商誉1652万元。</w:t>
      </w:r>
    </w:p>
    <w:p w:rsidR="005C49A8" w:rsidRDefault="005C49A8" w:rsidP="00381B41">
      <w:pPr>
        <w:pStyle w:val="a3"/>
        <w:ind w:firstLineChars="200" w:firstLine="360"/>
        <w:divId w:val="1611276219"/>
        <w:rPr>
          <w:sz w:val="18"/>
          <w:szCs w:val="18"/>
        </w:rPr>
      </w:pPr>
      <w:r>
        <w:rPr>
          <w:rFonts w:hint="eastAsia"/>
          <w:sz w:val="18"/>
          <w:szCs w:val="18"/>
        </w:rPr>
        <w:t>上述资产组与购买日所确认的资产组一致。</w:t>
      </w:r>
    </w:p>
    <w:p w:rsidR="008820E4" w:rsidRDefault="005C49A8">
      <w:pPr>
        <w:keepNext/>
        <w:keepLines/>
        <w:spacing w:before="300" w:after="300" w:line="280" w:lineRule="exact"/>
        <w:outlineLvl w:val="3"/>
        <w:rPr>
          <w:rFonts w:ascii="宋体" w:eastAsia="宋体" w:hAnsi="宋体" w:cs="宋体"/>
          <w:b/>
          <w:bCs/>
          <w:szCs w:val="21"/>
        </w:rPr>
      </w:pPr>
      <w:bookmarkStart w:id="162" w:name="_Toc989188"/>
      <w:r>
        <w:rPr>
          <w:rFonts w:ascii="宋体" w:eastAsia="宋体" w:hAnsi="宋体" w:cs="宋体"/>
          <w:b/>
          <w:bCs/>
          <w:szCs w:val="21"/>
        </w:rPr>
        <w:t>（4） 可收回金额的具体确定方法</w:t>
      </w:r>
      <w:bookmarkEnd w:id="16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381B41">
        <w:rPr>
          <w:rFonts w:ascii="宋体" w:eastAsia="宋体" w:hAnsi="宋体" w:cs="宋体" w:hint="eastAsia"/>
          <w:sz w:val="18"/>
          <w:szCs w:val="18"/>
        </w:rPr>
        <w:t>：</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381B41">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63" w:name="_Toc989189"/>
      <w:r>
        <w:rPr>
          <w:rFonts w:ascii="宋体" w:eastAsia="宋体" w:hAnsi="宋体" w:cs="宋体"/>
          <w:b/>
          <w:bCs/>
          <w:szCs w:val="21"/>
        </w:rPr>
        <w:t>（5） 业绩承诺完成及对应商誉减值情况</w:t>
      </w:r>
      <w:bookmarkEnd w:id="16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形成商誉时存在业绩承诺</w:t>
      </w:r>
      <w:proofErr w:type="gramStart"/>
      <w:r>
        <w:rPr>
          <w:rFonts w:ascii="宋体" w:eastAsia="宋体" w:hAnsi="宋体" w:cs="宋体"/>
          <w:sz w:val="18"/>
          <w:szCs w:val="18"/>
        </w:rPr>
        <w:t>且报告</w:t>
      </w:r>
      <w:proofErr w:type="gramEnd"/>
      <w:r>
        <w:rPr>
          <w:rFonts w:ascii="宋体" w:eastAsia="宋体" w:hAnsi="宋体" w:cs="宋体"/>
          <w:sz w:val="18"/>
          <w:szCs w:val="18"/>
        </w:rPr>
        <w:t>期或报告期上一期间处于业绩承诺期内</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1438208389"/>
        <w:rPr>
          <w:sz w:val="18"/>
          <w:szCs w:val="18"/>
        </w:rPr>
      </w:pPr>
      <w:r>
        <w:rPr>
          <w:rFonts w:hint="eastAsia"/>
          <w:sz w:val="18"/>
          <w:szCs w:val="18"/>
        </w:rPr>
        <w:t>1.商誉减值测试过程、关键参数及商誉减值损失的确认方法</w:t>
      </w:r>
    </w:p>
    <w:p w:rsidR="005C49A8" w:rsidRDefault="005C49A8" w:rsidP="00381B41">
      <w:pPr>
        <w:pStyle w:val="a3"/>
        <w:ind w:firstLineChars="100" w:firstLine="180"/>
        <w:divId w:val="1438208389"/>
        <w:rPr>
          <w:sz w:val="18"/>
          <w:szCs w:val="18"/>
        </w:rPr>
      </w:pPr>
      <w:r>
        <w:rPr>
          <w:rFonts w:hint="eastAsia"/>
          <w:sz w:val="18"/>
          <w:szCs w:val="18"/>
        </w:rPr>
        <w:t>（1）新疆棉花交易市场有限责任公司</w:t>
      </w:r>
    </w:p>
    <w:p w:rsidR="005C49A8" w:rsidRDefault="005C49A8" w:rsidP="00381B41">
      <w:pPr>
        <w:pStyle w:val="a3"/>
        <w:ind w:firstLineChars="100" w:firstLine="180"/>
        <w:divId w:val="1438208389"/>
        <w:rPr>
          <w:sz w:val="18"/>
          <w:szCs w:val="18"/>
        </w:rPr>
      </w:pPr>
      <w:r>
        <w:rPr>
          <w:rFonts w:hint="eastAsia"/>
          <w:sz w:val="18"/>
          <w:szCs w:val="18"/>
        </w:rPr>
        <w:lastRenderedPageBreak/>
        <w:t xml:space="preserve"> 新疆棉花交易市场相关资产组的可收回金额是基于以前年度的经营情况、行业发展水平及管理层对市场发展的预期等因素，采用13.98%的折现率，测算预计未来现金流量现值确定得出。报告期内新疆棉花交易市场收入和利润都较收购前有了较大幅度增长，经公司管理层测算、评估，资产组可收回金额大于账面价值，确认商誉不存在减值的迹象，故未计提减值准备。</w:t>
      </w:r>
    </w:p>
    <w:p w:rsidR="005C49A8" w:rsidRDefault="005C49A8" w:rsidP="00381B41">
      <w:pPr>
        <w:pStyle w:val="a3"/>
        <w:ind w:firstLineChars="100" w:firstLine="180"/>
        <w:divId w:val="1438208389"/>
        <w:rPr>
          <w:sz w:val="18"/>
          <w:szCs w:val="18"/>
        </w:rPr>
      </w:pPr>
      <w:r>
        <w:rPr>
          <w:rFonts w:hint="eastAsia"/>
          <w:sz w:val="18"/>
          <w:szCs w:val="18"/>
        </w:rPr>
        <w:t>（2）浙江阿大互联科技有限公司</w:t>
      </w:r>
    </w:p>
    <w:p w:rsidR="005C49A8" w:rsidRDefault="005C49A8" w:rsidP="00381B41">
      <w:pPr>
        <w:pStyle w:val="a3"/>
        <w:ind w:firstLineChars="100" w:firstLine="180"/>
        <w:divId w:val="1438208389"/>
        <w:rPr>
          <w:sz w:val="18"/>
          <w:szCs w:val="18"/>
        </w:rPr>
      </w:pPr>
      <w:r>
        <w:rPr>
          <w:rFonts w:hint="eastAsia"/>
          <w:sz w:val="18"/>
          <w:szCs w:val="18"/>
        </w:rPr>
        <w:t xml:space="preserve"> 公司依据北方</w:t>
      </w:r>
      <w:proofErr w:type="gramStart"/>
      <w:r>
        <w:rPr>
          <w:rFonts w:hint="eastAsia"/>
          <w:sz w:val="18"/>
          <w:szCs w:val="18"/>
        </w:rPr>
        <w:t>亚事资产</w:t>
      </w:r>
      <w:proofErr w:type="gramEnd"/>
      <w:r>
        <w:rPr>
          <w:rFonts w:hint="eastAsia"/>
          <w:sz w:val="18"/>
          <w:szCs w:val="18"/>
        </w:rPr>
        <w:t>评估有限责任公司出具的编号为：</w:t>
      </w:r>
      <w:proofErr w:type="gramStart"/>
      <w:r>
        <w:rPr>
          <w:rFonts w:hint="eastAsia"/>
          <w:sz w:val="18"/>
          <w:szCs w:val="18"/>
        </w:rPr>
        <w:t>北方亚事评报</w:t>
      </w:r>
      <w:proofErr w:type="gramEnd"/>
      <w:r>
        <w:rPr>
          <w:rFonts w:hint="eastAsia"/>
          <w:sz w:val="18"/>
          <w:szCs w:val="18"/>
        </w:rPr>
        <w:t>字[2025]第01-0532号评估报告信息，经测试，浙江阿大互联科技有限公司的相关资产组在2024年12月31日的账面价值为154,795,826.97元，资产可回收金额是134,964,513.83元，包含相关资产组或者资产组组合的可收回金额小于账面价值，商誉发生减值。 </w:t>
      </w:r>
    </w:p>
    <w:p w:rsidR="008820E4" w:rsidRDefault="005C49A8">
      <w:pPr>
        <w:pStyle w:val="3"/>
        <w:spacing w:line="280" w:lineRule="exact"/>
        <w:jc w:val="left"/>
        <w:rPr>
          <w:rFonts w:ascii="宋体" w:hAnsi="宋体" w:cs="宋体"/>
          <w:b/>
          <w:bCs/>
        </w:rPr>
      </w:pPr>
      <w:bookmarkStart w:id="164" w:name="_Toc989190"/>
      <w:r>
        <w:rPr>
          <w:rFonts w:ascii="宋体" w:hAnsi="宋体" w:cs="宋体"/>
          <w:b/>
          <w:bCs/>
        </w:rPr>
        <w:t>28、长期待摊费用</w:t>
      </w:r>
      <w:bookmarkEnd w:id="16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7,037,444.04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1,035,409.39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3,136,493.44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4,936,359.99</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机物料</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2,268,946.04</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5,127,625.66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2,784,064.26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4,612,507.44</w:t>
            </w:r>
          </w:p>
        </w:tc>
      </w:tr>
      <w:tr w:rsidR="008820E4" w:rsidTr="00381B4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2,314,648.38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2,406,117.43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3,110,810.29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85,553.76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1,524,401.76</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11,621,038.46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8,569,152.48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9,031,367.99</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85,553.76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11,073,269.19</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65" w:name="_Toc989191"/>
      <w:r>
        <w:rPr>
          <w:rFonts w:ascii="宋体" w:hAnsi="宋体" w:cs="宋体"/>
          <w:b/>
          <w:bCs/>
        </w:rPr>
        <w:t>29、递延所得税资产/递延所得税负债</w:t>
      </w:r>
      <w:bookmarkEnd w:id="165"/>
    </w:p>
    <w:p w:rsidR="008820E4" w:rsidRDefault="005C49A8">
      <w:pPr>
        <w:keepNext/>
        <w:keepLines/>
        <w:spacing w:before="300" w:after="300" w:line="280" w:lineRule="exact"/>
        <w:outlineLvl w:val="3"/>
        <w:rPr>
          <w:rFonts w:ascii="宋体" w:eastAsia="宋体" w:hAnsi="宋体" w:cs="宋体"/>
          <w:b/>
          <w:bCs/>
          <w:szCs w:val="21"/>
        </w:rPr>
      </w:pPr>
      <w:bookmarkStart w:id="166" w:name="_Toc989192"/>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16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381B41">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381B41">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256,435,465.19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37,516,762.09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163,203,069.04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34,319,724.34</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5,096,088.26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1,274,022.06</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846,915,826.70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168,163,606.55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824,149,808.03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165,493,035.55</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8,092,256.19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53,948,374.63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8,092,256.19</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20,824,903.23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3,935,460.22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20,150,176.89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3,766,778.63</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919,411.67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153,603.02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1,657,390.19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264,299.80</w:t>
            </w:r>
          </w:p>
        </w:tc>
      </w:tr>
      <w:tr w:rsidR="008820E4" w:rsidTr="00381B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1,195,022,298.81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1,068,204,907.04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bl>
    <w:p w:rsidR="008820E4" w:rsidRDefault="005C49A8">
      <w:pPr>
        <w:keepNext/>
        <w:keepLines/>
        <w:spacing w:before="300" w:after="300" w:line="280" w:lineRule="exact"/>
        <w:outlineLvl w:val="3"/>
        <w:rPr>
          <w:rFonts w:ascii="宋体" w:eastAsia="宋体" w:hAnsi="宋体" w:cs="宋体"/>
          <w:b/>
          <w:bCs/>
          <w:szCs w:val="21"/>
        </w:rPr>
      </w:pPr>
      <w:bookmarkStart w:id="167" w:name="_Toc989193"/>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16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递延所得税负债</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51,462,360.87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7,719,354.13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20,033,017.94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3,004,952.69</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715,029.84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178,757.46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715,029.85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178,757.46</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已计提尚未收到的政</w:t>
            </w:r>
            <w:r>
              <w:rPr>
                <w:rFonts w:ascii="宋体" w:eastAsia="宋体" w:hAnsi="宋体" w:cs="宋体"/>
                <w:sz w:val="18"/>
                <w:szCs w:val="18"/>
              </w:rPr>
              <w:lastRenderedPageBreak/>
              <w:t>府补助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86,114,240.87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12,917,136.13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74,335,389.11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11,150,308.37</w:t>
            </w: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未实现内部交易损失</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14,342,078.65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2,311,497.60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381B4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13,205.07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1,980.76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13,205.09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1,980.76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152,646,915.30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95,096,641.99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bl>
    <w:p w:rsidR="008820E4" w:rsidRDefault="005C49A8">
      <w:pPr>
        <w:keepNext/>
        <w:keepLines/>
        <w:spacing w:before="300" w:after="300" w:line="280" w:lineRule="exact"/>
        <w:outlineLvl w:val="3"/>
        <w:rPr>
          <w:rFonts w:ascii="宋体" w:eastAsia="宋体" w:hAnsi="宋体" w:cs="宋体"/>
          <w:b/>
          <w:bCs/>
          <w:szCs w:val="21"/>
        </w:rPr>
      </w:pPr>
      <w:bookmarkStart w:id="168" w:name="_Toc989194"/>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16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217,861,688.07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213,210,116.57</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23,128,726.08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14,335,999.28</w:t>
            </w:r>
          </w:p>
        </w:tc>
      </w:tr>
    </w:tbl>
    <w:p w:rsidR="008820E4" w:rsidRDefault="005C49A8">
      <w:pPr>
        <w:keepNext/>
        <w:keepLines/>
        <w:spacing w:before="300" w:after="300" w:line="280" w:lineRule="exact"/>
        <w:outlineLvl w:val="3"/>
        <w:rPr>
          <w:rFonts w:ascii="宋体" w:eastAsia="宋体" w:hAnsi="宋体" w:cs="宋体"/>
          <w:b/>
          <w:bCs/>
          <w:szCs w:val="21"/>
        </w:rPr>
      </w:pPr>
      <w:bookmarkStart w:id="169" w:name="_Toc989195"/>
      <w:r>
        <w:rPr>
          <w:rFonts w:ascii="宋体" w:eastAsia="宋体" w:hAnsi="宋体" w:cs="宋体"/>
          <w:b/>
          <w:bCs/>
          <w:szCs w:val="21"/>
        </w:rPr>
        <w:t>（4） 未确认递延所得税资产明细</w:t>
      </w:r>
      <w:bookmarkEnd w:id="16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1,809,777,592.96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1,832,237,504.45</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104,505,529.33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106,100,059.37</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存货跌价准备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27,156,073.20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32,353,225.25</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4,636,290.35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6,403,118.11</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19,163,405.00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13,600,938.35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24,573,168.01</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929,282.26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1,959,676,424.19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2,021,759,762.45</w:t>
            </w:r>
          </w:p>
        </w:tc>
      </w:tr>
    </w:tbl>
    <w:p w:rsidR="008820E4" w:rsidRDefault="005C49A8">
      <w:pPr>
        <w:keepNext/>
        <w:keepLines/>
        <w:spacing w:before="300" w:after="300" w:line="280" w:lineRule="exact"/>
        <w:outlineLvl w:val="3"/>
        <w:rPr>
          <w:rFonts w:ascii="宋体" w:eastAsia="宋体" w:hAnsi="宋体" w:cs="宋体"/>
          <w:b/>
          <w:bCs/>
          <w:szCs w:val="21"/>
        </w:rPr>
      </w:pPr>
      <w:bookmarkStart w:id="170" w:name="_Toc989196"/>
      <w:r>
        <w:rPr>
          <w:rFonts w:ascii="宋体" w:eastAsia="宋体" w:hAnsi="宋体" w:cs="宋体"/>
          <w:b/>
          <w:bCs/>
          <w:szCs w:val="21"/>
        </w:rPr>
        <w:t>（5） 未确认递延所得税资产的可抵扣亏损将于以下年度到期</w:t>
      </w:r>
      <w:bookmarkEnd w:id="170"/>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71" w:name="_Toc989197"/>
      <w:r>
        <w:rPr>
          <w:rFonts w:ascii="宋体" w:hAnsi="宋体" w:cs="宋体"/>
          <w:b/>
          <w:bCs/>
        </w:rPr>
        <w:t>30、其他非流动资产</w:t>
      </w:r>
      <w:bookmarkEnd w:id="17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rsidTr="00381B4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预付工程及设备款等</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80,652,289.73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80,652,289.73</w:t>
            </w:r>
          </w:p>
        </w:tc>
      </w:tr>
      <w:tr w:rsidR="008820E4" w:rsidTr="00381B4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预付土地款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90,000,000.00</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158,088,354.94</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170,652,289.73</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72" w:name="_Toc989198"/>
      <w:r>
        <w:rPr>
          <w:rFonts w:ascii="宋体" w:hAnsi="宋体" w:cs="宋体"/>
          <w:b/>
          <w:bCs/>
        </w:rPr>
        <w:t>31、所有权或使用权受到限制的资产</w:t>
      </w:r>
      <w:bookmarkEnd w:id="17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受限情况</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2,818,024,741.04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2,818,024,741.04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票据及借款等保证</w:t>
            </w:r>
            <w:r>
              <w:rPr>
                <w:rFonts w:ascii="宋体" w:eastAsia="宋体" w:hAnsi="宋体" w:cs="宋体"/>
                <w:sz w:val="18"/>
                <w:szCs w:val="18"/>
              </w:rPr>
              <w:lastRenderedPageBreak/>
              <w:t>金</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338,342,899.49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338,342,899.49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票据及借款等保证</w:t>
            </w:r>
            <w:r>
              <w:rPr>
                <w:rFonts w:ascii="宋体" w:eastAsia="宋体" w:hAnsi="宋体" w:cs="宋体"/>
                <w:sz w:val="18"/>
                <w:szCs w:val="18"/>
              </w:rPr>
              <w:lastRenderedPageBreak/>
              <w:t>金</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16,895,779.20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应收票据质押借款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17,303,319.98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17,303,319.98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应收票据质押借款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2,581,706,760.57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1,434,434,093.40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3,534,281,575.43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1,959,719,011.79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71,252,465.89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54,285,076.30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79,338,472.99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60,296,927.65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抵押贷款</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5,487,879,746.70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4,323,639,689.94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3,969,266,267.89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2,375,662,158.91</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73" w:name="_Toc989199"/>
      <w:r>
        <w:rPr>
          <w:rFonts w:ascii="宋体" w:hAnsi="宋体" w:cs="宋体"/>
          <w:b/>
          <w:bCs/>
        </w:rPr>
        <w:t>32、短期借款</w:t>
      </w:r>
      <w:bookmarkEnd w:id="173"/>
    </w:p>
    <w:p w:rsidR="008820E4" w:rsidRDefault="005C49A8">
      <w:pPr>
        <w:keepNext/>
        <w:keepLines/>
        <w:spacing w:before="300" w:after="300" w:line="280" w:lineRule="exact"/>
        <w:outlineLvl w:val="3"/>
        <w:rPr>
          <w:rFonts w:ascii="宋体" w:eastAsia="宋体" w:hAnsi="宋体" w:cs="宋体"/>
          <w:b/>
          <w:bCs/>
          <w:szCs w:val="21"/>
        </w:rPr>
      </w:pPr>
      <w:bookmarkStart w:id="174" w:name="_Toc989200"/>
      <w:r>
        <w:rPr>
          <w:rFonts w:ascii="宋体" w:eastAsia="宋体" w:hAnsi="宋体" w:cs="宋体"/>
          <w:b/>
          <w:bCs/>
          <w:szCs w:val="21"/>
        </w:rPr>
        <w:t>（1） 短期借款分类</w:t>
      </w:r>
      <w:bookmarkEnd w:id="17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2,039,240,000.00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258,148,536.90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1,174,352,235.07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3,424,662,297.29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3,444,050,000.00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161,500,000.00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1,034,670,000.00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保证及抵押借款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944,000,000.00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保证、抵押及质押借款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1,299,990,000.00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899,390,000.00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抵押、质押借款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269,360,000.00</w:t>
            </w:r>
          </w:p>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短期借款利息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509,020.82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5,660,840.51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8,350,049,855.01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7,771,483,075.58</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短期借款分类的说明：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75" w:name="_Toc989201"/>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175"/>
    </w:p>
    <w:p w:rsidR="005C49A8" w:rsidRDefault="005C49A8">
      <w:pPr>
        <w:pStyle w:val="a3"/>
        <w:divId w:val="170860081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76" w:name="_Toc989202"/>
      <w:r>
        <w:rPr>
          <w:rFonts w:ascii="宋体" w:hAnsi="宋体" w:cs="宋体"/>
          <w:b/>
          <w:bCs/>
        </w:rPr>
        <w:t>33、交易性金融负债</w:t>
      </w:r>
      <w:bookmarkEnd w:id="17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381B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CF103B">
            <w:pPr>
              <w:spacing w:line="0" w:lineRule="atLeast"/>
              <w:ind w:firstLineChars="200" w:firstLine="36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199,494.26</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77" w:name="_Toc989203"/>
      <w:r>
        <w:rPr>
          <w:rFonts w:ascii="宋体" w:hAnsi="宋体" w:cs="宋体"/>
          <w:b/>
          <w:bCs/>
        </w:rPr>
        <w:t>34、衍生金融负债</w:t>
      </w:r>
      <w:bookmarkEnd w:id="177"/>
    </w:p>
    <w:p w:rsidR="005C49A8" w:rsidRDefault="005C49A8">
      <w:pPr>
        <w:pStyle w:val="a3"/>
        <w:divId w:val="173631510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78" w:name="_Toc989204"/>
      <w:r>
        <w:rPr>
          <w:rFonts w:ascii="宋体" w:hAnsi="宋体" w:cs="宋体"/>
          <w:b/>
          <w:bCs/>
        </w:rPr>
        <w:lastRenderedPageBreak/>
        <w:t>35、应付票据</w:t>
      </w:r>
      <w:bookmarkEnd w:id="17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74,869,282.09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66,703,857.91</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w:t>
      </w:r>
      <w:proofErr w:type="gramStart"/>
      <w:r>
        <w:rPr>
          <w:rFonts w:ascii="宋体" w:eastAsia="宋体" w:hAnsi="宋体" w:cs="宋体"/>
          <w:sz w:val="18"/>
          <w:szCs w:val="18"/>
        </w:rPr>
        <w:t>期末已</w:t>
      </w:r>
      <w:proofErr w:type="gramEnd"/>
      <w:r>
        <w:rPr>
          <w:rFonts w:ascii="宋体" w:eastAsia="宋体" w:hAnsi="宋体" w:cs="宋体"/>
          <w:sz w:val="18"/>
          <w:szCs w:val="18"/>
        </w:rPr>
        <w:t>到期未支付的应付票据总额为0.00元，到期未付的原因为无。</w:t>
      </w:r>
    </w:p>
    <w:p w:rsidR="008820E4" w:rsidRDefault="005C49A8">
      <w:pPr>
        <w:pStyle w:val="3"/>
        <w:spacing w:line="280" w:lineRule="exact"/>
        <w:jc w:val="left"/>
        <w:rPr>
          <w:rFonts w:ascii="宋体" w:hAnsi="宋体" w:cs="宋体"/>
          <w:b/>
          <w:bCs/>
        </w:rPr>
      </w:pPr>
      <w:bookmarkStart w:id="179" w:name="_Toc989205"/>
      <w:r>
        <w:rPr>
          <w:rFonts w:ascii="宋体" w:hAnsi="宋体" w:cs="宋体"/>
          <w:b/>
          <w:bCs/>
        </w:rPr>
        <w:t>36、应付账款</w:t>
      </w:r>
      <w:bookmarkEnd w:id="179"/>
    </w:p>
    <w:p w:rsidR="008820E4" w:rsidRDefault="005C49A8">
      <w:pPr>
        <w:keepNext/>
        <w:keepLines/>
        <w:spacing w:before="300" w:after="300" w:line="280" w:lineRule="exact"/>
        <w:outlineLvl w:val="3"/>
        <w:rPr>
          <w:rFonts w:ascii="宋体" w:eastAsia="宋体" w:hAnsi="宋体" w:cs="宋体"/>
          <w:b/>
          <w:bCs/>
          <w:sz w:val="18"/>
          <w:szCs w:val="18"/>
        </w:rPr>
      </w:pPr>
      <w:bookmarkStart w:id="180" w:name="_Toc989206"/>
      <w:r>
        <w:rPr>
          <w:rFonts w:ascii="宋体" w:eastAsia="宋体" w:hAnsi="宋体" w:cs="宋体"/>
          <w:b/>
          <w:bCs/>
          <w:sz w:val="18"/>
          <w:szCs w:val="18"/>
        </w:rPr>
        <w:t>（1） 应付账款列示</w:t>
      </w:r>
      <w:bookmarkEnd w:id="18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870,261,047.09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700,424,592.87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75,201,209.46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107,171,647.86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91,410,024.23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54,029,744.22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13,087,016.26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17,199,552.83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1,049,959,297.04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878,825,537.78</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181" w:name="_Toc989207"/>
      <w:r>
        <w:rPr>
          <w:rFonts w:ascii="宋体" w:eastAsia="宋体" w:hAnsi="宋体" w:cs="宋体"/>
          <w:b/>
          <w:bCs/>
          <w:sz w:val="18"/>
          <w:szCs w:val="18"/>
        </w:rPr>
        <w:t>（2） 账龄超过1年或逾期的重要应付账款</w:t>
      </w:r>
      <w:bookmarkEnd w:id="18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新疆九州建设集团有限公司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未达到结算条件</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82" w:name="_Toc989208"/>
      <w:r>
        <w:rPr>
          <w:rFonts w:ascii="宋体" w:hAnsi="宋体" w:cs="宋体"/>
          <w:b/>
          <w:bCs/>
        </w:rPr>
        <w:t>37、其他应付款</w:t>
      </w:r>
      <w:bookmarkEnd w:id="18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bl>
    <w:p w:rsidR="008820E4" w:rsidRDefault="005C49A8">
      <w:pPr>
        <w:keepNext/>
        <w:keepLines/>
        <w:spacing w:before="300" w:after="300" w:line="280" w:lineRule="exact"/>
        <w:outlineLvl w:val="3"/>
        <w:rPr>
          <w:rFonts w:ascii="宋体" w:eastAsia="宋体" w:hAnsi="宋体" w:cs="宋体"/>
          <w:b/>
          <w:bCs/>
          <w:szCs w:val="21"/>
        </w:rPr>
      </w:pPr>
      <w:bookmarkStart w:id="183" w:name="_Toc989209"/>
      <w:r>
        <w:rPr>
          <w:rFonts w:ascii="宋体" w:eastAsia="宋体" w:hAnsi="宋体" w:cs="宋体"/>
          <w:b/>
          <w:bCs/>
          <w:szCs w:val="21"/>
        </w:rPr>
        <w:t>（1） 应付利息</w:t>
      </w:r>
      <w:bookmarkEnd w:id="183"/>
    </w:p>
    <w:p w:rsidR="005C49A8" w:rsidRDefault="005C49A8">
      <w:pPr>
        <w:pStyle w:val="a3"/>
        <w:divId w:val="1406686626"/>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84" w:name="_Toc989210"/>
      <w:r>
        <w:rPr>
          <w:rFonts w:ascii="宋体" w:eastAsia="宋体" w:hAnsi="宋体" w:cs="宋体"/>
          <w:b/>
          <w:bCs/>
          <w:szCs w:val="21"/>
        </w:rPr>
        <w:t>（2） 应付股利</w:t>
      </w:r>
      <w:bookmarkEnd w:id="184"/>
    </w:p>
    <w:p w:rsidR="005C49A8" w:rsidRDefault="005C49A8">
      <w:pPr>
        <w:pStyle w:val="a3"/>
        <w:divId w:val="128693523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185" w:name="_Toc989211"/>
      <w:r>
        <w:rPr>
          <w:rFonts w:ascii="宋体" w:eastAsia="宋体" w:hAnsi="宋体" w:cs="宋体"/>
          <w:b/>
          <w:bCs/>
          <w:szCs w:val="21"/>
        </w:rPr>
        <w:lastRenderedPageBreak/>
        <w:t>（3） 其他应付款</w:t>
      </w:r>
      <w:bookmarkEnd w:id="185"/>
    </w:p>
    <w:p w:rsidR="008820E4" w:rsidRDefault="005C49A8">
      <w:pPr>
        <w:keepNext/>
        <w:keepLines/>
        <w:spacing w:before="300" w:after="300" w:line="280" w:lineRule="exact"/>
        <w:outlineLvl w:val="4"/>
        <w:rPr>
          <w:rFonts w:ascii="宋体" w:eastAsia="宋体" w:hAnsi="宋体" w:cs="宋体"/>
          <w:b/>
          <w:bCs/>
          <w:sz w:val="18"/>
          <w:szCs w:val="18"/>
        </w:rPr>
      </w:pPr>
      <w:bookmarkStart w:id="186" w:name="_Toc989212"/>
      <w:r>
        <w:rPr>
          <w:rFonts w:ascii="宋体" w:eastAsia="宋体" w:hAnsi="宋体" w:cs="宋体"/>
          <w:b/>
          <w:bCs/>
          <w:sz w:val="18"/>
          <w:szCs w:val="18"/>
        </w:rPr>
        <w:t>1） 按款项性质列示其他应付款</w:t>
      </w:r>
      <w:bookmarkEnd w:id="18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质保金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3,242,262.76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1,171,193.70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46,497,182.47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67,647,395.24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20,437,212.60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19,326,328.26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暂收款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20,503,572.97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19,442,264.67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运费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20,388,712.61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31,220,403.99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5,887,726.70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5,887,828.70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19,296,615.31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11,504,296.11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136,253,285.42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156,199,710.67</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187" w:name="_Toc989213"/>
      <w:r>
        <w:rPr>
          <w:rFonts w:ascii="宋体" w:eastAsia="宋体" w:hAnsi="宋体" w:cs="宋体"/>
          <w:b/>
          <w:bCs/>
          <w:sz w:val="18"/>
          <w:szCs w:val="18"/>
        </w:rPr>
        <w:t>2） 账龄超过1年或逾期的重要其他应付款</w:t>
      </w:r>
      <w:bookmarkEnd w:id="18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双五千资金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9,325,675.25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尚未拨付给员工</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应交土地费用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5,887,726.70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未支付</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15,213,401.95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88" w:name="_Toc989214"/>
      <w:r>
        <w:rPr>
          <w:rFonts w:ascii="宋体" w:hAnsi="宋体" w:cs="宋体"/>
          <w:b/>
          <w:bCs/>
        </w:rPr>
        <w:t>38、预收款项</w:t>
      </w:r>
      <w:bookmarkEnd w:id="188"/>
    </w:p>
    <w:p w:rsidR="008820E4" w:rsidRDefault="005C49A8">
      <w:pPr>
        <w:keepNext/>
        <w:keepLines/>
        <w:spacing w:before="300" w:after="300" w:line="280" w:lineRule="exact"/>
        <w:outlineLvl w:val="3"/>
        <w:rPr>
          <w:rFonts w:ascii="宋体" w:eastAsia="宋体" w:hAnsi="宋体" w:cs="宋体"/>
          <w:b/>
          <w:bCs/>
          <w:szCs w:val="21"/>
        </w:rPr>
      </w:pPr>
      <w:bookmarkStart w:id="189" w:name="_Toc989215"/>
      <w:r>
        <w:rPr>
          <w:rFonts w:ascii="宋体" w:eastAsia="宋体" w:hAnsi="宋体" w:cs="宋体"/>
          <w:b/>
          <w:bCs/>
          <w:szCs w:val="21"/>
        </w:rPr>
        <w:t>（1） 预收款项列示</w:t>
      </w:r>
      <w:bookmarkEnd w:id="18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预收租金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11,132,758.67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7,589,549.18</w:t>
            </w:r>
          </w:p>
        </w:tc>
      </w:tr>
    </w:tbl>
    <w:p w:rsidR="008820E4" w:rsidRDefault="005C49A8">
      <w:pPr>
        <w:keepNext/>
        <w:keepLines/>
        <w:spacing w:before="300" w:after="300" w:line="280" w:lineRule="exact"/>
        <w:outlineLvl w:val="3"/>
        <w:rPr>
          <w:rFonts w:ascii="宋体" w:eastAsia="宋体" w:hAnsi="宋体" w:cs="宋体"/>
          <w:b/>
          <w:bCs/>
          <w:szCs w:val="21"/>
        </w:rPr>
      </w:pPr>
      <w:bookmarkStart w:id="190" w:name="_Toc989216"/>
      <w:r>
        <w:rPr>
          <w:rFonts w:ascii="宋体" w:eastAsia="宋体" w:hAnsi="宋体" w:cs="宋体"/>
          <w:b/>
          <w:bCs/>
          <w:szCs w:val="21"/>
        </w:rPr>
        <w:t>（2） 账龄超过1年或逾期的重要预收款项</w:t>
      </w:r>
      <w:bookmarkEnd w:id="190"/>
    </w:p>
    <w:p w:rsidR="005C49A8" w:rsidRDefault="005C49A8">
      <w:pPr>
        <w:pStyle w:val="a3"/>
        <w:divId w:val="157909691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91" w:name="_Toc989217"/>
      <w:r>
        <w:rPr>
          <w:rFonts w:ascii="宋体" w:hAnsi="宋体" w:cs="宋体"/>
          <w:b/>
          <w:bCs/>
        </w:rPr>
        <w:t>39、合同负债</w:t>
      </w:r>
      <w:bookmarkEnd w:id="19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603,682,521.14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557,556,525.74</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账龄超过1年的重要合同负债</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库车利华纺织有限公司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1,179,245.28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未达到结算条件</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1,179,245.28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pStyle w:val="3"/>
        <w:spacing w:line="280" w:lineRule="exact"/>
        <w:jc w:val="left"/>
        <w:rPr>
          <w:rFonts w:ascii="宋体" w:hAnsi="宋体" w:cs="宋体"/>
          <w:b/>
          <w:bCs/>
        </w:rPr>
      </w:pPr>
      <w:bookmarkStart w:id="192" w:name="_Toc989218"/>
      <w:r>
        <w:rPr>
          <w:rFonts w:ascii="宋体" w:hAnsi="宋体" w:cs="宋体"/>
          <w:b/>
          <w:bCs/>
        </w:rPr>
        <w:lastRenderedPageBreak/>
        <w:t>40、应付职工薪</w:t>
      </w:r>
      <w:proofErr w:type="gramStart"/>
      <w:r>
        <w:rPr>
          <w:rFonts w:ascii="宋体" w:hAnsi="宋体" w:cs="宋体"/>
          <w:b/>
          <w:bCs/>
        </w:rPr>
        <w:t>酬</w:t>
      </w:r>
      <w:bookmarkEnd w:id="192"/>
      <w:proofErr w:type="gramEnd"/>
    </w:p>
    <w:p w:rsidR="008820E4" w:rsidRDefault="005C49A8">
      <w:pPr>
        <w:keepNext/>
        <w:keepLines/>
        <w:spacing w:before="300" w:after="300" w:line="280" w:lineRule="exact"/>
        <w:outlineLvl w:val="3"/>
        <w:rPr>
          <w:rFonts w:ascii="宋体" w:eastAsia="宋体" w:hAnsi="宋体" w:cs="宋体"/>
          <w:b/>
          <w:bCs/>
          <w:szCs w:val="21"/>
        </w:rPr>
      </w:pPr>
      <w:bookmarkStart w:id="193" w:name="_Toc989219"/>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19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70,461,124.45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394,719,398.13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408,808,375.39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56,372,147.19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761,966.95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27,538,393.12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27,410,324.29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890,035.78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139,381.00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139,381.00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71,223,091.40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422,397,172.25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436,358,080.68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57,262,182.97</w:t>
            </w:r>
          </w:p>
        </w:tc>
      </w:tr>
    </w:tbl>
    <w:p w:rsidR="008820E4" w:rsidRDefault="005C49A8">
      <w:pPr>
        <w:keepNext/>
        <w:keepLines/>
        <w:spacing w:before="300" w:after="300" w:line="280" w:lineRule="exact"/>
        <w:outlineLvl w:val="3"/>
        <w:rPr>
          <w:rFonts w:ascii="宋体" w:eastAsia="宋体" w:hAnsi="宋体" w:cs="宋体"/>
          <w:b/>
          <w:bCs/>
          <w:szCs w:val="21"/>
        </w:rPr>
      </w:pPr>
      <w:bookmarkStart w:id="194" w:name="_Toc989220"/>
      <w:r>
        <w:rPr>
          <w:rFonts w:ascii="宋体" w:eastAsia="宋体" w:hAnsi="宋体" w:cs="宋体"/>
          <w:b/>
          <w:bCs/>
          <w:szCs w:val="21"/>
        </w:rPr>
        <w:t>（2） 短期薪酬列示</w:t>
      </w:r>
      <w:bookmarkEnd w:id="19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64,221,214.51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372,165,062.44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386,051,868.92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50,334,408.03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566,717.44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4,800,551.39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4,789,090.85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578,177.98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2,946,232.67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14,685,560.13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16,092,525.71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1,539,267.09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2,900,578.05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13,074,754.34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14,483,816.24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1,491,516.15</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45,654.62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1,508,534.31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1,506,437.99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47,750.94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102,271.48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102,271.48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117,147.00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1,010,428.76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1,010,928.76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116,647.00</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2,609,812.83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2,057,795.41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863,961.15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3,803,647.09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70,461,124.45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394,719,398.13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408,808,375.39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56,372,147.19</w:t>
            </w:r>
          </w:p>
        </w:tc>
      </w:tr>
    </w:tbl>
    <w:p w:rsidR="008820E4" w:rsidRDefault="005C49A8">
      <w:pPr>
        <w:keepNext/>
        <w:keepLines/>
        <w:spacing w:before="300" w:after="300" w:line="280" w:lineRule="exact"/>
        <w:outlineLvl w:val="3"/>
        <w:rPr>
          <w:rFonts w:ascii="宋体" w:eastAsia="宋体" w:hAnsi="宋体" w:cs="宋体"/>
          <w:b/>
          <w:bCs/>
          <w:szCs w:val="21"/>
        </w:rPr>
      </w:pPr>
      <w:bookmarkStart w:id="195" w:name="_Toc989221"/>
      <w:r>
        <w:rPr>
          <w:rFonts w:ascii="宋体" w:eastAsia="宋体" w:hAnsi="宋体" w:cs="宋体"/>
          <w:b/>
          <w:bCs/>
          <w:szCs w:val="21"/>
        </w:rPr>
        <w:t>（3） 设定提存计划列示</w:t>
      </w:r>
      <w:bookmarkEnd w:id="19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666,950.06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26,706,513.27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26,580,770.14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792,693.19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95,016.89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831,879.85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829,554.15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97,342.59</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761,966.95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27,538,393.12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27,410,324.29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890,035.78</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96" w:name="_Toc989222"/>
      <w:r>
        <w:rPr>
          <w:rFonts w:ascii="宋体" w:hAnsi="宋体" w:cs="宋体"/>
          <w:b/>
          <w:bCs/>
        </w:rPr>
        <w:t>41、应交税费</w:t>
      </w:r>
      <w:bookmarkEnd w:id="19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26,367,706.86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8,699,137.52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5,391,239.69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14,017,357.47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2,816,427.07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1,621,731.87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860,530.07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689,024.84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4,795,241.95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5,581,658.99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3,908,872.36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6,749,295.27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615,017.72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485,006.17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4,078,752.01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4,870,191.24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48,833,787.73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42,713,403.37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197" w:name="_Toc989223"/>
      <w:r>
        <w:rPr>
          <w:rFonts w:ascii="宋体" w:hAnsi="宋体" w:cs="宋体"/>
          <w:b/>
          <w:bCs/>
        </w:rPr>
        <w:t>42、持有待售负债</w:t>
      </w:r>
      <w:bookmarkEnd w:id="197"/>
    </w:p>
    <w:p w:rsidR="005C49A8" w:rsidRDefault="005C49A8">
      <w:pPr>
        <w:pStyle w:val="a3"/>
        <w:divId w:val="17631503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198" w:name="_Toc989224"/>
      <w:r>
        <w:rPr>
          <w:rFonts w:ascii="宋体" w:hAnsi="宋体" w:cs="宋体"/>
          <w:b/>
          <w:bCs/>
        </w:rPr>
        <w:t>43、一年内到期的非流动负债</w:t>
      </w:r>
      <w:bookmarkEnd w:id="19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441,696,000.00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312,180,000.00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3,419,820.65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4,281,566.77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计提的长期借款利息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651,305.33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1,355,306.65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445,767,125.98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317,816,873.42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199" w:name="_Toc989225"/>
      <w:r>
        <w:rPr>
          <w:rFonts w:ascii="宋体" w:hAnsi="宋体" w:cs="宋体"/>
          <w:b/>
          <w:bCs/>
        </w:rPr>
        <w:t>44、其他流动负债</w:t>
      </w:r>
      <w:bookmarkEnd w:id="19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EA52D0">
            <w:pPr>
              <w:spacing w:line="0" w:lineRule="atLeast"/>
              <w:rPr>
                <w:rFonts w:ascii="宋体" w:eastAsia="宋体" w:hAnsi="宋体" w:cs="宋体"/>
                <w:sz w:val="18"/>
                <w:szCs w:val="18"/>
              </w:rPr>
            </w:pPr>
            <w:r w:rsidRPr="00EA52D0">
              <w:rPr>
                <w:rFonts w:ascii="宋体" w:eastAsia="宋体" w:hAnsi="宋体" w:cs="宋体" w:hint="eastAsia"/>
                <w:sz w:val="18"/>
                <w:szCs w:val="18"/>
              </w:rPr>
              <w:t>待结转增值税额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51,230,493.75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60,619,344.22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00" w:name="_Toc989226"/>
      <w:r>
        <w:rPr>
          <w:rFonts w:ascii="宋体" w:hAnsi="宋体" w:cs="宋体"/>
          <w:b/>
          <w:bCs/>
        </w:rPr>
        <w:t>45、长期借款</w:t>
      </w:r>
      <w:bookmarkEnd w:id="200"/>
    </w:p>
    <w:p w:rsidR="008820E4" w:rsidRDefault="005C49A8">
      <w:pPr>
        <w:keepNext/>
        <w:keepLines/>
        <w:spacing w:before="300" w:after="300" w:line="280" w:lineRule="exact"/>
        <w:outlineLvl w:val="3"/>
        <w:rPr>
          <w:rFonts w:ascii="宋体" w:eastAsia="宋体" w:hAnsi="宋体" w:cs="宋体"/>
          <w:b/>
          <w:bCs/>
          <w:sz w:val="18"/>
          <w:szCs w:val="18"/>
        </w:rPr>
      </w:pPr>
      <w:bookmarkStart w:id="201" w:name="_Toc989227"/>
      <w:r>
        <w:rPr>
          <w:rFonts w:ascii="宋体" w:eastAsia="宋体" w:hAnsi="宋体" w:cs="宋体"/>
          <w:b/>
          <w:bCs/>
          <w:sz w:val="18"/>
          <w:szCs w:val="18"/>
        </w:rPr>
        <w:t>（1） 长期借款分类</w:t>
      </w:r>
      <w:bookmarkEnd w:id="20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413,991,436.67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414,182,438.84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555,600,000.00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299,980,000.00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3,642,973.62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35,067,415.43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保证、抵押借款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453,806,000.00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381,806,000.00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651,305.33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1,355,306.65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-442,347,305.33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-313,535,306.65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985,344,410.29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818,855,854.27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长期借款分类的说明：</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其他说明，包括利率区间：</w:t>
      </w:r>
      <w:r>
        <w:rPr>
          <w:rFonts w:hint="eastAsia"/>
          <w:sz w:val="18"/>
          <w:szCs w:val="18"/>
        </w:rPr>
        <w:t>无</w:t>
      </w:r>
    </w:p>
    <w:p w:rsidR="008820E4" w:rsidRDefault="005C49A8">
      <w:pPr>
        <w:pStyle w:val="3"/>
        <w:spacing w:line="280" w:lineRule="exact"/>
        <w:jc w:val="left"/>
        <w:rPr>
          <w:rFonts w:ascii="宋体" w:hAnsi="宋体" w:cs="宋体"/>
          <w:b/>
          <w:bCs/>
        </w:rPr>
      </w:pPr>
      <w:bookmarkStart w:id="202" w:name="_Toc989228"/>
      <w:r>
        <w:rPr>
          <w:rFonts w:ascii="宋体" w:hAnsi="宋体" w:cs="宋体"/>
          <w:b/>
          <w:bCs/>
        </w:rPr>
        <w:lastRenderedPageBreak/>
        <w:t>46、应付债券</w:t>
      </w:r>
      <w:bookmarkEnd w:id="202"/>
    </w:p>
    <w:p w:rsidR="008820E4" w:rsidRDefault="005C49A8">
      <w:pPr>
        <w:keepNext/>
        <w:keepLines/>
        <w:spacing w:before="300" w:after="300" w:line="280" w:lineRule="exact"/>
        <w:outlineLvl w:val="3"/>
        <w:rPr>
          <w:rFonts w:ascii="宋体" w:eastAsia="宋体" w:hAnsi="宋体" w:cs="宋体"/>
          <w:b/>
          <w:bCs/>
          <w:szCs w:val="21"/>
        </w:rPr>
      </w:pPr>
      <w:bookmarkStart w:id="203" w:name="_Toc989229"/>
      <w:r>
        <w:rPr>
          <w:rFonts w:ascii="宋体" w:eastAsia="宋体" w:hAnsi="宋体" w:cs="宋体"/>
          <w:b/>
          <w:bCs/>
          <w:szCs w:val="21"/>
        </w:rPr>
        <w:t>（1） 应付债券</w:t>
      </w:r>
      <w:bookmarkEnd w:id="203"/>
    </w:p>
    <w:p w:rsidR="00381B41" w:rsidRDefault="00381B41" w:rsidP="00381B41">
      <w:pPr>
        <w:spacing w:before="100" w:after="100" w:line="240" w:lineRule="exact"/>
        <w:rPr>
          <w:rFonts w:ascii="宋体" w:eastAsia="宋体" w:hAnsi="宋体" w:cs="宋体"/>
          <w:sz w:val="18"/>
          <w:szCs w:val="18"/>
        </w:rPr>
      </w:pPr>
      <w:bookmarkStart w:id="204" w:name="_Toc989230"/>
      <w:r>
        <w:rPr>
          <w:rFonts w:ascii="宋体" w:eastAsia="宋体" w:hAnsi="宋体" w:cs="宋体" w:hint="eastAsia"/>
          <w:sz w:val="18"/>
          <w:szCs w:val="18"/>
        </w:rPr>
        <w:t>无</w:t>
      </w:r>
    </w:p>
    <w:p w:rsidR="008820E4" w:rsidRDefault="00381B41">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应付债券的增减变动（不包括划分为金融负债的优先股、永续债等其他金融工具）</w:t>
      </w:r>
      <w:bookmarkEnd w:id="204"/>
    </w:p>
    <w:p w:rsidR="00381B41" w:rsidRDefault="00381B41" w:rsidP="00381B41">
      <w:pPr>
        <w:spacing w:before="100" w:after="100" w:line="240" w:lineRule="exact"/>
        <w:rPr>
          <w:rFonts w:ascii="宋体" w:eastAsia="宋体" w:hAnsi="宋体" w:cs="宋体"/>
          <w:sz w:val="18"/>
          <w:szCs w:val="18"/>
        </w:rPr>
      </w:pPr>
      <w:bookmarkStart w:id="205" w:name="_Toc989231"/>
      <w:r>
        <w:rPr>
          <w:rFonts w:ascii="宋体" w:eastAsia="宋体" w:hAnsi="宋体" w:cs="宋体"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（3） 可转换公司债</w:t>
      </w:r>
      <w:proofErr w:type="gramStart"/>
      <w:r>
        <w:rPr>
          <w:rFonts w:ascii="宋体" w:eastAsia="宋体" w:hAnsi="宋体" w:cs="宋体"/>
          <w:b/>
          <w:bCs/>
          <w:szCs w:val="21"/>
        </w:rPr>
        <w:t>券</w:t>
      </w:r>
      <w:proofErr w:type="gramEnd"/>
      <w:r>
        <w:rPr>
          <w:rFonts w:ascii="宋体" w:eastAsia="宋体" w:hAnsi="宋体" w:cs="宋体"/>
          <w:b/>
          <w:bCs/>
          <w:szCs w:val="21"/>
        </w:rPr>
        <w:t>的说明</w:t>
      </w:r>
      <w:bookmarkEnd w:id="205"/>
    </w:p>
    <w:p w:rsidR="005C49A8" w:rsidRDefault="005C49A8">
      <w:pPr>
        <w:pStyle w:val="a3"/>
        <w:divId w:val="186767596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06" w:name="_Toc989232"/>
      <w:r>
        <w:rPr>
          <w:rFonts w:ascii="宋体" w:eastAsia="宋体" w:hAnsi="宋体" w:cs="宋体"/>
          <w:b/>
          <w:bCs/>
          <w:szCs w:val="21"/>
        </w:rPr>
        <w:t>（4） 划分为金融负债的其他金融工具说明</w:t>
      </w:r>
      <w:bookmarkEnd w:id="206"/>
    </w:p>
    <w:p w:rsidR="005C49A8" w:rsidRPr="00132FE9" w:rsidRDefault="005C49A8" w:rsidP="00132FE9">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期末发行在外的优先股、永续债等其他金融工具基本情况</w:t>
      </w:r>
      <w:r w:rsidR="00132FE9">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期末发行在外的优先股、永续债等金融工具变动情况表</w:t>
      </w:r>
      <w:r w:rsidR="00132FE9">
        <w:rPr>
          <w:rFonts w:ascii="宋体" w:eastAsia="宋体" w:hAnsi="宋体" w:cs="宋体"/>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其他金融工具划分为金融负债的依据说明</w:t>
      </w:r>
      <w:r w:rsidR="00381B41">
        <w:rPr>
          <w:rFonts w:ascii="宋体" w:eastAsia="宋体" w:hAnsi="宋体" w:cs="宋体" w:hint="eastAsia"/>
          <w:sz w:val="18"/>
          <w:szCs w:val="18"/>
        </w:rPr>
        <w:t>：</w:t>
      </w:r>
      <w:r>
        <w:rPr>
          <w:rFonts w:hint="eastAsia"/>
          <w:sz w:val="18"/>
          <w:szCs w:val="18"/>
        </w:rPr>
        <w:t>无</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07" w:name="_Toc989233"/>
      <w:r>
        <w:rPr>
          <w:rFonts w:ascii="宋体" w:hAnsi="宋体" w:cs="宋体"/>
          <w:b/>
          <w:bCs/>
        </w:rPr>
        <w:t>47、租赁负债</w:t>
      </w:r>
      <w:bookmarkEnd w:id="20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租赁房屋建筑物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25,852,616.73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27,939,315.71</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租赁设备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381,244.67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435,103.17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-216,439.30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-757,272.14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-3,419,820.65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-4,281,566.77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22,597,601.45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23,335,579.97</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08" w:name="_Toc989234"/>
      <w:r>
        <w:rPr>
          <w:rFonts w:ascii="宋体" w:hAnsi="宋体" w:cs="宋体"/>
          <w:b/>
          <w:bCs/>
        </w:rPr>
        <w:t>48、长期应付款</w:t>
      </w:r>
      <w:bookmarkEnd w:id="20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209" w:name="_Toc989235"/>
      <w:r>
        <w:rPr>
          <w:rFonts w:ascii="宋体" w:eastAsia="宋体" w:hAnsi="宋体" w:cs="宋体"/>
          <w:b/>
          <w:bCs/>
          <w:sz w:val="18"/>
          <w:szCs w:val="18"/>
        </w:rPr>
        <w:t>（1） 按款项性质列示长期应付款</w:t>
      </w:r>
      <w:bookmarkEnd w:id="20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担保损失备付金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4,367,138.45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附限制</w:t>
            </w:r>
            <w:proofErr w:type="gramEnd"/>
            <w:r>
              <w:rPr>
                <w:rFonts w:ascii="宋体" w:eastAsia="宋体" w:hAnsi="宋体" w:cs="宋体"/>
                <w:sz w:val="18"/>
                <w:szCs w:val="18"/>
              </w:rPr>
              <w:t>条件的投资款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股权款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减：一年内到期的长期应付款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244,367,138.45</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10" w:name="_Toc989236"/>
      <w:r>
        <w:rPr>
          <w:rFonts w:ascii="宋体" w:eastAsia="宋体" w:hAnsi="宋体" w:cs="宋体"/>
          <w:b/>
          <w:bCs/>
          <w:sz w:val="18"/>
          <w:szCs w:val="18"/>
        </w:rPr>
        <w:t>（2） 专项应付款</w:t>
      </w:r>
      <w:bookmarkEnd w:id="210"/>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11" w:name="_Toc989237"/>
      <w:r>
        <w:rPr>
          <w:rFonts w:ascii="宋体" w:hAnsi="宋体" w:cs="宋体"/>
          <w:b/>
          <w:bCs/>
        </w:rPr>
        <w:t>49、长期应付职工薪</w:t>
      </w:r>
      <w:proofErr w:type="gramStart"/>
      <w:r>
        <w:rPr>
          <w:rFonts w:ascii="宋体" w:hAnsi="宋体" w:cs="宋体"/>
          <w:b/>
          <w:bCs/>
        </w:rPr>
        <w:t>酬</w:t>
      </w:r>
      <w:bookmarkEnd w:id="211"/>
      <w:proofErr w:type="gramEnd"/>
    </w:p>
    <w:p w:rsidR="008820E4" w:rsidRDefault="005C49A8">
      <w:pPr>
        <w:keepNext/>
        <w:keepLines/>
        <w:spacing w:before="300" w:after="300" w:line="280" w:lineRule="exact"/>
        <w:outlineLvl w:val="3"/>
        <w:rPr>
          <w:rFonts w:ascii="宋体" w:eastAsia="宋体" w:hAnsi="宋体" w:cs="宋体"/>
          <w:b/>
          <w:bCs/>
          <w:sz w:val="18"/>
          <w:szCs w:val="18"/>
        </w:rPr>
      </w:pPr>
      <w:bookmarkStart w:id="212" w:name="_Toc989238"/>
      <w:r>
        <w:rPr>
          <w:rFonts w:ascii="宋体" w:eastAsia="宋体" w:hAnsi="宋体" w:cs="宋体"/>
          <w:b/>
          <w:bCs/>
          <w:sz w:val="18"/>
          <w:szCs w:val="18"/>
        </w:rPr>
        <w:t>（1） 长期应付职工薪酬表</w:t>
      </w:r>
      <w:bookmarkEnd w:id="212"/>
    </w:p>
    <w:p w:rsidR="00381B41" w:rsidRDefault="00381B41" w:rsidP="00381B41">
      <w:pPr>
        <w:pStyle w:val="a3"/>
        <w:rPr>
          <w:sz w:val="18"/>
          <w:szCs w:val="18"/>
        </w:rPr>
      </w:pPr>
      <w:bookmarkStart w:id="213" w:name="_Toc989239"/>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t>（2） 设定受益计划变动情况</w:t>
      </w:r>
      <w:bookmarkEnd w:id="213"/>
    </w:p>
    <w:p w:rsidR="005C49A8" w:rsidRDefault="005C49A8">
      <w:pPr>
        <w:pStyle w:val="a3"/>
        <w:divId w:val="208425183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14" w:name="_Toc989240"/>
      <w:r>
        <w:rPr>
          <w:rFonts w:ascii="宋体" w:hAnsi="宋体" w:cs="宋体"/>
          <w:b/>
          <w:bCs/>
        </w:rPr>
        <w:t>50、预计负债</w:t>
      </w:r>
      <w:bookmarkEnd w:id="214"/>
    </w:p>
    <w:p w:rsidR="005C49A8" w:rsidRDefault="005C49A8">
      <w:pPr>
        <w:pStyle w:val="a3"/>
        <w:divId w:val="103357933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15" w:name="_Toc989241"/>
      <w:r>
        <w:rPr>
          <w:rFonts w:ascii="宋体" w:hAnsi="宋体" w:cs="宋体"/>
          <w:b/>
          <w:bCs/>
        </w:rPr>
        <w:t>51、递延收益</w:t>
      </w:r>
      <w:bookmarkEnd w:id="21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形成原因</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详见附注十一</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16" w:name="_Toc989242"/>
      <w:r>
        <w:rPr>
          <w:rFonts w:ascii="宋体" w:hAnsi="宋体" w:cs="宋体"/>
          <w:b/>
          <w:bCs/>
        </w:rPr>
        <w:t>52、其他非流动负债</w:t>
      </w:r>
      <w:bookmarkEnd w:id="21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sz w:val="18"/>
          <w:szCs w:val="18"/>
        </w:rPr>
        <w:t>无</w:t>
      </w:r>
    </w:p>
    <w:p w:rsidR="008820E4" w:rsidRDefault="005C49A8">
      <w:pPr>
        <w:pStyle w:val="3"/>
        <w:spacing w:line="280" w:lineRule="exact"/>
        <w:jc w:val="left"/>
        <w:rPr>
          <w:rFonts w:ascii="宋体" w:hAnsi="宋体" w:cs="宋体"/>
          <w:b/>
          <w:bCs/>
        </w:rPr>
      </w:pPr>
      <w:bookmarkStart w:id="217" w:name="_Toc989243"/>
      <w:r>
        <w:rPr>
          <w:rFonts w:ascii="宋体" w:hAnsi="宋体" w:cs="宋体"/>
          <w:b/>
          <w:bCs/>
        </w:rPr>
        <w:t>53、股本</w:t>
      </w:r>
      <w:bookmarkEnd w:id="21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739"/>
        <w:gridCol w:w="1276"/>
        <w:gridCol w:w="992"/>
        <w:gridCol w:w="1276"/>
        <w:gridCol w:w="709"/>
        <w:gridCol w:w="709"/>
        <w:gridCol w:w="1734"/>
      </w:tblGrid>
      <w:tr w:rsidR="008820E4" w:rsidTr="00132FE9">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3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496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本次变动增减（+、-）</w:t>
            </w:r>
          </w:p>
        </w:tc>
        <w:tc>
          <w:tcPr>
            <w:tcW w:w="17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132FE9">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3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发行新股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送股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公积金转股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小计</w:t>
            </w:r>
          </w:p>
        </w:tc>
        <w:tc>
          <w:tcPr>
            <w:tcW w:w="17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32FE9">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股份总数</w:t>
            </w:r>
          </w:p>
        </w:tc>
        <w:tc>
          <w:tcPr>
            <w:tcW w:w="173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c>
          <w:tcPr>
            <w:tcW w:w="12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1,700,681,355.00</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18" w:name="_Toc989244"/>
      <w:r>
        <w:rPr>
          <w:rFonts w:ascii="宋体" w:hAnsi="宋体" w:cs="宋体"/>
          <w:b/>
          <w:bCs/>
        </w:rPr>
        <w:t>54、其他权益工具</w:t>
      </w:r>
      <w:bookmarkEnd w:id="218"/>
    </w:p>
    <w:p w:rsidR="008820E4" w:rsidRDefault="005C49A8">
      <w:pPr>
        <w:keepNext/>
        <w:keepLines/>
        <w:spacing w:before="300" w:after="300" w:line="280" w:lineRule="exact"/>
        <w:outlineLvl w:val="3"/>
        <w:rPr>
          <w:rFonts w:ascii="宋体" w:eastAsia="宋体" w:hAnsi="宋体" w:cs="宋体"/>
          <w:b/>
          <w:bCs/>
          <w:sz w:val="18"/>
          <w:szCs w:val="18"/>
        </w:rPr>
      </w:pPr>
      <w:bookmarkStart w:id="219" w:name="_Toc989245"/>
      <w:r>
        <w:rPr>
          <w:rFonts w:ascii="宋体" w:eastAsia="宋体" w:hAnsi="宋体" w:cs="宋体"/>
          <w:b/>
          <w:bCs/>
          <w:sz w:val="18"/>
          <w:szCs w:val="18"/>
        </w:rPr>
        <w:t>（1） 期末发行在外的优先股、永续债等其他金融工具基本情况</w:t>
      </w:r>
      <w:bookmarkEnd w:id="219"/>
    </w:p>
    <w:p w:rsidR="005C49A8" w:rsidRDefault="005C49A8">
      <w:pPr>
        <w:pStyle w:val="a3"/>
        <w:divId w:val="86063254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20" w:name="_Toc989246"/>
      <w:r>
        <w:rPr>
          <w:rFonts w:ascii="宋体" w:eastAsia="宋体" w:hAnsi="宋体" w:cs="宋体"/>
          <w:b/>
          <w:bCs/>
          <w:sz w:val="18"/>
          <w:szCs w:val="18"/>
        </w:rPr>
        <w:lastRenderedPageBreak/>
        <w:t>（2） 期末发行在外的优先股、永续债等金融工具变动情况表</w:t>
      </w:r>
      <w:bookmarkEnd w:id="220"/>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21" w:name="_Toc989247"/>
      <w:r>
        <w:rPr>
          <w:rFonts w:ascii="宋体" w:hAnsi="宋体" w:cs="宋体"/>
          <w:b/>
          <w:bCs/>
        </w:rPr>
        <w:t>55、资本公积</w:t>
      </w:r>
      <w:bookmarkEnd w:id="22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2,715,159,506.76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2,715,159,506.76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23,189,447.04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23,189,447.04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2,738,348,953.80</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222" w:name="_Toc989248"/>
      <w:r>
        <w:rPr>
          <w:rFonts w:ascii="宋体" w:hAnsi="宋体" w:cs="宋体"/>
          <w:b/>
          <w:bCs/>
        </w:rPr>
        <w:t>56、库存股</w:t>
      </w:r>
      <w:bookmarkEnd w:id="22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300,104,207.84</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223" w:name="_Toc989249"/>
      <w:r>
        <w:rPr>
          <w:rFonts w:ascii="宋体" w:hAnsi="宋体" w:cs="宋体"/>
          <w:b/>
          <w:bCs/>
        </w:rPr>
        <w:t>57、其他综合收益</w:t>
      </w:r>
      <w:bookmarkEnd w:id="22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5,637,545.07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28,039,515.77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33,677,060.84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权益法下不能转损益的其他综合收益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1,324,574.28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6,962,119.35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26,714,941.49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33,677,060.84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-117,973,358.44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-219,390,807.65</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外币</w:t>
            </w:r>
            <w:r>
              <w:rPr>
                <w:rFonts w:ascii="宋体" w:eastAsia="宋体" w:hAnsi="宋体" w:cs="宋体"/>
                <w:sz w:val="18"/>
                <w:szCs w:val="18"/>
              </w:rPr>
              <w:lastRenderedPageBreak/>
              <w:t>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117,973,358.44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101,417,449.21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219,390,807.65</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-112,335,813.37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-73,377,933.44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-185,713,746.81</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其他说明，包括对现金流量套期损益的有效部分转为被套</w:t>
      </w:r>
      <w:proofErr w:type="gramStart"/>
      <w:r>
        <w:rPr>
          <w:rFonts w:ascii="宋体" w:eastAsia="宋体" w:hAnsi="宋体" w:cs="宋体"/>
          <w:sz w:val="18"/>
          <w:szCs w:val="18"/>
        </w:rPr>
        <w:t>期项目</w:t>
      </w:r>
      <w:proofErr w:type="gramEnd"/>
      <w:r>
        <w:rPr>
          <w:rFonts w:ascii="宋体" w:eastAsia="宋体" w:hAnsi="宋体" w:cs="宋体"/>
          <w:sz w:val="18"/>
          <w:szCs w:val="18"/>
        </w:rPr>
        <w:t>初始确认金额调整：</w:t>
      </w:r>
      <w:r>
        <w:rPr>
          <w:rFonts w:hint="eastAsia"/>
          <w:sz w:val="18"/>
          <w:szCs w:val="18"/>
        </w:rPr>
        <w:t>无</w:t>
      </w:r>
    </w:p>
    <w:p w:rsidR="008820E4" w:rsidRDefault="005C49A8">
      <w:pPr>
        <w:pStyle w:val="3"/>
        <w:spacing w:line="280" w:lineRule="exact"/>
        <w:jc w:val="left"/>
        <w:rPr>
          <w:rFonts w:ascii="宋体" w:hAnsi="宋体" w:cs="宋体"/>
          <w:b/>
          <w:bCs/>
        </w:rPr>
      </w:pPr>
      <w:bookmarkStart w:id="224" w:name="_Toc989250"/>
      <w:r>
        <w:rPr>
          <w:rFonts w:ascii="宋体" w:hAnsi="宋体" w:cs="宋体"/>
          <w:b/>
          <w:bCs/>
        </w:rPr>
        <w:t>58、专项储备</w:t>
      </w:r>
      <w:bookmarkEnd w:id="224"/>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225" w:name="_Toc989251"/>
      <w:r>
        <w:rPr>
          <w:rFonts w:ascii="宋体" w:hAnsi="宋体" w:cs="宋体"/>
          <w:b/>
          <w:bCs/>
        </w:rPr>
        <w:t>59、盈余公积</w:t>
      </w:r>
      <w:bookmarkEnd w:id="22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338,982,886.24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338,982,886.24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1,778,753.91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1,778,753.91</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340,761,640.15</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盈余公积说明，包括本期增减变动情况、变动原因说明：</w:t>
      </w:r>
      <w:r>
        <w:rPr>
          <w:rFonts w:hint="eastAsia"/>
          <w:sz w:val="18"/>
          <w:szCs w:val="18"/>
        </w:rPr>
        <w:t>无</w:t>
      </w:r>
    </w:p>
    <w:p w:rsidR="008820E4" w:rsidRDefault="005C49A8">
      <w:pPr>
        <w:pStyle w:val="3"/>
        <w:spacing w:line="280" w:lineRule="exact"/>
        <w:jc w:val="left"/>
        <w:rPr>
          <w:rFonts w:ascii="宋体" w:hAnsi="宋体" w:cs="宋体"/>
          <w:b/>
          <w:bCs/>
        </w:rPr>
      </w:pPr>
      <w:bookmarkStart w:id="226" w:name="_Toc989252"/>
      <w:r>
        <w:rPr>
          <w:rFonts w:ascii="宋体" w:hAnsi="宋体" w:cs="宋体"/>
          <w:b/>
          <w:bCs/>
        </w:rPr>
        <w:t>60、未分配利润</w:t>
      </w:r>
      <w:bookmarkEnd w:id="22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1,674,292,092.74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-207,764,974.56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1,293,902.43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49,666,360.27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1,440,664,626.77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1,415,566,855.48</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8820E4" w:rsidRDefault="005C49A8">
      <w:pPr>
        <w:pStyle w:val="3"/>
        <w:spacing w:line="280" w:lineRule="exact"/>
        <w:jc w:val="left"/>
        <w:rPr>
          <w:rFonts w:ascii="宋体" w:hAnsi="宋体" w:cs="宋体"/>
          <w:b/>
          <w:bCs/>
        </w:rPr>
      </w:pPr>
      <w:bookmarkStart w:id="227" w:name="_Toc989253"/>
      <w:r>
        <w:rPr>
          <w:rFonts w:ascii="宋体" w:hAnsi="宋体" w:cs="宋体"/>
          <w:b/>
          <w:bCs/>
        </w:rPr>
        <w:t>61、营业收入和营业成本</w:t>
      </w:r>
      <w:bookmarkEnd w:id="22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5,901,181,107.46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5,587,657,007.34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6,468,606,545.71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6,103,676,815.26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54,266,101.29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14,221,788.06</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6,117,898,603.32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营业收入、营业成本的分解信息：</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3,261,174,771.15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3,063,523,599.05</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2,502,229,218.69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2,419,513,992.51</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袜业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113,719,039.78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84,920,794.76</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算力及</w:t>
            </w:r>
            <w:proofErr w:type="gramEnd"/>
            <w:r>
              <w:rPr>
                <w:rFonts w:ascii="宋体" w:eastAsia="宋体" w:hAnsi="宋体" w:cs="宋体"/>
                <w:sz w:val="18"/>
                <w:szCs w:val="18"/>
              </w:rPr>
              <w:t>AI</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24,058,077.84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19,698,621.02</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52,708,947.16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17,140,090.72</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境外销售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529,787,283.64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434,423,327.98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5,170,373,770.08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5,424,102,770.98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5,170,373,770.08</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在某一时点转让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5,940,862,881.54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5,601,256,892.92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5,940,862,881.54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5,601,256,892.92</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在某一时段内转让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3,540,205.14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3,540,205.14</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5,604,797,098.06</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履行履约义务的时间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重要的支付条款</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公司承诺转让商品的性质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是否为主要责任人</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公司承担的预期将退还给客户的款项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公司提供的质量保证类型及相关义务</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签订合同、但尚未履行或尚未履行完毕的履约义务所对应的收入金额为0.00元，其中，元预计将于年度确认收入，元预计将于年度确认收入，元预计将于年度确认收入。</w:t>
      </w:r>
    </w:p>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合同中可变对</w:t>
      </w:r>
      <w:proofErr w:type="gramStart"/>
      <w:r>
        <w:rPr>
          <w:rFonts w:ascii="宋体" w:eastAsia="宋体" w:hAnsi="宋体" w:cs="宋体"/>
          <w:sz w:val="18"/>
          <w:szCs w:val="18"/>
        </w:rPr>
        <w:t>价相关</w:t>
      </w:r>
      <w:proofErr w:type="gramEnd"/>
      <w:r>
        <w:rPr>
          <w:rFonts w:ascii="宋体" w:eastAsia="宋体" w:hAnsi="宋体" w:cs="宋体"/>
          <w:sz w:val="18"/>
          <w:szCs w:val="18"/>
        </w:rPr>
        <w:t>信息：</w:t>
      </w:r>
      <w:r>
        <w:rPr>
          <w:rFonts w:hint="eastAsia"/>
          <w:sz w:val="18"/>
          <w:szCs w:val="18"/>
        </w:rPr>
        <w:t>无</w:t>
      </w:r>
    </w:p>
    <w:p w:rsidR="008820E4" w:rsidRDefault="005C49A8">
      <w:pPr>
        <w:pStyle w:val="3"/>
        <w:spacing w:line="280" w:lineRule="exact"/>
        <w:jc w:val="left"/>
        <w:rPr>
          <w:rFonts w:ascii="宋体" w:hAnsi="宋体" w:cs="宋体"/>
          <w:b/>
          <w:bCs/>
        </w:rPr>
      </w:pPr>
      <w:bookmarkStart w:id="228" w:name="_Toc989254"/>
      <w:r>
        <w:rPr>
          <w:rFonts w:ascii="宋体" w:hAnsi="宋体" w:cs="宋体"/>
          <w:b/>
          <w:bCs/>
        </w:rPr>
        <w:t>62、税金及附加</w:t>
      </w:r>
      <w:bookmarkEnd w:id="22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5,205,496.22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2,662,453.87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3,875,033.31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1,975,215.83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12,816,978.17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12,600,317.76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11,230,396.09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11,840,975.50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22,566.00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31,080.96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7,511,734.59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10,363,401.09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519,198.67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760,600.21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41,181,403.05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40,234,045.22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29" w:name="_Toc989255"/>
      <w:r>
        <w:rPr>
          <w:rFonts w:ascii="宋体" w:hAnsi="宋体" w:cs="宋体"/>
          <w:b/>
          <w:bCs/>
        </w:rPr>
        <w:t>63、管理费用</w:t>
      </w:r>
      <w:bookmarkEnd w:id="22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381B41" w:rsidRDefault="00381B41">
      <w:pPr>
        <w:spacing w:before="40" w:after="40" w:line="240" w:lineRule="exact"/>
        <w:jc w:val="right"/>
        <w:rPr>
          <w:rFonts w:ascii="宋体" w:eastAsia="宋体" w:hAnsi="宋体" w:cs="宋体"/>
          <w:sz w:val="18"/>
          <w:szCs w:val="18"/>
        </w:rPr>
      </w:pPr>
    </w:p>
    <w:p w:rsidR="00381B41" w:rsidRDefault="00381B41">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工资及相关费用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73,212,237.03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76,475,696.92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办公费用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9,554,775.74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9,629,941.35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低值易耗品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2,775,313.30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1,630,626.26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1,848,942.06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1,070,226.17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43,669,881.33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37,522,461.15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3,071,833.32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4,999,694.68</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1,585,825.66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1,697,500.48</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1,801,138.87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1,990,559.05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2,453,576.00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1,402,161.25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492,104.51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884,520.34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5,987,749.83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7,378,420.39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322,204.54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1,215,870.99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中介机构费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10,947,007.77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10,962,509.99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157,722,589.96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156,860,189.02</w:t>
            </w:r>
          </w:p>
        </w:tc>
      </w:tr>
    </w:tbl>
    <w:p w:rsidR="005C49A8" w:rsidRPr="00381B41" w:rsidRDefault="005C49A8" w:rsidP="00381B4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381B4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0" w:name="_Toc989256"/>
      <w:r>
        <w:rPr>
          <w:rFonts w:ascii="宋体" w:hAnsi="宋体" w:cs="宋体"/>
          <w:b/>
          <w:bCs/>
        </w:rPr>
        <w:t>64、销售费用</w:t>
      </w:r>
      <w:bookmarkEnd w:id="23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工资及相关费用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21,220,289.77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16,894,253.13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办公费用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944,348.71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418,011.23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11,747,265.23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14,796,750.63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低值易耗品</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375,984.50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831,240.34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133,793.29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129,217.77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3,755,495.56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4,209,168.09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453,911.42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369,477.54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129,122.02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129,151.07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电商平台服务费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13,673,436.21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11,999,550.80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2,165,086.17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3,013,171.26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54,598,732.88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52,789,991.86</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31" w:name="_Toc989257"/>
      <w:r>
        <w:rPr>
          <w:rFonts w:ascii="宋体" w:hAnsi="宋体" w:cs="宋体"/>
          <w:b/>
          <w:bCs/>
        </w:rPr>
        <w:t>65、研发费用</w:t>
      </w:r>
      <w:bookmarkEnd w:id="23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工资及奖金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16,386,045.29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11,753,038.85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燃料及动力</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4,380,887.25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6,043,567.77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37,493,360.05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30,702,257.09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3,289,036.43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4,123,094.01</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2,582,724.42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4,237,847.61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64,132,053.44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56,859,805.33</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2" w:name="_Toc989258"/>
      <w:r>
        <w:rPr>
          <w:rFonts w:ascii="宋体" w:hAnsi="宋体" w:cs="宋体"/>
          <w:b/>
          <w:bCs/>
        </w:rPr>
        <w:t>66、财务费用</w:t>
      </w:r>
      <w:bookmarkEnd w:id="23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83,336,350.63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82,109,097.85</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4,876,945.50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13,189,883.46</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贴现</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14,163,756.73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6,396,853.03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2,584,927.08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8,682,629.87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93,080,933.20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101,914,282.91</w:t>
            </w:r>
          </w:p>
        </w:tc>
      </w:tr>
    </w:tbl>
    <w:p w:rsidR="005C49A8" w:rsidRPr="00132FE9" w:rsidRDefault="005C49A8" w:rsidP="00132FE9">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132FE9">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3" w:name="_Toc989259"/>
      <w:r>
        <w:rPr>
          <w:rFonts w:ascii="宋体" w:hAnsi="宋体" w:cs="宋体"/>
          <w:b/>
          <w:bCs/>
        </w:rPr>
        <w:t>67、其他收益</w:t>
      </w:r>
      <w:bookmarkEnd w:id="23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bl>
    <w:p w:rsidR="008820E4" w:rsidRDefault="005C49A8">
      <w:pPr>
        <w:pStyle w:val="3"/>
        <w:spacing w:line="280" w:lineRule="exact"/>
        <w:jc w:val="left"/>
        <w:rPr>
          <w:rFonts w:ascii="宋体" w:hAnsi="宋体" w:cs="宋体"/>
          <w:b/>
          <w:bCs/>
        </w:rPr>
      </w:pPr>
      <w:bookmarkStart w:id="234" w:name="_Toc989260"/>
      <w:r>
        <w:rPr>
          <w:rFonts w:ascii="宋体" w:hAnsi="宋体" w:cs="宋体"/>
          <w:b/>
          <w:bCs/>
        </w:rPr>
        <w:t>68、净敞口套期收益</w:t>
      </w:r>
      <w:bookmarkEnd w:id="234"/>
    </w:p>
    <w:p w:rsidR="005C49A8" w:rsidRDefault="005C49A8">
      <w:pPr>
        <w:pStyle w:val="a3"/>
        <w:divId w:val="147718728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35" w:name="_Toc989261"/>
      <w:r>
        <w:rPr>
          <w:rFonts w:ascii="宋体" w:hAnsi="宋体" w:cs="宋体"/>
          <w:b/>
          <w:bCs/>
        </w:rPr>
        <w:t>69、公允价值变动收益</w:t>
      </w:r>
      <w:bookmarkEnd w:id="23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其中：衍生金融工具产生的公允价值变动收益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36" w:name="_Toc989262"/>
      <w:r>
        <w:rPr>
          <w:rFonts w:ascii="宋体" w:hAnsi="宋体" w:cs="宋体"/>
          <w:b/>
          <w:bCs/>
        </w:rPr>
        <w:t>70、投资收益</w:t>
      </w:r>
      <w:bookmarkEnd w:id="23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4,422,686.82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-3,328,800.78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122,455.54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26,658,725.08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22,401,732.55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892,500.00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委托理财收益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1,145,787.81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3,369,930.81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7" w:name="_Toc989263"/>
      <w:r>
        <w:rPr>
          <w:rFonts w:ascii="宋体" w:hAnsi="宋体" w:cs="宋体"/>
          <w:b/>
          <w:bCs/>
        </w:rPr>
        <w:t>71、信用减值损失</w:t>
      </w:r>
      <w:bookmarkEnd w:id="237"/>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-666,773.81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-579,104.91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2,652,182.37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4,195,863.88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-14,156,888.76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-558,913.22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-12,171,480.20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3,057,845.75</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38" w:name="_Toc989264"/>
      <w:r>
        <w:rPr>
          <w:rFonts w:ascii="宋体" w:hAnsi="宋体" w:cs="宋体"/>
          <w:b/>
          <w:bCs/>
        </w:rPr>
        <w:t>72、资产减值损失</w:t>
      </w:r>
      <w:bookmarkEnd w:id="23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3,194,680.43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-2,318,531.43</w:t>
            </w:r>
          </w:p>
        </w:tc>
      </w:tr>
    </w:tbl>
    <w:p w:rsidR="008820E4" w:rsidRDefault="005C49A8">
      <w:pPr>
        <w:pStyle w:val="3"/>
        <w:spacing w:line="280" w:lineRule="exact"/>
        <w:jc w:val="left"/>
        <w:rPr>
          <w:rFonts w:ascii="宋体" w:hAnsi="宋体" w:cs="宋体"/>
          <w:b/>
          <w:bCs/>
        </w:rPr>
      </w:pPr>
      <w:bookmarkStart w:id="239" w:name="_Toc989265"/>
      <w:r>
        <w:rPr>
          <w:rFonts w:ascii="宋体" w:hAnsi="宋体" w:cs="宋体"/>
          <w:b/>
          <w:bCs/>
        </w:rPr>
        <w:t>73、资产处置收益</w:t>
      </w:r>
      <w:bookmarkEnd w:id="23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49,932,808.07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无形资产处置利得或损失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-81,024.68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bl>
    <w:p w:rsidR="008820E4" w:rsidRDefault="005C49A8">
      <w:pPr>
        <w:pStyle w:val="3"/>
        <w:spacing w:line="280" w:lineRule="exact"/>
        <w:jc w:val="left"/>
        <w:rPr>
          <w:rFonts w:ascii="宋体" w:hAnsi="宋体" w:cs="宋体"/>
          <w:b/>
          <w:bCs/>
        </w:rPr>
      </w:pPr>
      <w:bookmarkStart w:id="240" w:name="_Toc989266"/>
      <w:r>
        <w:rPr>
          <w:rFonts w:ascii="宋体" w:hAnsi="宋体" w:cs="宋体"/>
          <w:b/>
          <w:bCs/>
        </w:rPr>
        <w:t>74、营业外收入</w:t>
      </w:r>
      <w:bookmarkEnd w:id="24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确实无法支付的债务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197,056.55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624,480.51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197,056.55</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赔偿金</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154,711.20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598,292.61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154,711.20</w:t>
            </w:r>
          </w:p>
        </w:tc>
      </w:tr>
      <w:tr w:rsidR="008820E4" w:rsidTr="00132FE9">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645,810.20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626,854.40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645,810.20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997,577.95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1,849,627.52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41" w:name="_Toc989267"/>
      <w:r>
        <w:rPr>
          <w:rFonts w:ascii="宋体" w:hAnsi="宋体" w:cs="宋体"/>
          <w:b/>
          <w:bCs/>
        </w:rPr>
        <w:t>75、营业外支出</w:t>
      </w:r>
      <w:bookmarkEnd w:id="24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750,005.66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750,035.30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750,005.66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6,680.59</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罚款及滞纳金支出</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882,653.34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811,405.61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882,653.34</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赔偿支出</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556,376.53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460,046.70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556,376.53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18,794.21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914,399.97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18,794.21</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2,942,568.17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2,299,835.21</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pStyle w:val="3"/>
        <w:spacing w:line="280" w:lineRule="exact"/>
        <w:jc w:val="left"/>
        <w:rPr>
          <w:rFonts w:ascii="宋体" w:hAnsi="宋体" w:cs="宋体"/>
          <w:b/>
          <w:bCs/>
        </w:rPr>
      </w:pPr>
      <w:bookmarkStart w:id="242" w:name="_Toc989268"/>
      <w:r>
        <w:rPr>
          <w:rFonts w:ascii="宋体" w:hAnsi="宋体" w:cs="宋体"/>
          <w:b/>
          <w:bCs/>
        </w:rPr>
        <w:t>76、所得税费用</w:t>
      </w:r>
      <w:bookmarkEnd w:id="242"/>
    </w:p>
    <w:p w:rsidR="008820E4" w:rsidRDefault="005C49A8">
      <w:pPr>
        <w:keepNext/>
        <w:keepLines/>
        <w:spacing w:before="300" w:after="300" w:line="280" w:lineRule="exact"/>
        <w:outlineLvl w:val="3"/>
        <w:rPr>
          <w:rFonts w:ascii="宋体" w:eastAsia="宋体" w:hAnsi="宋体" w:cs="宋体"/>
          <w:b/>
          <w:bCs/>
          <w:szCs w:val="21"/>
        </w:rPr>
      </w:pPr>
      <w:bookmarkStart w:id="243" w:name="_Toc989269"/>
      <w:r>
        <w:rPr>
          <w:rFonts w:ascii="宋体" w:eastAsia="宋体" w:hAnsi="宋体" w:cs="宋体"/>
          <w:b/>
          <w:bCs/>
          <w:szCs w:val="21"/>
        </w:rPr>
        <w:t>（1） 所得税费用表</w:t>
      </w:r>
      <w:bookmarkEnd w:id="24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7,426,494.90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8,986,571.73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-233,982.17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2,540,602.37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11,527,174.10</w:t>
            </w:r>
          </w:p>
        </w:tc>
      </w:tr>
    </w:tbl>
    <w:p w:rsidR="008820E4" w:rsidRDefault="005C49A8">
      <w:pPr>
        <w:keepNext/>
        <w:keepLines/>
        <w:spacing w:before="300" w:after="300" w:line="280" w:lineRule="exact"/>
        <w:outlineLvl w:val="3"/>
        <w:rPr>
          <w:rFonts w:ascii="宋体" w:eastAsia="宋体" w:hAnsi="宋体" w:cs="宋体"/>
          <w:b/>
          <w:bCs/>
          <w:szCs w:val="21"/>
        </w:rPr>
      </w:pPr>
      <w:bookmarkStart w:id="244" w:name="_Toc989270"/>
      <w:r>
        <w:rPr>
          <w:rFonts w:ascii="宋体" w:eastAsia="宋体" w:hAnsi="宋体" w:cs="宋体"/>
          <w:b/>
          <w:bCs/>
          <w:szCs w:val="21"/>
        </w:rPr>
        <w:t>（2） 会计利润与所得税费用调整过程</w:t>
      </w:r>
      <w:bookmarkEnd w:id="24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38,496,510.34</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5,774,476.55</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6,754,534.47</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61,510.98</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1,196.45</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-437,820.24</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-446.45</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归属于合营企业和联营企业的损益（非应税收入）</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625,585.66</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研发费用加计扣除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-5,586,524.69</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7,192,512.73</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sidR="009372E1">
        <w:rPr>
          <w:rFonts w:ascii="宋体" w:eastAsia="宋体" w:hAnsi="宋体" w:cs="宋体" w:hint="eastAsia"/>
          <w:sz w:val="18"/>
          <w:szCs w:val="18"/>
        </w:rPr>
        <w:t>：</w:t>
      </w:r>
      <w:r>
        <w:rPr>
          <w:rFonts w:hint="eastAsia"/>
          <w:sz w:val="18"/>
          <w:szCs w:val="18"/>
        </w:rPr>
        <w:t>无</w:t>
      </w:r>
    </w:p>
    <w:p w:rsidR="008820E4" w:rsidRDefault="005C49A8">
      <w:pPr>
        <w:pStyle w:val="3"/>
        <w:spacing w:line="280" w:lineRule="exact"/>
        <w:jc w:val="left"/>
        <w:rPr>
          <w:rFonts w:ascii="宋体" w:hAnsi="宋体" w:cs="宋体"/>
          <w:b/>
          <w:bCs/>
        </w:rPr>
      </w:pPr>
      <w:bookmarkStart w:id="245" w:name="_Toc989271"/>
      <w:r>
        <w:rPr>
          <w:rFonts w:ascii="宋体" w:hAnsi="宋体" w:cs="宋体"/>
          <w:b/>
          <w:bCs/>
        </w:rPr>
        <w:lastRenderedPageBreak/>
        <w:t>77、其他综合收益</w:t>
      </w:r>
      <w:bookmarkEnd w:id="24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详见附注57</w:t>
      </w:r>
    </w:p>
    <w:p w:rsidR="008820E4" w:rsidRDefault="005C49A8">
      <w:pPr>
        <w:pStyle w:val="3"/>
        <w:spacing w:line="280" w:lineRule="exact"/>
        <w:jc w:val="left"/>
        <w:rPr>
          <w:rFonts w:ascii="宋体" w:hAnsi="宋体" w:cs="宋体"/>
          <w:b/>
          <w:bCs/>
        </w:rPr>
      </w:pPr>
      <w:bookmarkStart w:id="246" w:name="_Toc989272"/>
      <w:r>
        <w:rPr>
          <w:rFonts w:ascii="宋体" w:hAnsi="宋体" w:cs="宋体"/>
          <w:b/>
          <w:bCs/>
        </w:rPr>
        <w:t>78、现金流量表项目</w:t>
      </w:r>
      <w:bookmarkEnd w:id="246"/>
    </w:p>
    <w:p w:rsidR="008820E4" w:rsidRDefault="005C49A8">
      <w:pPr>
        <w:keepNext/>
        <w:keepLines/>
        <w:spacing w:before="300" w:after="300" w:line="280" w:lineRule="exact"/>
        <w:outlineLvl w:val="3"/>
        <w:rPr>
          <w:rFonts w:ascii="宋体" w:eastAsia="宋体" w:hAnsi="宋体" w:cs="宋体"/>
          <w:b/>
          <w:bCs/>
          <w:szCs w:val="21"/>
        </w:rPr>
      </w:pPr>
      <w:bookmarkStart w:id="247" w:name="_Toc989273"/>
      <w:r>
        <w:rPr>
          <w:rFonts w:ascii="宋体" w:eastAsia="宋体" w:hAnsi="宋体" w:cs="宋体"/>
          <w:b/>
          <w:bCs/>
          <w:szCs w:val="21"/>
        </w:rPr>
        <w:t>（1） 与经营活动有关的现金</w:t>
      </w:r>
      <w:bookmarkEnd w:id="24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11,881,046.74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8,464,181.30</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139,011,085.87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140,521,078.74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往来款及其他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579,918,070.39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412,061,383.84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730,810,203.00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561,046,643.88</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费用类支出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62,249,982.76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39,860,756.32</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往来款及其他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424,369,195.60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623,130,587.74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486,619,178.36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662,991,344.06</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48" w:name="_Toc989274"/>
      <w:r>
        <w:rPr>
          <w:rFonts w:ascii="宋体" w:eastAsia="宋体" w:hAnsi="宋体" w:cs="宋体"/>
          <w:b/>
          <w:bCs/>
          <w:szCs w:val="21"/>
        </w:rPr>
        <w:t>（2） 与投资活动有关的现金</w:t>
      </w:r>
      <w:bookmarkEnd w:id="248"/>
    </w:p>
    <w:p w:rsidR="005C49A8" w:rsidRDefault="005C49A8">
      <w:pPr>
        <w:pStyle w:val="a3"/>
        <w:divId w:val="209134889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49" w:name="_Toc989275"/>
      <w:r>
        <w:rPr>
          <w:rFonts w:ascii="宋体" w:eastAsia="宋体" w:hAnsi="宋体" w:cs="宋体"/>
          <w:b/>
          <w:bCs/>
          <w:szCs w:val="21"/>
        </w:rPr>
        <w:t>（3） 与筹资活动有关的现金</w:t>
      </w:r>
      <w:bookmarkEnd w:id="249"/>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受限的其他货币资金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19,529,385.69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19,918,769.82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受限的其他货币资金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1,709,477,177.54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回购公司股票</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100,033,114.48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2,499,184,227.24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1,809,510,292.02</w:t>
            </w:r>
          </w:p>
        </w:tc>
      </w:tr>
    </w:tbl>
    <w:p w:rsidR="005C49A8" w:rsidRPr="009372E1" w:rsidRDefault="005C49A8" w:rsidP="009372E1">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250" w:name="_Toc989276"/>
      <w:r>
        <w:rPr>
          <w:rFonts w:ascii="宋体" w:eastAsia="宋体" w:hAnsi="宋体" w:cs="宋体"/>
          <w:b/>
          <w:bCs/>
          <w:szCs w:val="21"/>
        </w:rPr>
        <w:lastRenderedPageBreak/>
        <w:t>（4） 以净额列报现金流量的说明</w:t>
      </w:r>
      <w:bookmarkEnd w:id="250"/>
    </w:p>
    <w:p w:rsidR="008820E4" w:rsidRDefault="005C49A8">
      <w:pPr>
        <w:keepNext/>
        <w:keepLines/>
        <w:spacing w:before="300" w:after="300" w:line="280" w:lineRule="exact"/>
        <w:outlineLvl w:val="3"/>
        <w:rPr>
          <w:rFonts w:ascii="宋体" w:eastAsia="宋体" w:hAnsi="宋体" w:cs="宋体"/>
          <w:b/>
          <w:bCs/>
          <w:szCs w:val="21"/>
        </w:rPr>
      </w:pPr>
      <w:bookmarkStart w:id="251" w:name="_Toc989277"/>
      <w:r>
        <w:rPr>
          <w:rFonts w:ascii="宋体" w:eastAsia="宋体" w:hAnsi="宋体" w:cs="宋体"/>
          <w:b/>
          <w:bCs/>
          <w:szCs w:val="21"/>
        </w:rPr>
        <w:t>（5） 不涉及当期现金收支、但影响企业财务状况或在未来可能影响企业现金流量的重大活动及财务影响</w:t>
      </w:r>
      <w:bookmarkEnd w:id="251"/>
    </w:p>
    <w:p w:rsidR="008820E4" w:rsidRDefault="005C49A8">
      <w:pPr>
        <w:pStyle w:val="3"/>
        <w:spacing w:line="280" w:lineRule="exact"/>
        <w:jc w:val="left"/>
        <w:rPr>
          <w:rFonts w:ascii="宋体" w:hAnsi="宋体" w:cs="宋体"/>
          <w:b/>
          <w:bCs/>
        </w:rPr>
      </w:pPr>
      <w:bookmarkStart w:id="252" w:name="_Toc989278"/>
      <w:r>
        <w:rPr>
          <w:rFonts w:ascii="宋体" w:hAnsi="宋体" w:cs="宋体"/>
          <w:b/>
          <w:bCs/>
        </w:rPr>
        <w:t>79、现金流量表补充资料</w:t>
      </w:r>
      <w:bookmarkEnd w:id="252"/>
    </w:p>
    <w:p w:rsidR="008820E4" w:rsidRDefault="005C49A8">
      <w:pPr>
        <w:keepNext/>
        <w:keepLines/>
        <w:spacing w:before="300" w:after="300" w:line="280" w:lineRule="exact"/>
        <w:outlineLvl w:val="3"/>
        <w:rPr>
          <w:rFonts w:ascii="宋体" w:eastAsia="宋体" w:hAnsi="宋体" w:cs="宋体"/>
          <w:b/>
          <w:bCs/>
          <w:szCs w:val="21"/>
        </w:rPr>
      </w:pPr>
      <w:bookmarkStart w:id="253" w:name="_Toc989279"/>
      <w:r>
        <w:rPr>
          <w:rFonts w:ascii="宋体" w:eastAsia="宋体" w:hAnsi="宋体" w:cs="宋体"/>
          <w:b/>
          <w:bCs/>
          <w:szCs w:val="21"/>
        </w:rPr>
        <w:t>（1） 现金流量表补充资料</w:t>
      </w:r>
      <w:bookmarkEnd w:id="25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上期金额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31,303,997.61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55,234,120.06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8,976,799.77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-739,314.32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259,979,298.67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263,602,934.68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3,665,609.83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4,410,341.90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9,512,349.03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11,284,321.06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9,031,367.99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8,467,120.20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-2,283,404.49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92,005.47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6,680.59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-674,726.34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-3,293,560.92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130,156,043.98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124,098,342.82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-33,119,699.71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-23,457,818.12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-4,651,571.50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-2,369,241.21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4,078,325.36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4,913,828.03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857,415,726.25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1,299,406,693.02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-144,185,588.17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-634,737,167.55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150,800,661.23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-11,371,661.12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1,093,172,214.63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1,614,869,590.12</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2,183,880,557.50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-937,608,814.21</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-569,010,967.38</w:t>
            </w:r>
          </w:p>
        </w:tc>
      </w:tr>
    </w:tbl>
    <w:p w:rsidR="008820E4" w:rsidRDefault="005C49A8">
      <w:pPr>
        <w:keepNext/>
        <w:keepLines/>
        <w:spacing w:before="300" w:after="300" w:line="280" w:lineRule="exact"/>
        <w:outlineLvl w:val="3"/>
        <w:rPr>
          <w:rFonts w:ascii="宋体" w:eastAsia="宋体" w:hAnsi="宋体" w:cs="宋体"/>
          <w:b/>
          <w:bCs/>
          <w:szCs w:val="21"/>
        </w:rPr>
      </w:pPr>
      <w:bookmarkStart w:id="254" w:name="_Toc989280"/>
      <w:r>
        <w:rPr>
          <w:rFonts w:ascii="宋体" w:eastAsia="宋体" w:hAnsi="宋体" w:cs="宋体"/>
          <w:b/>
          <w:bCs/>
          <w:szCs w:val="21"/>
        </w:rPr>
        <w:t>（2） 本期支付的取得子公司的现金净额</w:t>
      </w:r>
      <w:bookmarkEnd w:id="25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本期发生的企业合并于本期支付的现金或现金等价物</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取得子公司支付的现金净额</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5" w:name="_Toc989281"/>
      <w:r>
        <w:rPr>
          <w:rFonts w:ascii="宋体" w:eastAsia="宋体" w:hAnsi="宋体" w:cs="宋体"/>
          <w:b/>
          <w:bCs/>
          <w:szCs w:val="21"/>
        </w:rPr>
        <w:t>（3） 本期收到的处置子公司的现金净额</w:t>
      </w:r>
      <w:bookmarkEnd w:id="25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加：以前期间处置子公司于本期收到的现金或现金等价物</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32FE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处置子公司收到的现金净额</w:t>
            </w:r>
          </w:p>
        </w:tc>
        <w:tc>
          <w:tcPr>
            <w:tcW w:w="4819"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6" w:name="_Toc989282"/>
      <w:r>
        <w:rPr>
          <w:rFonts w:ascii="宋体" w:eastAsia="宋体" w:hAnsi="宋体" w:cs="宋体"/>
          <w:b/>
          <w:bCs/>
          <w:szCs w:val="21"/>
        </w:rPr>
        <w:t>（4） 现金和现金等价物的构成</w:t>
      </w:r>
      <w:bookmarkEnd w:id="25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100,875.56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69,644.90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1,037,469,234.86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1,840,496,250.51</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182,029,021.46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316,642,050.68</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1,219,599,131.88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2,157,207,946.09</w:t>
            </w:r>
          </w:p>
        </w:tc>
      </w:tr>
    </w:tbl>
    <w:p w:rsidR="008820E4" w:rsidRDefault="005C49A8">
      <w:pPr>
        <w:keepNext/>
        <w:keepLines/>
        <w:spacing w:before="300" w:after="300" w:line="280" w:lineRule="exact"/>
        <w:outlineLvl w:val="3"/>
        <w:rPr>
          <w:rFonts w:ascii="宋体" w:eastAsia="宋体" w:hAnsi="宋体" w:cs="宋体"/>
          <w:b/>
          <w:bCs/>
          <w:szCs w:val="21"/>
        </w:rPr>
      </w:pPr>
      <w:bookmarkStart w:id="257" w:name="_Toc989283"/>
      <w:r>
        <w:rPr>
          <w:rFonts w:ascii="宋体" w:eastAsia="宋体" w:hAnsi="宋体" w:cs="宋体"/>
          <w:b/>
          <w:bCs/>
          <w:szCs w:val="21"/>
        </w:rPr>
        <w:t>（5） 使用范围受限但仍属于现金及现金等价物列示的情况</w:t>
      </w:r>
      <w:bookmarkEnd w:id="257"/>
    </w:p>
    <w:p w:rsidR="00112D20" w:rsidRDefault="00112D20" w:rsidP="00112D20">
      <w:pPr>
        <w:pStyle w:val="a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8" w:name="_Toc989284"/>
      <w:r>
        <w:rPr>
          <w:rFonts w:ascii="宋体" w:eastAsia="宋体" w:hAnsi="宋体" w:cs="宋体"/>
          <w:b/>
          <w:bCs/>
          <w:szCs w:val="21"/>
        </w:rPr>
        <w:t>（6） 不属于现金及现金等价物的货币资金</w:t>
      </w:r>
      <w:bookmarkEnd w:id="258"/>
    </w:p>
    <w:p w:rsidR="005C49A8" w:rsidRDefault="005C49A8">
      <w:pPr>
        <w:pStyle w:val="a3"/>
        <w:divId w:val="200219327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59" w:name="_Toc989285"/>
      <w:r>
        <w:rPr>
          <w:rFonts w:ascii="宋体" w:eastAsia="宋体" w:hAnsi="宋体" w:cs="宋体"/>
          <w:b/>
          <w:bCs/>
          <w:szCs w:val="21"/>
        </w:rPr>
        <w:lastRenderedPageBreak/>
        <w:t>（7） 其他重大活动说明</w:t>
      </w:r>
      <w:bookmarkEnd w:id="259"/>
    </w:p>
    <w:p w:rsidR="005C49A8" w:rsidRDefault="005C49A8">
      <w:pPr>
        <w:pStyle w:val="a3"/>
        <w:divId w:val="128739154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60" w:name="_Toc989286"/>
      <w:r>
        <w:rPr>
          <w:rFonts w:ascii="宋体" w:hAnsi="宋体" w:cs="宋体"/>
          <w:b/>
          <w:bCs/>
        </w:rPr>
        <w:t>80、所有者权益变动</w:t>
      </w:r>
      <w:proofErr w:type="gramStart"/>
      <w:r>
        <w:rPr>
          <w:rFonts w:ascii="宋体" w:hAnsi="宋体" w:cs="宋体"/>
          <w:b/>
          <w:bCs/>
        </w:rPr>
        <w:t>表项目</w:t>
      </w:r>
      <w:proofErr w:type="gramEnd"/>
      <w:r>
        <w:rPr>
          <w:rFonts w:ascii="宋体" w:hAnsi="宋体" w:cs="宋体"/>
          <w:b/>
          <w:bCs/>
        </w:rPr>
        <w:t>注释</w:t>
      </w:r>
      <w:bookmarkEnd w:id="260"/>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说明对上年年末余额进行调整的“其他”项目名称及调整金额等事项：</w:t>
      </w:r>
      <w:r>
        <w:rPr>
          <w:rFonts w:hint="eastAsia"/>
          <w:sz w:val="18"/>
          <w:szCs w:val="18"/>
        </w:rPr>
        <w:t>无</w:t>
      </w:r>
    </w:p>
    <w:p w:rsidR="008820E4" w:rsidRDefault="005C49A8">
      <w:pPr>
        <w:pStyle w:val="3"/>
        <w:spacing w:line="280" w:lineRule="exact"/>
        <w:jc w:val="left"/>
        <w:rPr>
          <w:rFonts w:ascii="宋体" w:hAnsi="宋体" w:cs="宋体"/>
          <w:b/>
          <w:bCs/>
        </w:rPr>
      </w:pPr>
      <w:bookmarkStart w:id="261" w:name="_Toc989287"/>
      <w:r>
        <w:rPr>
          <w:rFonts w:ascii="宋体" w:hAnsi="宋体" w:cs="宋体"/>
          <w:b/>
          <w:bCs/>
        </w:rPr>
        <w:t>81、外币货币性项目</w:t>
      </w:r>
      <w:bookmarkEnd w:id="261"/>
    </w:p>
    <w:p w:rsidR="008820E4" w:rsidRDefault="005C49A8">
      <w:pPr>
        <w:keepNext/>
        <w:keepLines/>
        <w:spacing w:before="300" w:after="300" w:line="280" w:lineRule="exact"/>
        <w:outlineLvl w:val="3"/>
        <w:rPr>
          <w:rFonts w:ascii="宋体" w:eastAsia="宋体" w:hAnsi="宋体" w:cs="宋体"/>
          <w:b/>
          <w:bCs/>
          <w:szCs w:val="21"/>
        </w:rPr>
      </w:pPr>
      <w:bookmarkStart w:id="262" w:name="_Toc989288"/>
      <w:r>
        <w:rPr>
          <w:rFonts w:ascii="宋体" w:eastAsia="宋体" w:hAnsi="宋体" w:cs="宋体"/>
          <w:b/>
          <w:bCs/>
          <w:szCs w:val="21"/>
        </w:rPr>
        <w:t>（1） 外币货币性项目</w:t>
      </w:r>
      <w:bookmarkEnd w:id="26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期末折算人民币余额</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7,114,478.97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50,929,709.15</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6,384.17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8.40240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53,642.35</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16,496,009.94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15,043,536.26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112D20">
            <w:pPr>
              <w:spacing w:line="0" w:lineRule="atLeast"/>
              <w:rPr>
                <w:rFonts w:ascii="宋体" w:eastAsia="宋体" w:hAnsi="宋体" w:cs="宋体"/>
                <w:sz w:val="18"/>
                <w:szCs w:val="18"/>
              </w:rPr>
            </w:pPr>
            <w:r>
              <w:rPr>
                <w:rFonts w:ascii="宋体" w:eastAsia="宋体" w:hAnsi="宋体" w:cs="宋体"/>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w:t>
            </w:r>
            <w:r w:rsidR="005C49A8">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187,586,326,560.00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51,460,259.72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韩元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140,970.00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0.00526</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741.95</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泰铢</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87.50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0.21968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印度尼西亚卢比</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0.00044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埃及镑</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0.14407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7.20</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台币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0.24624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0.49</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新加坡元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24.35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5.61790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136.80</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巴基斯坦卢比</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14,200.00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0.02524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358.37</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676,197.57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4,840,627.92</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784,273.78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715,218.47</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2,183,444,782,855.00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598,980,947.41</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其他应收款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67,201,335.43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481,067,479.81</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228,922,932.50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208,766,268.29</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129,659,548,647.00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35,569,298.52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短期借款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5,343,236.65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38,250,093.88</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137,525,783,700.00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37,727,230.32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541,492.65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3,876,329.28</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12D20">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113,456,730,223.00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31,124,405.02</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42,708,412.84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7.15860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305,732,444.16</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364,530,140.72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0.91195</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332,433,261.83</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line="0" w:lineRule="atLeast"/>
              <w:ind w:firstLineChars="300" w:firstLine="540"/>
              <w:rPr>
                <w:rFonts w:ascii="宋体" w:eastAsia="宋体" w:hAnsi="宋体" w:cs="宋体"/>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105,440,644,584.00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0.00027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28,925,364.95</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63" w:name="_Toc989289"/>
      <w:r>
        <w:rPr>
          <w:rFonts w:ascii="宋体" w:eastAsia="宋体" w:hAnsi="宋体" w:cs="宋体"/>
          <w:b/>
          <w:bCs/>
          <w:szCs w:val="21"/>
        </w:rPr>
        <w:lastRenderedPageBreak/>
        <w:t>（2） 境外经营实体说明，包括对于重要的境外经营实体，应披露其境外主要经营地、记账本位币及选择依据，记账本位币发生变化的还应披露原因。</w:t>
      </w:r>
      <w:bookmarkEnd w:id="26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64" w:name="_Toc989290"/>
      <w:r>
        <w:rPr>
          <w:rFonts w:ascii="宋体" w:hAnsi="宋体" w:cs="宋体"/>
          <w:b/>
          <w:bCs/>
        </w:rPr>
        <w:t>82、租赁</w:t>
      </w:r>
      <w:bookmarkEnd w:id="264"/>
    </w:p>
    <w:p w:rsidR="008820E4" w:rsidRDefault="005C49A8">
      <w:pPr>
        <w:keepNext/>
        <w:keepLines/>
        <w:spacing w:before="300" w:after="300" w:line="280" w:lineRule="exact"/>
        <w:outlineLvl w:val="3"/>
        <w:rPr>
          <w:rFonts w:ascii="宋体" w:eastAsia="宋体" w:hAnsi="宋体" w:cs="宋体"/>
          <w:b/>
          <w:bCs/>
          <w:szCs w:val="21"/>
        </w:rPr>
      </w:pPr>
      <w:bookmarkStart w:id="265" w:name="_Toc989291"/>
      <w:r>
        <w:rPr>
          <w:rFonts w:ascii="宋体" w:eastAsia="宋体" w:hAnsi="宋体" w:cs="宋体"/>
          <w:b/>
          <w:bCs/>
          <w:szCs w:val="21"/>
        </w:rPr>
        <w:t>（1） 本公司作为承租方</w:t>
      </w:r>
      <w:bookmarkEnd w:id="26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未纳入租赁负债计量的可变租赁付款额</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简化处理的短期租赁或低价值资产的租赁费用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涉及售后租回交易的情况</w:t>
      </w:r>
    </w:p>
    <w:p w:rsidR="005C49A8" w:rsidRDefault="005C49A8">
      <w:pPr>
        <w:pStyle w:val="a3"/>
        <w:divId w:val="150524307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66" w:name="_Toc989292"/>
      <w:r>
        <w:rPr>
          <w:rFonts w:ascii="宋体" w:eastAsia="宋体" w:hAnsi="宋体" w:cs="宋体"/>
          <w:b/>
          <w:bCs/>
          <w:szCs w:val="21"/>
        </w:rPr>
        <w:t>（2） 本公司作为出租方</w:t>
      </w:r>
      <w:bookmarkEnd w:id="26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作为出租人的经营租赁</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租赁收入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其中：未计入</w:t>
            </w:r>
            <w:proofErr w:type="gramStart"/>
            <w:r>
              <w:rPr>
                <w:rFonts w:ascii="宋体" w:eastAsia="宋体" w:hAnsi="宋体" w:cs="宋体"/>
                <w:sz w:val="18"/>
                <w:szCs w:val="18"/>
              </w:rPr>
              <w:t>租赁收</w:t>
            </w:r>
            <w:proofErr w:type="gramEnd"/>
            <w:r>
              <w:rPr>
                <w:rFonts w:ascii="宋体" w:eastAsia="宋体" w:hAnsi="宋体" w:cs="宋体"/>
                <w:sz w:val="18"/>
                <w:szCs w:val="18"/>
              </w:rPr>
              <w:t>款额的可变租赁付款</w:t>
            </w:r>
            <w:proofErr w:type="gramStart"/>
            <w:r>
              <w:rPr>
                <w:rFonts w:ascii="宋体" w:eastAsia="宋体" w:hAnsi="宋体" w:cs="宋体"/>
                <w:sz w:val="18"/>
                <w:szCs w:val="18"/>
              </w:rPr>
              <w:t>额相关</w:t>
            </w:r>
            <w:proofErr w:type="gramEnd"/>
            <w:r>
              <w:rPr>
                <w:rFonts w:ascii="宋体" w:eastAsia="宋体" w:hAnsi="宋体" w:cs="宋体"/>
                <w:sz w:val="18"/>
                <w:szCs w:val="18"/>
              </w:rPr>
              <w:t>的收入</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厂房出租</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13,027,173.08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作为出租人的融资租赁</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未来五年每年未折现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款额与租赁投资净额的调节表</w:t>
      </w:r>
    </w:p>
    <w:p w:rsidR="005C49A8" w:rsidRDefault="005C49A8">
      <w:pPr>
        <w:pStyle w:val="a3"/>
        <w:divId w:val="57635554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267" w:name="_Toc989293"/>
      <w:r>
        <w:rPr>
          <w:rFonts w:ascii="宋体" w:eastAsia="宋体" w:hAnsi="宋体" w:cs="宋体"/>
          <w:b/>
          <w:bCs/>
          <w:szCs w:val="21"/>
        </w:rPr>
        <w:t>（3） 作为生产商或经销商确认融资租赁销售损益</w:t>
      </w:r>
      <w:bookmarkEnd w:id="26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268" w:name="_Toc989294"/>
      <w:r>
        <w:rPr>
          <w:rFonts w:ascii="宋体" w:hAnsi="宋体" w:cs="宋体"/>
          <w:b/>
          <w:bCs/>
        </w:rPr>
        <w:t>83、数据资源</w:t>
      </w:r>
      <w:bookmarkEnd w:id="268"/>
    </w:p>
    <w:p w:rsidR="005C49A8" w:rsidRDefault="005C49A8">
      <w:pPr>
        <w:pStyle w:val="a3"/>
        <w:divId w:val="4587859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69" w:name="_Toc989295"/>
      <w:r>
        <w:rPr>
          <w:rFonts w:ascii="宋体" w:hAnsi="宋体" w:cs="宋体"/>
          <w:b/>
          <w:bCs/>
        </w:rPr>
        <w:t>84、其他</w:t>
      </w:r>
      <w:bookmarkEnd w:id="269"/>
    </w:p>
    <w:p w:rsidR="005C49A8" w:rsidRDefault="005C49A8">
      <w:pPr>
        <w:pStyle w:val="a3"/>
        <w:divId w:val="915477774"/>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270" w:name="_Toc989296"/>
      <w:r>
        <w:rPr>
          <w:rFonts w:ascii="宋体" w:eastAsia="宋体" w:hAnsi="宋体" w:cs="宋体"/>
          <w:b/>
          <w:bCs/>
          <w:sz w:val="24"/>
          <w:szCs w:val="24"/>
        </w:rPr>
        <w:lastRenderedPageBreak/>
        <w:t>八、研发支出</w:t>
      </w:r>
      <w:bookmarkEnd w:id="270"/>
    </w:p>
    <w:p w:rsidR="005C49A8" w:rsidRDefault="005C49A8">
      <w:pPr>
        <w:pStyle w:val="a3"/>
        <w:divId w:val="1492984786"/>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271" w:name="_Toc989299"/>
      <w:r>
        <w:rPr>
          <w:rFonts w:ascii="宋体" w:eastAsia="宋体" w:hAnsi="宋体" w:cs="宋体"/>
          <w:b/>
          <w:bCs/>
          <w:sz w:val="24"/>
          <w:szCs w:val="24"/>
        </w:rPr>
        <w:t>九、合并范围的变更</w:t>
      </w:r>
      <w:bookmarkEnd w:id="271"/>
    </w:p>
    <w:p w:rsidR="008820E4" w:rsidRDefault="005C49A8">
      <w:pPr>
        <w:pStyle w:val="3"/>
        <w:spacing w:line="280" w:lineRule="exact"/>
        <w:jc w:val="left"/>
        <w:rPr>
          <w:rFonts w:ascii="宋体" w:hAnsi="宋体" w:cs="宋体"/>
          <w:b/>
          <w:bCs/>
        </w:rPr>
      </w:pPr>
      <w:bookmarkStart w:id="272" w:name="_Toc989300"/>
      <w:r>
        <w:rPr>
          <w:rFonts w:ascii="宋体" w:hAnsi="宋体" w:cs="宋体"/>
          <w:b/>
          <w:bCs/>
        </w:rPr>
        <w:t>1、非同</w:t>
      </w:r>
      <w:proofErr w:type="gramStart"/>
      <w:r>
        <w:rPr>
          <w:rFonts w:ascii="宋体" w:hAnsi="宋体" w:cs="宋体"/>
          <w:b/>
          <w:bCs/>
        </w:rPr>
        <w:t>一控制</w:t>
      </w:r>
      <w:proofErr w:type="gramEnd"/>
      <w:r>
        <w:rPr>
          <w:rFonts w:ascii="宋体" w:hAnsi="宋体" w:cs="宋体"/>
          <w:b/>
          <w:bCs/>
        </w:rPr>
        <w:t>下企业合并</w:t>
      </w:r>
      <w:bookmarkEnd w:id="272"/>
    </w:p>
    <w:p w:rsidR="008820E4" w:rsidRDefault="005C49A8">
      <w:pPr>
        <w:keepNext/>
        <w:keepLines/>
        <w:spacing w:before="300" w:after="300" w:line="280" w:lineRule="exact"/>
        <w:outlineLvl w:val="3"/>
        <w:rPr>
          <w:rFonts w:ascii="宋体" w:eastAsia="宋体" w:hAnsi="宋体" w:cs="宋体"/>
          <w:b/>
          <w:bCs/>
          <w:sz w:val="18"/>
          <w:szCs w:val="18"/>
        </w:rPr>
      </w:pPr>
      <w:bookmarkStart w:id="273" w:name="_Toc989301"/>
      <w:r>
        <w:rPr>
          <w:rFonts w:ascii="宋体" w:eastAsia="宋体" w:hAnsi="宋体" w:cs="宋体"/>
          <w:b/>
          <w:bCs/>
          <w:sz w:val="18"/>
          <w:szCs w:val="18"/>
        </w:rPr>
        <w:t>（1） 本期发生的非同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27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820E4">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被购买方名称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股权取得时点</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股权取得成本</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股权取得方式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购买日的确定依据</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购买方的收入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购买方的净利润</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购买方的现金流</w:t>
            </w:r>
          </w:p>
        </w:tc>
      </w:tr>
      <w:tr w:rsidR="008820E4" w:rsidTr="00177DA4">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2025年03月24日</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现金</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2025年03月24日</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7E0E41">
            <w:pPr>
              <w:spacing w:line="0" w:lineRule="atLeast"/>
              <w:rPr>
                <w:rFonts w:ascii="宋体" w:eastAsia="宋体" w:hAnsi="宋体" w:cs="宋体"/>
                <w:sz w:val="18"/>
                <w:szCs w:val="18"/>
              </w:rPr>
            </w:pPr>
            <w:r>
              <w:rPr>
                <w:rFonts w:ascii="宋体" w:eastAsia="宋体" w:hAnsi="宋体" w:cs="宋体"/>
                <w:sz w:val="18"/>
                <w:szCs w:val="18"/>
              </w:rPr>
              <w:t>购买完成</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74" w:name="_Toc989302"/>
      <w:r>
        <w:rPr>
          <w:rFonts w:ascii="宋体" w:eastAsia="宋体" w:hAnsi="宋体" w:cs="宋体"/>
          <w:b/>
          <w:bCs/>
          <w:sz w:val="18"/>
          <w:szCs w:val="18"/>
        </w:rPr>
        <w:t>（2） 合并成本及商誉</w:t>
      </w:r>
      <w:bookmarkEnd w:id="27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新疆硕丰种业有限公司</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--发行或承担的债务的公允价值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--或有对价的公允价值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合并成本合计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减：取得的可辨认净资产公允价值份额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r>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16,520,000.00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合并成本公允价值的确定方法：</w:t>
      </w:r>
      <w:r>
        <w:rPr>
          <w:rFonts w:hint="eastAsia"/>
          <w:sz w:val="18"/>
          <w:szCs w:val="18"/>
        </w:rPr>
        <w:t>以经新疆天合资产评估天合评报字【</w:t>
      </w:r>
      <w:r>
        <w:rPr>
          <w:rFonts w:hint="eastAsia"/>
          <w:sz w:val="18"/>
          <w:szCs w:val="18"/>
        </w:rPr>
        <w:t>2025</w:t>
      </w:r>
      <w:r>
        <w:rPr>
          <w:rFonts w:hint="eastAsia"/>
          <w:sz w:val="18"/>
          <w:szCs w:val="18"/>
        </w:rPr>
        <w:t>】</w:t>
      </w:r>
      <w:r>
        <w:rPr>
          <w:rFonts w:hint="eastAsia"/>
          <w:sz w:val="18"/>
          <w:szCs w:val="18"/>
        </w:rPr>
        <w:t>1-0080</w:t>
      </w:r>
      <w:r>
        <w:rPr>
          <w:rFonts w:hint="eastAsia"/>
          <w:sz w:val="18"/>
          <w:szCs w:val="18"/>
        </w:rPr>
        <w:t>号评估报告作为可辨认公允价值的参考依据进行确认。</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或有对价及其变动的说明</w:t>
      </w:r>
      <w:r w:rsidR="00112D20">
        <w:rPr>
          <w:rFonts w:ascii="宋体" w:eastAsia="宋体" w:hAnsi="宋体" w:cs="宋体" w:hint="eastAsia"/>
          <w:sz w:val="18"/>
          <w:szCs w:val="18"/>
        </w:rPr>
        <w:t>：</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大额商誉形成的主要原因：</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75" w:name="_Toc989303"/>
      <w:r>
        <w:rPr>
          <w:rFonts w:ascii="宋体" w:eastAsia="宋体" w:hAnsi="宋体" w:cs="宋体"/>
          <w:b/>
          <w:bCs/>
          <w:sz w:val="18"/>
          <w:szCs w:val="18"/>
        </w:rPr>
        <w:t>（3） 被购买方于购买日可辨认资产、负债</w:t>
      </w:r>
      <w:bookmarkEnd w:id="275"/>
    </w:p>
    <w:p w:rsidR="00132FE9" w:rsidRDefault="00132FE9">
      <w:pPr>
        <w:spacing w:before="40" w:after="40" w:line="240" w:lineRule="exact"/>
        <w:jc w:val="right"/>
        <w:rPr>
          <w:rFonts w:ascii="宋体" w:eastAsia="宋体" w:hAnsi="宋体" w:cs="宋体"/>
          <w:sz w:val="18"/>
          <w:szCs w:val="18"/>
        </w:rPr>
      </w:pP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6426"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新疆硕丰种业有限公司</w:t>
            </w:r>
          </w:p>
        </w:tc>
      </w:tr>
      <w:tr w:rsidR="008820E4">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购买日账面价值</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2,480,000.00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可辨认资产、负债公允价值的确定方法：</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企业合并中承担的被购买方的或有负债：</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76" w:name="_Toc989304"/>
      <w:r>
        <w:rPr>
          <w:rFonts w:ascii="宋体" w:eastAsia="宋体" w:hAnsi="宋体" w:cs="宋体"/>
          <w:b/>
          <w:bCs/>
          <w:sz w:val="18"/>
          <w:szCs w:val="18"/>
        </w:rPr>
        <w:t>（4） 购买日之前持有的股权按照公允价值重新计量产生的利得或损失</w:t>
      </w:r>
      <w:bookmarkEnd w:id="27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是否存在通过多次交易分步实现企业合并且在报告期内取得控制权的交易</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keepNext/>
        <w:keepLines/>
        <w:spacing w:before="300" w:after="300" w:line="280" w:lineRule="exact"/>
        <w:outlineLvl w:val="3"/>
        <w:rPr>
          <w:rFonts w:ascii="宋体" w:eastAsia="宋体" w:hAnsi="宋体" w:cs="宋体"/>
          <w:b/>
          <w:bCs/>
          <w:sz w:val="18"/>
          <w:szCs w:val="18"/>
        </w:rPr>
      </w:pPr>
      <w:bookmarkStart w:id="277" w:name="_Toc989305"/>
      <w:r>
        <w:rPr>
          <w:rFonts w:ascii="宋体" w:eastAsia="宋体" w:hAnsi="宋体" w:cs="宋体"/>
          <w:b/>
          <w:bCs/>
          <w:sz w:val="18"/>
          <w:szCs w:val="18"/>
        </w:rPr>
        <w:t>（5） 购买日或合并当期期末无法合理确定合并对价或被购买方可辨认资产、负债公允价值的相关说明</w:t>
      </w:r>
      <w:bookmarkEnd w:id="277"/>
    </w:p>
    <w:p w:rsidR="005C49A8" w:rsidRDefault="005C49A8">
      <w:pPr>
        <w:pStyle w:val="a3"/>
        <w:divId w:val="50883338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78" w:name="_Toc989306"/>
      <w:r>
        <w:rPr>
          <w:rFonts w:ascii="宋体" w:eastAsia="宋体" w:hAnsi="宋体" w:cs="宋体"/>
          <w:b/>
          <w:bCs/>
          <w:sz w:val="18"/>
          <w:szCs w:val="18"/>
        </w:rPr>
        <w:t>（6） 其他说明</w:t>
      </w:r>
      <w:bookmarkEnd w:id="278"/>
    </w:p>
    <w:p w:rsidR="005C49A8" w:rsidRDefault="005C49A8">
      <w:pPr>
        <w:pStyle w:val="a3"/>
        <w:divId w:val="17782291"/>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79" w:name="_Toc989307"/>
      <w:r>
        <w:rPr>
          <w:rFonts w:ascii="宋体" w:hAnsi="宋体" w:cs="宋体"/>
          <w:b/>
          <w:bCs/>
        </w:rPr>
        <w:t>2、同</w:t>
      </w:r>
      <w:proofErr w:type="gramStart"/>
      <w:r>
        <w:rPr>
          <w:rFonts w:ascii="宋体" w:hAnsi="宋体" w:cs="宋体"/>
          <w:b/>
          <w:bCs/>
        </w:rPr>
        <w:t>一控制</w:t>
      </w:r>
      <w:proofErr w:type="gramEnd"/>
      <w:r>
        <w:rPr>
          <w:rFonts w:ascii="宋体" w:hAnsi="宋体" w:cs="宋体"/>
          <w:b/>
          <w:bCs/>
        </w:rPr>
        <w:t>下企业合并</w:t>
      </w:r>
      <w:bookmarkEnd w:id="279"/>
    </w:p>
    <w:p w:rsidR="008820E4" w:rsidRDefault="005C49A8">
      <w:pPr>
        <w:keepNext/>
        <w:keepLines/>
        <w:spacing w:before="300" w:after="300" w:line="280" w:lineRule="exact"/>
        <w:outlineLvl w:val="3"/>
        <w:rPr>
          <w:rFonts w:ascii="宋体" w:eastAsia="宋体" w:hAnsi="宋体" w:cs="宋体"/>
          <w:b/>
          <w:bCs/>
          <w:sz w:val="18"/>
          <w:szCs w:val="18"/>
        </w:rPr>
      </w:pPr>
      <w:bookmarkStart w:id="280" w:name="_Toc989308"/>
      <w:r>
        <w:rPr>
          <w:rFonts w:ascii="宋体" w:eastAsia="宋体" w:hAnsi="宋体" w:cs="宋体"/>
          <w:b/>
          <w:bCs/>
          <w:sz w:val="18"/>
          <w:szCs w:val="18"/>
        </w:rPr>
        <w:t>（1） 本期发生的同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280"/>
    </w:p>
    <w:p w:rsidR="005C49A8" w:rsidRDefault="005C49A8">
      <w:pPr>
        <w:pStyle w:val="a3"/>
        <w:divId w:val="112395913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81" w:name="_Toc989309"/>
      <w:r>
        <w:rPr>
          <w:rFonts w:ascii="宋体" w:eastAsia="宋体" w:hAnsi="宋体" w:cs="宋体"/>
          <w:b/>
          <w:bCs/>
          <w:sz w:val="18"/>
          <w:szCs w:val="18"/>
        </w:rPr>
        <w:t>（2） 合并成本</w:t>
      </w:r>
      <w:bookmarkEnd w:id="281"/>
    </w:p>
    <w:p w:rsidR="005C49A8" w:rsidRDefault="005C49A8">
      <w:pPr>
        <w:pStyle w:val="a3"/>
        <w:divId w:val="33345402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82" w:name="_Toc989310"/>
      <w:r>
        <w:rPr>
          <w:rFonts w:ascii="宋体" w:eastAsia="宋体" w:hAnsi="宋体" w:cs="宋体"/>
          <w:b/>
          <w:bCs/>
          <w:sz w:val="18"/>
          <w:szCs w:val="18"/>
        </w:rPr>
        <w:t xml:space="preserve">（3） </w:t>
      </w:r>
      <w:proofErr w:type="gramStart"/>
      <w:r>
        <w:rPr>
          <w:rFonts w:ascii="宋体" w:eastAsia="宋体" w:hAnsi="宋体" w:cs="宋体"/>
          <w:b/>
          <w:bCs/>
          <w:sz w:val="18"/>
          <w:szCs w:val="18"/>
        </w:rPr>
        <w:t>合并日</w:t>
      </w:r>
      <w:proofErr w:type="gramEnd"/>
      <w:r>
        <w:rPr>
          <w:rFonts w:ascii="宋体" w:eastAsia="宋体" w:hAnsi="宋体" w:cs="宋体"/>
          <w:b/>
          <w:bCs/>
          <w:sz w:val="18"/>
          <w:szCs w:val="18"/>
        </w:rPr>
        <w:t>被合并方资产、负债的账面价值</w:t>
      </w:r>
      <w:bookmarkEnd w:id="282"/>
    </w:p>
    <w:p w:rsidR="005C49A8" w:rsidRDefault="005C49A8">
      <w:pPr>
        <w:pStyle w:val="a3"/>
        <w:divId w:val="60969951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83" w:name="_Toc989311"/>
      <w:r>
        <w:rPr>
          <w:rFonts w:ascii="宋体" w:hAnsi="宋体" w:cs="宋体"/>
          <w:b/>
          <w:bCs/>
        </w:rPr>
        <w:lastRenderedPageBreak/>
        <w:t>3、反向购买</w:t>
      </w:r>
      <w:bookmarkEnd w:id="283"/>
    </w:p>
    <w:p w:rsidR="008820E4" w:rsidRDefault="005C49A8" w:rsidP="00112D20">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交易基本信息、交易构成反向购买的依据、上市公司保留的资产、负债是否构成业务及其依据、合并成本的确定、按照权益性交易处理时调整权益的金额及其计算：</w:t>
      </w:r>
    </w:p>
    <w:p w:rsidR="005C49A8" w:rsidRDefault="005C49A8">
      <w:pPr>
        <w:pStyle w:val="a3"/>
        <w:divId w:val="150805622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84" w:name="_Toc989312"/>
      <w:r>
        <w:rPr>
          <w:rFonts w:ascii="宋体" w:hAnsi="宋体" w:cs="宋体"/>
          <w:b/>
          <w:bCs/>
        </w:rPr>
        <w:t>4、处置子公司</w:t>
      </w:r>
      <w:bookmarkEnd w:id="28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本期是否存在丧失子公司控制权的交易或事项</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820E4" w:rsidRDefault="005C49A8">
      <w:pPr>
        <w:pStyle w:val="3"/>
        <w:spacing w:line="280" w:lineRule="exact"/>
        <w:jc w:val="left"/>
        <w:rPr>
          <w:rFonts w:ascii="宋体" w:hAnsi="宋体" w:cs="宋体"/>
          <w:b/>
          <w:bCs/>
        </w:rPr>
      </w:pPr>
      <w:bookmarkStart w:id="285" w:name="_Toc989313"/>
      <w:r>
        <w:rPr>
          <w:rFonts w:ascii="宋体" w:hAnsi="宋体" w:cs="宋体"/>
          <w:b/>
          <w:bCs/>
        </w:rPr>
        <w:t>5、其他原因的合并范围变动</w:t>
      </w:r>
      <w:bookmarkEnd w:id="285"/>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tbl>
      <w:tblPr>
        <w:tblW w:w="9229" w:type="dxa"/>
        <w:tblCellMar>
          <w:left w:w="0" w:type="dxa"/>
          <w:right w:w="0" w:type="dxa"/>
        </w:tblCellMar>
        <w:tblLook w:val="04A0" w:firstRow="1" w:lastRow="0" w:firstColumn="1" w:lastColumn="0" w:noHBand="0" w:noVBand="1"/>
      </w:tblPr>
      <w:tblGrid>
        <w:gridCol w:w="4614"/>
        <w:gridCol w:w="4615"/>
      </w:tblGrid>
      <w:tr w:rsidR="005C49A8" w:rsidTr="00177DA4">
        <w:trPr>
          <w:divId w:val="475804717"/>
          <w:trHeight w:val="390"/>
        </w:trPr>
        <w:tc>
          <w:tcPr>
            <w:tcW w:w="4614" w:type="dxa"/>
            <w:tcBorders>
              <w:top w:val="single" w:sz="2" w:space="0" w:color="auto"/>
              <w:left w:val="single" w:sz="2" w:space="0" w:color="auto"/>
              <w:bottom w:val="single" w:sz="2" w:space="0" w:color="auto"/>
              <w:right w:val="single" w:sz="2"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公司名称</w:t>
            </w:r>
          </w:p>
        </w:tc>
        <w:tc>
          <w:tcPr>
            <w:tcW w:w="4615" w:type="dxa"/>
            <w:tcBorders>
              <w:top w:val="single" w:sz="2" w:space="0" w:color="auto"/>
              <w:left w:val="single" w:sz="2" w:space="0" w:color="auto"/>
              <w:bottom w:val="single" w:sz="2" w:space="0" w:color="auto"/>
              <w:right w:val="single" w:sz="2"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变更原因</w:t>
            </w:r>
          </w:p>
        </w:tc>
      </w:tr>
      <w:tr w:rsidR="005C49A8" w:rsidTr="00177DA4">
        <w:trPr>
          <w:divId w:val="475804717"/>
          <w:trHeight w:val="390"/>
        </w:trPr>
        <w:tc>
          <w:tcPr>
            <w:tcW w:w="4614" w:type="dxa"/>
            <w:tcBorders>
              <w:top w:val="single" w:sz="2" w:space="0" w:color="auto"/>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20"/>
                <w:szCs w:val="20"/>
              </w:rPr>
            </w:pPr>
            <w:r>
              <w:rPr>
                <w:rFonts w:hint="eastAsia"/>
                <w:color w:val="000000"/>
                <w:sz w:val="20"/>
                <w:szCs w:val="20"/>
              </w:rPr>
              <w:t>阿克苏恒</w:t>
            </w:r>
            <w:proofErr w:type="gramStart"/>
            <w:r>
              <w:rPr>
                <w:rFonts w:hint="eastAsia"/>
                <w:color w:val="000000"/>
                <w:sz w:val="20"/>
                <w:szCs w:val="20"/>
              </w:rPr>
              <w:t>鑫</w:t>
            </w:r>
            <w:proofErr w:type="gramEnd"/>
            <w:r>
              <w:rPr>
                <w:rFonts w:hint="eastAsia"/>
                <w:color w:val="000000"/>
                <w:sz w:val="20"/>
                <w:szCs w:val="20"/>
              </w:rPr>
              <w:t>棉花有限公司</w:t>
            </w:r>
          </w:p>
        </w:tc>
        <w:tc>
          <w:tcPr>
            <w:tcW w:w="4615" w:type="dxa"/>
            <w:tcBorders>
              <w:top w:val="single" w:sz="2"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20"/>
                <w:szCs w:val="20"/>
              </w:rPr>
            </w:pPr>
            <w:r>
              <w:rPr>
                <w:rFonts w:hint="eastAsia"/>
                <w:color w:val="000000"/>
                <w:sz w:val="20"/>
                <w:szCs w:val="20"/>
              </w:rPr>
              <w:t>新设</w:t>
            </w:r>
          </w:p>
        </w:tc>
      </w:tr>
    </w:tbl>
    <w:p w:rsidR="008820E4" w:rsidRDefault="005C49A8">
      <w:pPr>
        <w:pStyle w:val="3"/>
        <w:spacing w:line="280" w:lineRule="exact"/>
        <w:jc w:val="left"/>
        <w:rPr>
          <w:rFonts w:ascii="宋体" w:hAnsi="宋体" w:cs="宋体"/>
          <w:b/>
          <w:bCs/>
        </w:rPr>
      </w:pPr>
      <w:bookmarkStart w:id="286" w:name="_Toc989314"/>
      <w:r>
        <w:rPr>
          <w:rFonts w:ascii="宋体" w:hAnsi="宋体" w:cs="宋体"/>
          <w:b/>
          <w:bCs/>
        </w:rPr>
        <w:t>6、其他</w:t>
      </w:r>
      <w:bookmarkEnd w:id="286"/>
    </w:p>
    <w:p w:rsidR="005C49A8" w:rsidRDefault="005C49A8">
      <w:pPr>
        <w:pStyle w:val="a3"/>
        <w:divId w:val="1133016224"/>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287" w:name="_Toc989315"/>
      <w:r>
        <w:rPr>
          <w:rFonts w:ascii="宋体" w:eastAsia="宋体" w:hAnsi="宋体" w:cs="宋体"/>
          <w:b/>
          <w:bCs/>
          <w:sz w:val="24"/>
          <w:szCs w:val="24"/>
        </w:rPr>
        <w:t>十、在其他主体中的权益</w:t>
      </w:r>
      <w:bookmarkEnd w:id="287"/>
    </w:p>
    <w:p w:rsidR="008820E4" w:rsidRDefault="005C49A8">
      <w:pPr>
        <w:pStyle w:val="3"/>
        <w:spacing w:line="280" w:lineRule="exact"/>
        <w:jc w:val="left"/>
        <w:rPr>
          <w:rFonts w:ascii="宋体" w:hAnsi="宋体" w:cs="宋体"/>
          <w:b/>
          <w:bCs/>
        </w:rPr>
      </w:pPr>
      <w:bookmarkStart w:id="288" w:name="_Toc989316"/>
      <w:r>
        <w:rPr>
          <w:rFonts w:ascii="宋体" w:hAnsi="宋体" w:cs="宋体"/>
          <w:b/>
          <w:bCs/>
        </w:rPr>
        <w:t>1、在子公司中的权益</w:t>
      </w:r>
      <w:bookmarkEnd w:id="288"/>
    </w:p>
    <w:p w:rsidR="008820E4" w:rsidRDefault="005C49A8">
      <w:pPr>
        <w:keepNext/>
        <w:keepLines/>
        <w:spacing w:before="300" w:after="300" w:line="280" w:lineRule="exact"/>
        <w:outlineLvl w:val="3"/>
        <w:rPr>
          <w:rFonts w:ascii="宋体" w:eastAsia="宋体" w:hAnsi="宋体" w:cs="宋体"/>
          <w:b/>
          <w:bCs/>
          <w:sz w:val="18"/>
          <w:szCs w:val="18"/>
        </w:rPr>
      </w:pPr>
      <w:bookmarkStart w:id="289" w:name="_Toc989317"/>
      <w:r>
        <w:rPr>
          <w:rFonts w:ascii="宋体" w:eastAsia="宋体" w:hAnsi="宋体" w:cs="宋体"/>
          <w:b/>
          <w:bCs/>
          <w:sz w:val="18"/>
          <w:szCs w:val="18"/>
        </w:rPr>
        <w:t>（1） 企业集团的构成</w:t>
      </w:r>
      <w:bookmarkEnd w:id="28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8820E4" w:rsidTr="00177DA4">
        <w:trPr>
          <w:trHeight w:val="240"/>
        </w:trPr>
        <w:tc>
          <w:tcPr>
            <w:tcW w:w="1205"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取得方式</w:t>
            </w:r>
          </w:p>
        </w:tc>
      </w:tr>
      <w:tr w:rsidR="008820E4">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887,849,696.34</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香港天成贸易有限公司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88,200,000.00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新加坡耀佳国际贸易有限公司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4,722,789.00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新加坡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香港华孚贸易有限公司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宁海华孚纺</w:t>
            </w:r>
            <w:r>
              <w:rPr>
                <w:rFonts w:ascii="宋体" w:eastAsia="宋体" w:hAnsi="宋体" w:cs="宋体"/>
                <w:sz w:val="18"/>
                <w:szCs w:val="18"/>
              </w:rPr>
              <w:lastRenderedPageBreak/>
              <w:t>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182,757,74</w:t>
            </w:r>
            <w:r>
              <w:rPr>
                <w:rFonts w:ascii="宋体" w:eastAsia="宋体" w:hAnsi="宋体" w:cs="宋体"/>
                <w:sz w:val="18"/>
                <w:szCs w:val="18"/>
              </w:rPr>
              <w:lastRenderedPageBreak/>
              <w:t>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浙江省宁波</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浙江省宁波</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w:t>
            </w:r>
            <w:r>
              <w:rPr>
                <w:rFonts w:ascii="宋体" w:eastAsia="宋体" w:hAnsi="宋体" w:cs="宋体"/>
                <w:sz w:val="18"/>
                <w:szCs w:val="18"/>
              </w:rPr>
              <w:lastRenderedPageBreak/>
              <w:t>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浙江华孚色纺有限公司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620,560,889.03</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浙江社标纤维有限公司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绍</w:t>
            </w:r>
            <w:proofErr w:type="gramEnd"/>
            <w:r>
              <w:rPr>
                <w:rFonts w:ascii="宋体" w:eastAsia="宋体" w:hAnsi="宋体" w:cs="宋体"/>
                <w:sz w:val="18"/>
                <w:szCs w:val="18"/>
              </w:rPr>
              <w:t>省兴市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w:t>
            </w:r>
            <w:proofErr w:type="gramStart"/>
            <w:r>
              <w:rPr>
                <w:rFonts w:ascii="宋体" w:eastAsia="宋体" w:hAnsi="宋体" w:cs="宋体"/>
                <w:sz w:val="18"/>
                <w:szCs w:val="18"/>
              </w:rPr>
              <w:t>标信纤维</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石河子标配纤维</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浙江昇孚贸易有限公司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49,497,897.00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浙江省上虞</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宁波华孚东</w:t>
            </w:r>
            <w:proofErr w:type="gramStart"/>
            <w:r>
              <w:rPr>
                <w:rFonts w:ascii="宋体" w:eastAsia="宋体" w:hAnsi="宋体" w:cs="宋体"/>
                <w:sz w:val="18"/>
                <w:szCs w:val="18"/>
              </w:rPr>
              <w:t>浩</w:t>
            </w:r>
            <w:proofErr w:type="gramEnd"/>
            <w:r>
              <w:rPr>
                <w:rFonts w:ascii="宋体" w:eastAsia="宋体" w:hAnsi="宋体" w:cs="宋体"/>
                <w:sz w:val="18"/>
                <w:szCs w:val="18"/>
              </w:rPr>
              <w:t>实业有限公司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浙江宁波</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浙江宁波</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九江中</w:t>
            </w:r>
            <w:proofErr w:type="gramStart"/>
            <w:r>
              <w:rPr>
                <w:rFonts w:ascii="宋体" w:eastAsia="宋体" w:hAnsi="宋体" w:cs="宋体"/>
                <w:sz w:val="18"/>
                <w:szCs w:val="18"/>
              </w:rPr>
              <w:t>浩</w:t>
            </w:r>
            <w:proofErr w:type="gramEnd"/>
            <w:r>
              <w:rPr>
                <w:rFonts w:ascii="宋体" w:eastAsia="宋体" w:hAnsi="宋体" w:cs="宋体"/>
                <w:sz w:val="18"/>
                <w:szCs w:val="18"/>
              </w:rPr>
              <w:t>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65,808,000.00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江西省九江市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江西省九江市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浙江金华华孚纺织有限公司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平湖市华孚金瓶纺织有限公司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浙江省平湖市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浙江省平湖市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上海华孚色纺贸易有限公司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2,634,516,140.00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新疆华孚算网科技有限公司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新疆六孚纺织工业</w:t>
            </w:r>
            <w:proofErr w:type="gramEnd"/>
            <w:r>
              <w:rPr>
                <w:rFonts w:ascii="宋体" w:eastAsia="宋体" w:hAnsi="宋体" w:cs="宋体"/>
                <w:sz w:val="18"/>
                <w:szCs w:val="18"/>
              </w:rPr>
              <w:t>园有限公司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338,250,000.00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新疆五家渠市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新疆五家渠市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新疆天宏新</w:t>
            </w:r>
            <w:proofErr w:type="gramStart"/>
            <w:r>
              <w:rPr>
                <w:rFonts w:ascii="宋体" w:eastAsia="宋体" w:hAnsi="宋体" w:cs="宋体"/>
                <w:sz w:val="18"/>
                <w:szCs w:val="18"/>
              </w:rPr>
              <w:t>八棉产业</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48,710,000.00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阿克苏华孚新能源有限公司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光</w:t>
            </w:r>
            <w:proofErr w:type="gramStart"/>
            <w:r>
              <w:rPr>
                <w:rFonts w:ascii="宋体" w:eastAsia="宋体" w:hAnsi="宋体" w:cs="宋体"/>
                <w:sz w:val="18"/>
                <w:szCs w:val="18"/>
              </w:rPr>
              <w:t>伏销售</w:t>
            </w:r>
            <w:proofErr w:type="gramEnd"/>
            <w:r>
              <w:rPr>
                <w:rFonts w:ascii="宋体" w:eastAsia="宋体" w:hAnsi="宋体" w:cs="宋体"/>
                <w:sz w:val="18"/>
                <w:szCs w:val="18"/>
              </w:rPr>
              <w:t>及技术服务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新疆华孚棉业集团有限公司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w:t>
            </w:r>
            <w:proofErr w:type="gramStart"/>
            <w:r>
              <w:rPr>
                <w:rFonts w:ascii="宋体" w:eastAsia="宋体" w:hAnsi="宋体" w:cs="宋体"/>
                <w:sz w:val="18"/>
                <w:szCs w:val="18"/>
              </w:rPr>
              <w:t>孚恒丰棉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库车纵横棉业有限责任公司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沙雅银花棉业有限责任公司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7,960,000.00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胡杨河华孚宏盛棉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胡杨河</w:t>
            </w:r>
            <w:proofErr w:type="gramEnd"/>
            <w:r>
              <w:rPr>
                <w:rFonts w:ascii="宋体" w:eastAsia="宋体" w:hAnsi="宋体" w:cs="宋体"/>
                <w:sz w:val="18"/>
                <w:szCs w:val="18"/>
              </w:rPr>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胡杨河</w:t>
            </w:r>
            <w:proofErr w:type="gramEnd"/>
            <w:r>
              <w:rPr>
                <w:rFonts w:ascii="宋体" w:eastAsia="宋体" w:hAnsi="宋体" w:cs="宋体"/>
                <w:sz w:val="18"/>
                <w:szCs w:val="18"/>
              </w:rPr>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浙江聚丰贸易有限公司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石河子华</w:t>
            </w:r>
            <w:proofErr w:type="gramStart"/>
            <w:r>
              <w:rPr>
                <w:rFonts w:ascii="宋体" w:eastAsia="宋体" w:hAnsi="宋体" w:cs="宋体"/>
                <w:sz w:val="18"/>
                <w:szCs w:val="18"/>
              </w:rPr>
              <w:t>孚宏盛棉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石河子市华</w:t>
            </w:r>
            <w:proofErr w:type="gramStart"/>
            <w:r>
              <w:rPr>
                <w:rFonts w:ascii="宋体" w:eastAsia="宋体" w:hAnsi="宋体" w:cs="宋体"/>
                <w:sz w:val="18"/>
                <w:szCs w:val="18"/>
              </w:rPr>
              <w:t>孚宏丰棉</w:t>
            </w:r>
            <w:proofErr w:type="gramEnd"/>
            <w:r>
              <w:rPr>
                <w:rFonts w:ascii="宋体" w:eastAsia="宋体" w:hAnsi="宋体" w:cs="宋体"/>
                <w:sz w:val="18"/>
                <w:szCs w:val="18"/>
              </w:rPr>
              <w:t>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新疆石河子市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浙江维新贸易有限公司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浙江省宁波市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浙江省宁波市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浙江恒孚贸易有限公司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新疆乌鲁木齐</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70.40%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物流运输业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40.80%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深圳华孚网链投资有限公司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广东省深圳市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淮北华孚供应链管理有限公司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浙江服人网络科技有限公司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阿克苏华孚科技有限公司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45,472,700.00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50.94%</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新疆阿大数字科技产业园有限公司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浙江昊载科技有限公司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诸暨中</w:t>
            </w:r>
            <w:proofErr w:type="gramStart"/>
            <w:r>
              <w:rPr>
                <w:rFonts w:ascii="宋体" w:eastAsia="宋体" w:hAnsi="宋体" w:cs="宋体"/>
                <w:sz w:val="18"/>
                <w:szCs w:val="18"/>
              </w:rPr>
              <w:t>昊</w:t>
            </w:r>
            <w:proofErr w:type="gramEnd"/>
            <w:r>
              <w:rPr>
                <w:rFonts w:ascii="宋体" w:eastAsia="宋体" w:hAnsi="宋体" w:cs="宋体"/>
                <w:sz w:val="18"/>
                <w:szCs w:val="18"/>
              </w:rPr>
              <w:t>投资管理有限公司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投资管理</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诸暨市承影电子商务有限公司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市渊虹</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杭州名</w:t>
            </w:r>
            <w:proofErr w:type="gramStart"/>
            <w:r>
              <w:rPr>
                <w:rFonts w:ascii="宋体" w:eastAsia="宋体" w:hAnsi="宋体" w:cs="宋体"/>
                <w:sz w:val="18"/>
                <w:szCs w:val="18"/>
              </w:rPr>
              <w:t>鲲</w:t>
            </w:r>
            <w:proofErr w:type="gramEnd"/>
            <w:r>
              <w:rPr>
                <w:rFonts w:ascii="宋体" w:eastAsia="宋体" w:hAnsi="宋体" w:cs="宋体"/>
                <w:sz w:val="18"/>
                <w:szCs w:val="18"/>
              </w:rPr>
              <w:t>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软件开发</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诸暨市卡拉美拉科技有限公司</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8,345,295.00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诸暨市龙渊电子商务有限公司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诸暨市湛</w:t>
            </w:r>
            <w:proofErr w:type="gramStart"/>
            <w:r>
              <w:rPr>
                <w:rFonts w:ascii="宋体" w:eastAsia="宋体" w:hAnsi="宋体" w:cs="宋体"/>
                <w:sz w:val="18"/>
                <w:szCs w:val="18"/>
              </w:rPr>
              <w:t>泸</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w:t>
            </w:r>
            <w:proofErr w:type="gramStart"/>
            <w:r>
              <w:rPr>
                <w:rFonts w:ascii="宋体" w:eastAsia="宋体" w:hAnsi="宋体" w:cs="宋体"/>
                <w:sz w:val="18"/>
                <w:szCs w:val="18"/>
              </w:rPr>
              <w:t>赤</w:t>
            </w:r>
            <w:proofErr w:type="gramEnd"/>
            <w:r>
              <w:rPr>
                <w:rFonts w:ascii="宋体" w:eastAsia="宋体" w:hAnsi="宋体" w:cs="宋体"/>
                <w:sz w:val="18"/>
                <w:szCs w:val="18"/>
              </w:rPr>
              <w:t>霄</w:t>
            </w:r>
            <w:r>
              <w:rPr>
                <w:rFonts w:ascii="宋体" w:eastAsia="宋体" w:hAnsi="宋体" w:cs="宋体"/>
                <w:sz w:val="18"/>
                <w:szCs w:val="18"/>
              </w:rPr>
              <w:lastRenderedPageBreak/>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1,000,000.</w:t>
            </w:r>
            <w:r>
              <w:rPr>
                <w:rFonts w:ascii="宋体" w:eastAsia="宋体" w:hAnsi="宋体" w:cs="宋体"/>
                <w:sz w:val="18"/>
                <w:szCs w:val="18"/>
              </w:rPr>
              <w:lastRenderedPageBreak/>
              <w:t>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浙江省诸暨</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浙江省诸暨</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诸暨市新亭电子商务有限公司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市纯钧</w:t>
            </w:r>
            <w:proofErr w:type="gramEnd"/>
            <w:r>
              <w:rPr>
                <w:rFonts w:ascii="宋体" w:eastAsia="宋体" w:hAnsi="宋体" w:cs="宋体"/>
                <w:sz w:val="18"/>
                <w:szCs w:val="18"/>
              </w:rPr>
              <w:t>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诸暨市雪霁电子商务有限公司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零售业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诸暨</w:t>
            </w:r>
            <w:proofErr w:type="gramStart"/>
            <w:r>
              <w:rPr>
                <w:rFonts w:ascii="宋体" w:eastAsia="宋体" w:hAnsi="宋体" w:cs="宋体"/>
                <w:sz w:val="18"/>
                <w:szCs w:val="18"/>
              </w:rPr>
              <w:t>市胜跃纺织</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杭州</w:t>
            </w:r>
            <w:proofErr w:type="gramStart"/>
            <w:r>
              <w:rPr>
                <w:rFonts w:ascii="宋体" w:eastAsia="宋体" w:hAnsi="宋体" w:cs="宋体"/>
                <w:sz w:val="18"/>
                <w:szCs w:val="18"/>
              </w:rPr>
              <w:t>一</w:t>
            </w:r>
            <w:proofErr w:type="gramEnd"/>
            <w:r>
              <w:rPr>
                <w:rFonts w:ascii="宋体" w:eastAsia="宋体" w:hAnsi="宋体" w:cs="宋体"/>
                <w:sz w:val="18"/>
                <w:szCs w:val="18"/>
              </w:rPr>
              <w:t>酷服饰有限公司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浙江省杭州市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浙江昊驰信息咨询有限公司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浙江昊创贸易有限公司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浙江广孚色纺有限公司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浙江易孚贸易有限公司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90.32%</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新疆棉花产业集团岳普湖棉业有限公司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新疆棉花产业集团伽师棉业有限公司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菁英电商管理</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金华市</w:t>
            </w:r>
            <w:proofErr w:type="gramStart"/>
            <w:r>
              <w:rPr>
                <w:rFonts w:ascii="宋体" w:eastAsia="宋体" w:hAnsi="宋体" w:cs="宋体"/>
                <w:sz w:val="18"/>
                <w:szCs w:val="18"/>
              </w:rPr>
              <w:t>菁</w:t>
            </w:r>
            <w:proofErr w:type="gramEnd"/>
            <w:r>
              <w:rPr>
                <w:rFonts w:ascii="宋体" w:eastAsia="宋体" w:hAnsi="宋体" w:cs="宋体"/>
                <w:sz w:val="18"/>
                <w:szCs w:val="18"/>
              </w:rPr>
              <w:t>英职业技能培训学校有限公司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金华市</w:t>
            </w:r>
            <w:proofErr w:type="gramStart"/>
            <w:r>
              <w:rPr>
                <w:rFonts w:ascii="宋体" w:eastAsia="宋体" w:hAnsi="宋体" w:cs="宋体"/>
                <w:sz w:val="18"/>
                <w:szCs w:val="18"/>
              </w:rPr>
              <w:t>菁</w:t>
            </w:r>
            <w:proofErr w:type="gramEnd"/>
            <w:r>
              <w:rPr>
                <w:rFonts w:ascii="宋体" w:eastAsia="宋体" w:hAnsi="宋体" w:cs="宋体"/>
                <w:sz w:val="18"/>
                <w:szCs w:val="18"/>
              </w:rPr>
              <w:t>英物业发展有限公司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菁英创业</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商务服务业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淮北中新纺织有限公司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高可续（上海）棉花有限公司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奎屯锦孚纺织</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230,343,900.00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新疆奎屯市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新疆奎屯市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浙江果实设计有限公司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设计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浙江果实纺</w:t>
            </w:r>
            <w:r>
              <w:rPr>
                <w:rFonts w:ascii="宋体" w:eastAsia="宋体" w:hAnsi="宋体" w:cs="宋体"/>
                <w:sz w:val="18"/>
                <w:szCs w:val="18"/>
              </w:rPr>
              <w:lastRenderedPageBreak/>
              <w:t>织科技有限公司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10,000,000</w:t>
            </w:r>
            <w:r>
              <w:rPr>
                <w:rFonts w:ascii="宋体" w:eastAsia="宋体" w:hAnsi="宋体" w:cs="宋体"/>
                <w:sz w:val="18"/>
                <w:szCs w:val="18"/>
              </w:rPr>
              <w:lastRenderedPageBreak/>
              <w:t>.00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浙江省绍兴</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浙江省绍兴</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浙江其实科技有限公司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新疆华孚宏丰农业开发有限公司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新疆维吾尔自治区阿克苏地区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新疆盛孚棉业有限公司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新疆维吾尔自治区喀什地区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淮北华孚新能源有限公司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安徽省淮北市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平湖市科新贸易有限公司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浙江省嘉兴市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浙江省嘉兴市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物资贸易业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浙江达米安品牌管理有限公司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浙江省诸暨市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华孚智算（上海）网络有限公司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上海市普陀区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上海市普陀区</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新疆华孚人工智能科技有限公司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绍兴</w:t>
            </w:r>
            <w:proofErr w:type="gramStart"/>
            <w:r>
              <w:rPr>
                <w:rFonts w:ascii="宋体" w:eastAsia="宋体" w:hAnsi="宋体" w:cs="宋体"/>
                <w:sz w:val="18"/>
                <w:szCs w:val="18"/>
              </w:rPr>
              <w:t>智宽科技</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绍兴华孚智算</w:t>
            </w:r>
            <w:proofErr w:type="gramEnd"/>
            <w:r>
              <w:rPr>
                <w:rFonts w:ascii="宋体" w:eastAsia="宋体" w:hAnsi="宋体" w:cs="宋体"/>
                <w:sz w:val="18"/>
                <w:szCs w:val="18"/>
              </w:rPr>
              <w:t>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新疆华孚智算科技有限公司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科技推广和应用服务业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兰溪市</w:t>
            </w:r>
            <w:proofErr w:type="gramStart"/>
            <w:r>
              <w:rPr>
                <w:rFonts w:ascii="宋体" w:eastAsia="宋体" w:hAnsi="宋体" w:cs="宋体"/>
                <w:sz w:val="18"/>
                <w:szCs w:val="18"/>
              </w:rPr>
              <w:t>菁英数字</w:t>
            </w:r>
            <w:proofErr w:type="gramEnd"/>
            <w:r>
              <w:rPr>
                <w:rFonts w:ascii="宋体" w:eastAsia="宋体" w:hAnsi="宋体" w:cs="宋体"/>
                <w:sz w:val="18"/>
                <w:szCs w:val="18"/>
              </w:rPr>
              <w:t>产业发展有限公司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东阳市广厦</w:t>
            </w:r>
            <w:proofErr w:type="gramStart"/>
            <w:r>
              <w:rPr>
                <w:rFonts w:ascii="宋体" w:eastAsia="宋体" w:hAnsi="宋体" w:cs="宋体"/>
                <w:sz w:val="18"/>
                <w:szCs w:val="18"/>
              </w:rPr>
              <w:t>菁英创业</w:t>
            </w:r>
            <w:proofErr w:type="gramEnd"/>
            <w:r>
              <w:rPr>
                <w:rFonts w:ascii="宋体" w:eastAsia="宋体" w:hAnsi="宋体" w:cs="宋体"/>
                <w:sz w:val="18"/>
                <w:szCs w:val="18"/>
              </w:rPr>
              <w:t>服务有限公司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浙江省金华市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浙江尚春酒店有限公司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综合服务</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r w:rsidR="008820E4" w:rsidTr="00177DA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新疆硕丰种业有限公司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新疆昌吉</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非同控合并</w:t>
            </w:r>
            <w:proofErr w:type="gramEnd"/>
          </w:p>
        </w:tc>
      </w:tr>
      <w:tr w:rsidR="008820E4" w:rsidTr="00177DA4">
        <w:trPr>
          <w:trHeight w:val="240"/>
        </w:trPr>
        <w:tc>
          <w:tcPr>
            <w:tcW w:w="1205"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阿克苏恒</w:t>
            </w:r>
            <w:proofErr w:type="gramStart"/>
            <w:r>
              <w:rPr>
                <w:rFonts w:ascii="宋体" w:eastAsia="宋体" w:hAnsi="宋体" w:cs="宋体"/>
                <w:sz w:val="18"/>
                <w:szCs w:val="18"/>
              </w:rPr>
              <w:t>鑫</w:t>
            </w:r>
            <w:proofErr w:type="gramEnd"/>
            <w:r>
              <w:rPr>
                <w:rFonts w:ascii="宋体" w:eastAsia="宋体" w:hAnsi="宋体" w:cs="宋体"/>
                <w:sz w:val="18"/>
                <w:szCs w:val="18"/>
              </w:rPr>
              <w:t>棉花有限公司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新疆阿克苏</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纺织制造业</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投资设立</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在子公司的持股比例不同于表决权比例的说明：</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持有半数或以下表决权但仍控制被投资单位、以及持有半数以上表决权但不控制被投资单位的依据：</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r>
        <w:rPr>
          <w:rFonts w:hint="eastAsia"/>
          <w:sz w:val="18"/>
          <w:szCs w:val="18"/>
        </w:rPr>
        <w:t>无</w:t>
      </w:r>
    </w:p>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确定公司是代理人还是委托人的依据：</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90" w:name="_Toc989318"/>
      <w:r>
        <w:rPr>
          <w:rFonts w:ascii="宋体" w:eastAsia="宋体" w:hAnsi="宋体" w:cs="宋体"/>
          <w:b/>
          <w:bCs/>
          <w:sz w:val="18"/>
          <w:szCs w:val="18"/>
        </w:rPr>
        <w:lastRenderedPageBreak/>
        <w:t>（2） 重要的非全资子公司</w:t>
      </w:r>
      <w:bookmarkEnd w:id="29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177DA4">
        <w:trPr>
          <w:trHeight w:val="240"/>
        </w:trPr>
        <w:tc>
          <w:tcPr>
            <w:tcW w:w="1928" w:type="dxa"/>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期末少数股东权益余额</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21.63%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-392,805.37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113,763,180.09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217.66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57,658,745.49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29.60%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5,152,914.78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26,597,901.08</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59.20%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3,430,208.31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75,016,050.64</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-453,352.55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18,575,286.99</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1,748,368.18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21,496,645.19</w:t>
            </w:r>
          </w:p>
        </w:tc>
      </w:tr>
      <w:tr w:rsidR="008820E4" w:rsidTr="00177DA4">
        <w:trPr>
          <w:trHeight w:val="240"/>
        </w:trPr>
        <w:tc>
          <w:tcPr>
            <w:tcW w:w="1928"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9,485,551.02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313,107,809.49</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子公司少数股东的持股比例不同于表决权比例的说明：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91" w:name="_Toc989319"/>
      <w:r>
        <w:rPr>
          <w:rFonts w:ascii="宋体" w:eastAsia="宋体" w:hAnsi="宋体" w:cs="宋体"/>
          <w:b/>
          <w:bCs/>
          <w:sz w:val="18"/>
          <w:szCs w:val="18"/>
        </w:rPr>
        <w:t>（3） 重要非全资子公司的主要财务信息</w:t>
      </w:r>
      <w:bookmarkEnd w:id="291"/>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8820E4" w:rsidTr="00177DA4">
        <w:trPr>
          <w:trHeight w:val="240"/>
        </w:trPr>
        <w:tc>
          <w:tcPr>
            <w:tcW w:w="741"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负债合计</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467,901,993.78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131,022,617.66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598,924,611.44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9,414,010.80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1,406,000.26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10,820,011.06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581,157,883.14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246,495,156.90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827,653,040.04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274,662,063.26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6,410,284.16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281,072,347.42</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50,468,037.49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126,275,608.38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176,743,645.87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59,072,736.68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59,072,736.68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48,384,422.07</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126,275,608.38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174,660,030.45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56,989,565.46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56,989,565.46</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308,651,094.86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5,902,798.38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314,553,893.24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222,942,192.04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222,942,192.04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282,018,228.05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5,905,859.01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287,924,087.06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213,720,881.74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213,720,881.74</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67,619,034.19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78,551,783.14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146,170,817.33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17,484,422.85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17,484,422.85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56,622,904.13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79,856,481.40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136,479,385.53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13,587,261.85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13,587,261.85</w:t>
            </w:r>
          </w:p>
        </w:tc>
      </w:tr>
      <w:tr w:rsidR="008820E4" w:rsidTr="00177DA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w:t>
            </w:r>
            <w:r>
              <w:rPr>
                <w:rFonts w:ascii="宋体" w:eastAsia="宋体" w:hAnsi="宋体" w:cs="宋体"/>
                <w:sz w:val="18"/>
                <w:szCs w:val="18"/>
              </w:rPr>
              <w:lastRenderedPageBreak/>
              <w:t>英鸿投资股份有限公司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177,508,47</w:t>
            </w:r>
            <w:r>
              <w:rPr>
                <w:rFonts w:ascii="宋体" w:eastAsia="宋体" w:hAnsi="宋体" w:cs="宋体"/>
                <w:sz w:val="18"/>
                <w:szCs w:val="18"/>
              </w:rPr>
              <w:lastRenderedPageBreak/>
              <w:t>3.09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127,299,12</w:t>
            </w:r>
            <w:r>
              <w:rPr>
                <w:rFonts w:ascii="宋体" w:eastAsia="宋体" w:hAnsi="宋体" w:cs="宋体"/>
                <w:sz w:val="18"/>
                <w:szCs w:val="18"/>
              </w:rPr>
              <w:lastRenderedPageBreak/>
              <w:t>6.29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304,807,59</w:t>
            </w:r>
            <w:r>
              <w:rPr>
                <w:rFonts w:ascii="宋体" w:eastAsia="宋体" w:hAnsi="宋体" w:cs="宋体"/>
                <w:sz w:val="18"/>
                <w:szCs w:val="18"/>
              </w:rPr>
              <w:lastRenderedPageBreak/>
              <w:t>9.38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218,008,21</w:t>
            </w:r>
            <w:r>
              <w:rPr>
                <w:rFonts w:ascii="宋体" w:eastAsia="宋体" w:hAnsi="宋体" w:cs="宋体"/>
                <w:sz w:val="18"/>
                <w:szCs w:val="18"/>
              </w:rPr>
              <w:lastRenderedPageBreak/>
              <w:t>0.11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218,008,21</w:t>
            </w:r>
            <w:r>
              <w:rPr>
                <w:rFonts w:ascii="宋体" w:eastAsia="宋体" w:hAnsi="宋体" w:cs="宋体"/>
                <w:sz w:val="18"/>
                <w:szCs w:val="18"/>
              </w:rPr>
              <w:lastRenderedPageBreak/>
              <w:t>0.11</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187,634,66</w:t>
            </w:r>
            <w:r>
              <w:rPr>
                <w:rFonts w:ascii="宋体" w:eastAsia="宋体" w:hAnsi="宋体" w:cs="宋体"/>
                <w:sz w:val="18"/>
                <w:szCs w:val="18"/>
              </w:rPr>
              <w:lastRenderedPageBreak/>
              <w:t>5.04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134,319,82</w:t>
            </w:r>
            <w:r>
              <w:rPr>
                <w:rFonts w:ascii="宋体" w:eastAsia="宋体" w:hAnsi="宋体" w:cs="宋体"/>
                <w:sz w:val="18"/>
                <w:szCs w:val="18"/>
              </w:rPr>
              <w:lastRenderedPageBreak/>
              <w:t>7.44</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321,954,49</w:t>
            </w:r>
            <w:r>
              <w:rPr>
                <w:rFonts w:ascii="宋体" w:eastAsia="宋体" w:hAnsi="宋体" w:cs="宋体"/>
                <w:sz w:val="18"/>
                <w:szCs w:val="18"/>
              </w:rPr>
              <w:lastRenderedPageBreak/>
              <w:t>2.48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222,498,54</w:t>
            </w:r>
            <w:r>
              <w:rPr>
                <w:rFonts w:ascii="宋体" w:eastAsia="宋体" w:hAnsi="宋体" w:cs="宋体"/>
                <w:sz w:val="18"/>
                <w:szCs w:val="18"/>
              </w:rPr>
              <w:lastRenderedPageBreak/>
              <w:t>6.63</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222,498,54</w:t>
            </w:r>
            <w:r>
              <w:rPr>
                <w:rFonts w:ascii="宋体" w:eastAsia="宋体" w:hAnsi="宋体" w:cs="宋体"/>
                <w:sz w:val="18"/>
                <w:szCs w:val="18"/>
              </w:rPr>
              <w:lastRenderedPageBreak/>
              <w:t>6.63</w:t>
            </w:r>
          </w:p>
        </w:tc>
      </w:tr>
      <w:tr w:rsidR="008820E4" w:rsidTr="00177DA4">
        <w:trPr>
          <w:trHeight w:val="240"/>
        </w:trPr>
        <w:tc>
          <w:tcPr>
            <w:tcW w:w="74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新疆华孚种业科技股份有限公司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37,117,960.99</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19,548,987.06</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56,666,948.05</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2,809,747.98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2,809,747.98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29,411,596.00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84,987.00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29,496,583.00</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10,303.38</w:t>
            </w: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10,303.38</w:t>
            </w:r>
          </w:p>
        </w:tc>
      </w:tr>
    </w:tbl>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rsidTr="00177DA4">
        <w:trPr>
          <w:trHeight w:val="240"/>
        </w:trPr>
        <w:tc>
          <w:tcPr>
            <w:tcW w:w="1071"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经营活动现金流量</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浙江阿大互联科技有限公司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3,961,747.22</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-1,120,748.01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-1,120,748.01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95,453,250.08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7,221,516.14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-2,510,667.33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-2,510,667.33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-55,892,529.53</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新疆天孚棉花</w:t>
            </w:r>
            <w:proofErr w:type="gramEnd"/>
            <w:r>
              <w:rPr>
                <w:rFonts w:ascii="宋体" w:eastAsia="宋体" w:hAnsi="宋体" w:cs="宋体"/>
                <w:sz w:val="18"/>
                <w:szCs w:val="18"/>
              </w:rPr>
              <w:t>供应链股份有限公司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444.20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444.20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-4,025,435.25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1,003,565.68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221,052.70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221,052.70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-8,350,008.85</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新疆棉花交易市场有限责任公司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701,191,302.64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17,408,495.88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17,408,495.88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-33,196,774.41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672,186,379.99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-3,202,115.50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-3,202,115.50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-19,433,487.78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阿克苏银星物流有限公司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15,319,913.19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5,794,270.80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5,794,270.80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20,897,340.05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17,059,801.18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6,314,345.68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6,314,345.68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6,117,641.29</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越南隆安英鸿投资股份有限公司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382,895.44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-4,533,525.49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-15,813,265.54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-209,412,562.76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172,936.57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-7,326,814.73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-13,299,624.24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-2,681,665.46</w:t>
            </w:r>
          </w:p>
        </w:tc>
      </w:tr>
      <w:tr w:rsidR="008820E4" w:rsidTr="00177DA4">
        <w:trPr>
          <w:trHeight w:val="240"/>
        </w:trPr>
        <w:tc>
          <w:tcPr>
            <w:tcW w:w="1071"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新疆华孚种业科技股份有限公司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12,290,720.00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4,370,920.45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4,370,920.45</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-764,728.89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92" w:name="_Toc989320"/>
      <w:r>
        <w:rPr>
          <w:rFonts w:ascii="宋体" w:eastAsia="宋体" w:hAnsi="宋体" w:cs="宋体"/>
          <w:b/>
          <w:bCs/>
          <w:sz w:val="18"/>
          <w:szCs w:val="18"/>
        </w:rPr>
        <w:t>（4） 使用企业集团资产和清偿企业集团债务的重大限制</w:t>
      </w:r>
      <w:bookmarkEnd w:id="292"/>
    </w:p>
    <w:p w:rsidR="005C49A8" w:rsidRDefault="005C49A8">
      <w:pPr>
        <w:pStyle w:val="a3"/>
        <w:divId w:val="133263660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93" w:name="_Toc989321"/>
      <w:r>
        <w:rPr>
          <w:rFonts w:ascii="宋体" w:eastAsia="宋体" w:hAnsi="宋体" w:cs="宋体"/>
          <w:b/>
          <w:bCs/>
          <w:sz w:val="18"/>
          <w:szCs w:val="18"/>
        </w:rPr>
        <w:t>（5） 向纳入合并财务报表范围的结构化主体提供的财务支持或其他支持</w:t>
      </w:r>
      <w:bookmarkEnd w:id="293"/>
    </w:p>
    <w:p w:rsidR="005C49A8" w:rsidRDefault="005C49A8">
      <w:pPr>
        <w:pStyle w:val="a3"/>
        <w:divId w:val="10743981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94" w:name="_Toc989322"/>
      <w:r>
        <w:rPr>
          <w:rFonts w:ascii="宋体" w:hAnsi="宋体" w:cs="宋体"/>
          <w:b/>
          <w:bCs/>
        </w:rPr>
        <w:t>2、在子公司的所有者权益份额发生变化且仍控制子公司的交易</w:t>
      </w:r>
      <w:bookmarkEnd w:id="294"/>
    </w:p>
    <w:p w:rsidR="008820E4" w:rsidRDefault="005C49A8">
      <w:pPr>
        <w:keepNext/>
        <w:keepLines/>
        <w:spacing w:before="300" w:after="300" w:line="280" w:lineRule="exact"/>
        <w:outlineLvl w:val="3"/>
        <w:rPr>
          <w:rFonts w:ascii="宋体" w:eastAsia="宋体" w:hAnsi="宋体" w:cs="宋体"/>
          <w:b/>
          <w:bCs/>
          <w:sz w:val="18"/>
          <w:szCs w:val="18"/>
        </w:rPr>
      </w:pPr>
      <w:bookmarkStart w:id="295" w:name="_Toc989323"/>
      <w:r>
        <w:rPr>
          <w:rFonts w:ascii="宋体" w:eastAsia="宋体" w:hAnsi="宋体" w:cs="宋体"/>
          <w:b/>
          <w:bCs/>
          <w:sz w:val="18"/>
          <w:szCs w:val="18"/>
        </w:rPr>
        <w:t>（1） 在子公司所有者权益份额发生变化的情况说明</w:t>
      </w:r>
      <w:bookmarkEnd w:id="295"/>
    </w:p>
    <w:p w:rsidR="005C49A8" w:rsidRDefault="005C49A8">
      <w:pPr>
        <w:pStyle w:val="a3"/>
        <w:divId w:val="909735709"/>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296" w:name="_Toc989324"/>
      <w:r>
        <w:rPr>
          <w:rFonts w:ascii="宋体" w:eastAsia="宋体" w:hAnsi="宋体" w:cs="宋体"/>
          <w:b/>
          <w:bCs/>
          <w:sz w:val="18"/>
          <w:szCs w:val="18"/>
        </w:rPr>
        <w:lastRenderedPageBreak/>
        <w:t>（2） 交易对于少数股东权益及归属于母公司所有者权益的影响</w:t>
      </w:r>
      <w:bookmarkEnd w:id="296"/>
    </w:p>
    <w:p w:rsidR="005C49A8" w:rsidRDefault="005C49A8">
      <w:pPr>
        <w:pStyle w:val="a3"/>
        <w:divId w:val="107277244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297" w:name="_Toc989325"/>
      <w:r>
        <w:rPr>
          <w:rFonts w:ascii="宋体" w:hAnsi="宋体" w:cs="宋体"/>
          <w:b/>
          <w:bCs/>
        </w:rPr>
        <w:t>3、在合营企业或联营企业中的权益</w:t>
      </w:r>
      <w:bookmarkEnd w:id="297"/>
    </w:p>
    <w:p w:rsidR="008820E4" w:rsidRDefault="005C49A8">
      <w:pPr>
        <w:keepNext/>
        <w:keepLines/>
        <w:spacing w:before="300" w:after="300" w:line="280" w:lineRule="exact"/>
        <w:outlineLvl w:val="3"/>
        <w:rPr>
          <w:rFonts w:ascii="宋体" w:eastAsia="宋体" w:hAnsi="宋体" w:cs="宋体"/>
          <w:b/>
          <w:bCs/>
          <w:szCs w:val="21"/>
        </w:rPr>
      </w:pPr>
      <w:bookmarkStart w:id="298" w:name="_Toc989326"/>
      <w:r>
        <w:rPr>
          <w:rFonts w:ascii="宋体" w:eastAsia="宋体" w:hAnsi="宋体" w:cs="宋体"/>
          <w:b/>
          <w:bCs/>
          <w:szCs w:val="21"/>
        </w:rPr>
        <w:t>（1） 重要的合营企业或联营企业</w:t>
      </w:r>
      <w:bookmarkEnd w:id="29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rsidTr="00177DA4">
        <w:trPr>
          <w:trHeight w:val="240"/>
        </w:trPr>
        <w:tc>
          <w:tcPr>
            <w:tcW w:w="1377"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境内外</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香港</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纱线生产贸易</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江苏省常州市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江苏省常州市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批发业</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r w:rsidR="008820E4" w:rsidTr="00177DA4">
        <w:trPr>
          <w:trHeight w:val="240"/>
        </w:trPr>
        <w:tc>
          <w:tcPr>
            <w:tcW w:w="137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浙江省绍兴市</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园区管理及供应链</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权益法核算</w:t>
            </w:r>
          </w:p>
        </w:tc>
      </w:tr>
    </w:tbl>
    <w:p w:rsidR="005C49A8" w:rsidRPr="00112D20" w:rsidRDefault="005C49A8" w:rsidP="00112D20">
      <w:pPr>
        <w:spacing w:before="100" w:after="100" w:line="240" w:lineRule="exact"/>
        <w:rPr>
          <w:rFonts w:ascii="宋体" w:eastAsia="宋体" w:hAnsi="宋体" w:cs="宋体"/>
          <w:sz w:val="18"/>
          <w:szCs w:val="18"/>
        </w:rPr>
      </w:pPr>
      <w:r>
        <w:rPr>
          <w:rFonts w:ascii="宋体" w:eastAsia="宋体" w:hAnsi="宋体" w:cs="宋体"/>
          <w:sz w:val="18"/>
          <w:szCs w:val="18"/>
        </w:rPr>
        <w:t>在合营企业或联营企业的持股比例不同于表决权比例的说明：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持有20%以下表决权但具有重大影响，或者持有20%或以上表决权但不具有重大影响的依据：</w:t>
      </w:r>
    </w:p>
    <w:p w:rsidR="005C49A8" w:rsidRDefault="005C49A8" w:rsidP="00112D20">
      <w:pPr>
        <w:pStyle w:val="a3"/>
        <w:ind w:firstLineChars="200" w:firstLine="360"/>
        <w:divId w:val="1632511806"/>
        <w:rPr>
          <w:sz w:val="18"/>
          <w:szCs w:val="18"/>
        </w:rPr>
      </w:pPr>
      <w:r>
        <w:rPr>
          <w:rFonts w:hint="eastAsia"/>
          <w:sz w:val="18"/>
          <w:szCs w:val="18"/>
        </w:rPr>
        <w:t>本公司子公司香港天成持有福田实业（集团）有限公司（以下简称福田实业，股票代码：HK0420）17.30%的股权及表决权。虽然该比例低于20%，但由于本公司在福田实业董事会中派有代表并参与财务和经营政策的决策，所以本公司能够对福田实业施加重大影响。 </w:t>
      </w:r>
    </w:p>
    <w:p w:rsidR="008820E4" w:rsidRDefault="005C49A8">
      <w:pPr>
        <w:keepNext/>
        <w:keepLines/>
        <w:spacing w:before="300" w:after="300" w:line="280" w:lineRule="exact"/>
        <w:outlineLvl w:val="3"/>
        <w:rPr>
          <w:rFonts w:ascii="宋体" w:eastAsia="宋体" w:hAnsi="宋体" w:cs="宋体"/>
          <w:b/>
          <w:bCs/>
          <w:szCs w:val="21"/>
        </w:rPr>
      </w:pPr>
      <w:bookmarkStart w:id="299" w:name="_Toc989327"/>
      <w:r>
        <w:rPr>
          <w:rFonts w:ascii="宋体" w:eastAsia="宋体" w:hAnsi="宋体" w:cs="宋体"/>
          <w:b/>
          <w:bCs/>
          <w:szCs w:val="21"/>
        </w:rPr>
        <w:t>（2） 重要合营企业的主要财务信息</w:t>
      </w:r>
      <w:bookmarkEnd w:id="299"/>
    </w:p>
    <w:p w:rsidR="00112D20" w:rsidRPr="00112D20" w:rsidRDefault="00112D20" w:rsidP="00112D20">
      <w:pPr>
        <w:pStyle w:val="a3"/>
        <w:rPr>
          <w:sz w:val="18"/>
          <w:szCs w:val="18"/>
        </w:rPr>
      </w:pPr>
      <w:bookmarkStart w:id="300" w:name="_Toc989328"/>
      <w:r w:rsidRPr="00112D20">
        <w:rPr>
          <w:rFonts w:hint="eastAsia"/>
          <w:sz w:val="18"/>
          <w:szCs w:val="18"/>
        </w:rPr>
        <w:t>无</w:t>
      </w:r>
    </w:p>
    <w:p w:rsidR="008820E4" w:rsidRDefault="00112D2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（3） 重要联营企业的主要财务信息</w:t>
      </w:r>
      <w:bookmarkEnd w:id="30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rsidTr="00177DA4">
        <w:trPr>
          <w:trHeight w:val="240"/>
        </w:trPr>
        <w:tc>
          <w:tcPr>
            <w:tcW w:w="1927" w:type="dxa"/>
            <w:vMerge w:val="restart"/>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期初余额/上期发生额</w:t>
            </w:r>
          </w:p>
        </w:tc>
      </w:tr>
      <w:tr w:rsidR="008820E4" w:rsidTr="00112D20">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江苏科孚纺织品贸易有限公司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江苏科孚纺织品贸易有限公司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45,032,764.65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153,771,369.44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45,019,406.59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133,203,768.77</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25,958.74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57,483.46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33,038.38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215,404.72</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资产合计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45,058,723.39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153,828,852.90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45,052,444.97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133,419,173.49</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60,151,295.96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36,637,303.56</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负债合计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60,151,295.96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36,637,303.56</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少数股东权益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归属于母公司股东权益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45,055,280.79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93,427,556.94</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45,052,444.97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96,781,869.93</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按持股比例计算的净资产份额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31,192,113.73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37,371,022.78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31,190,150.47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38,712,747.97</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调整事项</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--商誉</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对联营企业权益投资的账面价值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45,049,477.29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37,360,527.85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45,046,641.47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38,588,747.98</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136,946,657.95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23,734,478.11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107,677,643.96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27,963,606.60</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净利润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6,301.82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-3,070,550.32</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-1,278,619.95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-3,039,574.50</w:t>
            </w: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终止经营的净利润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其他综合收益</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12D20">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综合收益总额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927"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本年度收到的来自联营企业的股利</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rsidP="00112D20">
      <w:pPr>
        <w:pStyle w:val="a3"/>
        <w:wordWrap w:val="0"/>
        <w:divId w:val="1381591969"/>
        <w:rPr>
          <w:sz w:val="18"/>
          <w:szCs w:val="18"/>
        </w:rPr>
      </w:pPr>
      <w:r>
        <w:rPr>
          <w:rFonts w:hint="eastAsia"/>
          <w:sz w:val="18"/>
          <w:szCs w:val="18"/>
        </w:rPr>
        <w:t>联营企业福田实业(集团)有限公司（代码：HK0420）主要财务信息详见香港披露易：</w:t>
      </w:r>
      <w:r w:rsidRPr="00112D20">
        <w:rPr>
          <w:rFonts w:hint="eastAsia"/>
          <w:sz w:val="18"/>
          <w:szCs w:val="18"/>
        </w:rPr>
        <w:t>https://www1.hkexnews.hk/listedco/listconews/sehk/2025/0821/2025082101658_c.pdf</w:t>
      </w:r>
    </w:p>
    <w:p w:rsidR="008820E4" w:rsidRDefault="005C49A8">
      <w:pPr>
        <w:keepNext/>
        <w:keepLines/>
        <w:spacing w:before="300" w:after="300" w:line="280" w:lineRule="exact"/>
        <w:outlineLvl w:val="3"/>
        <w:rPr>
          <w:rFonts w:ascii="宋体" w:eastAsia="宋体" w:hAnsi="宋体" w:cs="宋体"/>
          <w:b/>
          <w:bCs/>
          <w:szCs w:val="21"/>
        </w:rPr>
      </w:pPr>
      <w:bookmarkStart w:id="301" w:name="_Toc989329"/>
      <w:r>
        <w:rPr>
          <w:rFonts w:ascii="宋体" w:eastAsia="宋体" w:hAnsi="宋体" w:cs="宋体"/>
          <w:b/>
          <w:bCs/>
          <w:szCs w:val="21"/>
        </w:rPr>
        <w:t>（4） 不重要的合营企业和联营企业的汇总财务信息</w:t>
      </w:r>
      <w:bookmarkEnd w:id="301"/>
    </w:p>
    <w:p w:rsidR="005C49A8" w:rsidRDefault="005C49A8">
      <w:pPr>
        <w:pStyle w:val="a3"/>
        <w:divId w:val="89955570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02" w:name="_Toc989330"/>
      <w:r>
        <w:rPr>
          <w:rFonts w:ascii="宋体" w:eastAsia="宋体" w:hAnsi="宋体" w:cs="宋体"/>
          <w:b/>
          <w:bCs/>
          <w:szCs w:val="21"/>
        </w:rPr>
        <w:t>（5） 合营企业或联营企业向本公司转移资金的能力存在重大限制的说明</w:t>
      </w:r>
      <w:bookmarkEnd w:id="302"/>
    </w:p>
    <w:p w:rsidR="005C49A8" w:rsidRDefault="005C49A8">
      <w:pPr>
        <w:pStyle w:val="a3"/>
        <w:divId w:val="1975793364"/>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03" w:name="_Toc989331"/>
      <w:r>
        <w:rPr>
          <w:rFonts w:ascii="宋体" w:eastAsia="宋体" w:hAnsi="宋体" w:cs="宋体"/>
          <w:b/>
          <w:bCs/>
          <w:szCs w:val="21"/>
        </w:rPr>
        <w:t>（6） 合营企业或联营企业发生的超额亏损</w:t>
      </w:r>
      <w:bookmarkEnd w:id="303"/>
    </w:p>
    <w:p w:rsidR="005C49A8" w:rsidRDefault="005C49A8">
      <w:pPr>
        <w:pStyle w:val="a3"/>
        <w:divId w:val="197420958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04" w:name="_Toc989332"/>
      <w:r>
        <w:rPr>
          <w:rFonts w:ascii="宋体" w:eastAsia="宋体" w:hAnsi="宋体" w:cs="宋体"/>
          <w:b/>
          <w:bCs/>
          <w:szCs w:val="21"/>
        </w:rPr>
        <w:t>（7） 与合营企业投资相关的未确认承诺</w:t>
      </w:r>
      <w:bookmarkEnd w:id="304"/>
    </w:p>
    <w:p w:rsidR="005C49A8" w:rsidRDefault="005C49A8">
      <w:pPr>
        <w:pStyle w:val="a3"/>
        <w:divId w:val="882408404"/>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05" w:name="_Toc989333"/>
      <w:r>
        <w:rPr>
          <w:rFonts w:ascii="宋体" w:eastAsia="宋体" w:hAnsi="宋体" w:cs="宋体"/>
          <w:b/>
          <w:bCs/>
          <w:szCs w:val="21"/>
        </w:rPr>
        <w:t>（8） 与合营企业或联营企业投资相关的或有负债</w:t>
      </w:r>
      <w:bookmarkEnd w:id="305"/>
    </w:p>
    <w:p w:rsidR="005C49A8" w:rsidRDefault="005C49A8">
      <w:pPr>
        <w:pStyle w:val="a3"/>
        <w:divId w:val="52895607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06" w:name="_Toc989334"/>
      <w:r>
        <w:rPr>
          <w:rFonts w:ascii="宋体" w:hAnsi="宋体" w:cs="宋体"/>
          <w:b/>
          <w:bCs/>
        </w:rPr>
        <w:t>4、重要的共同经营</w:t>
      </w:r>
      <w:bookmarkEnd w:id="306"/>
    </w:p>
    <w:p w:rsidR="005C49A8" w:rsidRDefault="005C49A8">
      <w:pPr>
        <w:pStyle w:val="a3"/>
        <w:divId w:val="140013363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07" w:name="_Toc989335"/>
      <w:r>
        <w:rPr>
          <w:rFonts w:ascii="宋体" w:hAnsi="宋体" w:cs="宋体"/>
          <w:b/>
          <w:bCs/>
        </w:rPr>
        <w:lastRenderedPageBreak/>
        <w:t>5、在未纳入合并财务报表范围的结构化主体中的权益</w:t>
      </w:r>
      <w:bookmarkEnd w:id="307"/>
    </w:p>
    <w:p w:rsidR="005C49A8" w:rsidRDefault="005C49A8">
      <w:pPr>
        <w:pStyle w:val="a3"/>
        <w:divId w:val="122355713"/>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08" w:name="_Toc989336"/>
      <w:r>
        <w:rPr>
          <w:rFonts w:ascii="宋体" w:hAnsi="宋体" w:cs="宋体"/>
          <w:b/>
          <w:bCs/>
        </w:rPr>
        <w:t>6、其他</w:t>
      </w:r>
      <w:bookmarkEnd w:id="308"/>
    </w:p>
    <w:p w:rsidR="005C49A8" w:rsidRDefault="005C49A8">
      <w:pPr>
        <w:pStyle w:val="a3"/>
        <w:divId w:val="687608231"/>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09" w:name="_Toc989337"/>
      <w:r>
        <w:rPr>
          <w:rFonts w:ascii="宋体" w:eastAsia="宋体" w:hAnsi="宋体" w:cs="宋体"/>
          <w:b/>
          <w:bCs/>
          <w:sz w:val="24"/>
          <w:szCs w:val="24"/>
        </w:rPr>
        <w:t>十一、政府补助</w:t>
      </w:r>
      <w:bookmarkEnd w:id="309"/>
    </w:p>
    <w:p w:rsidR="008820E4" w:rsidRDefault="005C49A8">
      <w:pPr>
        <w:pStyle w:val="3"/>
        <w:spacing w:line="280" w:lineRule="exact"/>
        <w:jc w:val="left"/>
        <w:rPr>
          <w:rFonts w:ascii="宋体" w:hAnsi="宋体" w:cs="宋体"/>
          <w:b/>
          <w:bCs/>
        </w:rPr>
      </w:pPr>
      <w:bookmarkStart w:id="310" w:name="_Toc989338"/>
      <w:r>
        <w:rPr>
          <w:rFonts w:ascii="宋体" w:hAnsi="宋体" w:cs="宋体"/>
          <w:b/>
          <w:bCs/>
        </w:rPr>
        <w:t>1、报告期末按应收金额确认的政府补助</w:t>
      </w:r>
      <w:bookmarkEnd w:id="31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应收款项的期末余额：113,829,127.76元。</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未能在预计时点收到预计金额的政府补助的原因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11" w:name="_Toc989339"/>
      <w:r>
        <w:rPr>
          <w:rFonts w:ascii="宋体" w:hAnsi="宋体" w:cs="宋体"/>
          <w:b/>
          <w:bCs/>
        </w:rPr>
        <w:t>2、涉及政府补助的负债项目</w:t>
      </w:r>
      <w:bookmarkEnd w:id="31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8820E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与资产/收益相关</w:t>
            </w:r>
          </w:p>
        </w:tc>
      </w:tr>
      <w:tr w:rsidR="008820E4">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73,373,233.50</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3,446,541.48</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69,926,692.02</w:t>
            </w:r>
          </w:p>
        </w:tc>
        <w:tc>
          <w:tcPr>
            <w:tcW w:w="1205"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 与资产相关</w:t>
            </w:r>
          </w:p>
        </w:tc>
      </w:tr>
    </w:tbl>
    <w:p w:rsidR="008820E4" w:rsidRDefault="005C49A8">
      <w:pPr>
        <w:pStyle w:val="3"/>
        <w:spacing w:line="280" w:lineRule="exact"/>
        <w:jc w:val="left"/>
        <w:rPr>
          <w:rFonts w:ascii="宋体" w:hAnsi="宋体" w:cs="宋体"/>
          <w:b/>
          <w:bCs/>
        </w:rPr>
      </w:pPr>
      <w:bookmarkStart w:id="312" w:name="_Toc989340"/>
      <w:r>
        <w:rPr>
          <w:rFonts w:ascii="宋体" w:hAnsi="宋体" w:cs="宋体"/>
          <w:b/>
          <w:bCs/>
        </w:rPr>
        <w:t>3、计入当期损益的政府补助</w:t>
      </w:r>
      <w:bookmarkEnd w:id="31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rsidTr="00177DA4">
        <w:trPr>
          <w:trHeight w:val="240"/>
        </w:trPr>
        <w:tc>
          <w:tcPr>
            <w:tcW w:w="3213" w:type="dxa"/>
            <w:tcBorders>
              <w:top w:val="single" w:sz="4"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8"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41,764,407.62</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C49A8" w:rsidRDefault="005C49A8">
      <w:pPr>
        <w:pStyle w:val="a3"/>
        <w:divId w:val="443306635"/>
        <w:rPr>
          <w:sz w:val="18"/>
          <w:szCs w:val="18"/>
        </w:rPr>
      </w:pPr>
      <w:r>
        <w:rPr>
          <w:rFonts w:hint="eastAsia"/>
          <w:sz w:val="18"/>
          <w:szCs w:val="18"/>
        </w:rPr>
        <w:t>涉及政府补助的负债项目</w:t>
      </w:r>
    </w:p>
    <w:tbl>
      <w:tblPr>
        <w:tblW w:w="10691" w:type="dxa"/>
        <w:jc w:val="center"/>
        <w:tblInd w:w="998" w:type="dxa"/>
        <w:tblCellMar>
          <w:left w:w="0" w:type="dxa"/>
          <w:right w:w="0" w:type="dxa"/>
        </w:tblCellMar>
        <w:tblLook w:val="04A0" w:firstRow="1" w:lastRow="0" w:firstColumn="1" w:lastColumn="0" w:noHBand="0" w:noVBand="1"/>
      </w:tblPr>
      <w:tblGrid>
        <w:gridCol w:w="2139"/>
        <w:gridCol w:w="1276"/>
        <w:gridCol w:w="798"/>
        <w:gridCol w:w="722"/>
        <w:gridCol w:w="1520"/>
        <w:gridCol w:w="1018"/>
        <w:gridCol w:w="709"/>
        <w:gridCol w:w="1276"/>
        <w:gridCol w:w="1233"/>
      </w:tblGrid>
      <w:tr w:rsidR="00112D20" w:rsidRPr="00112D20" w:rsidTr="00177DA4">
        <w:trPr>
          <w:divId w:val="443306635"/>
          <w:trHeight w:val="285"/>
          <w:jc w:val="center"/>
        </w:trPr>
        <w:tc>
          <w:tcPr>
            <w:tcW w:w="2139" w:type="dxa"/>
            <w:tcBorders>
              <w:top w:val="single" w:sz="4" w:space="0" w:color="auto"/>
              <w:left w:val="single" w:sz="4" w:space="0" w:color="auto"/>
              <w:bottom w:val="single" w:sz="4" w:space="0" w:color="auto"/>
              <w:right w:val="single" w:sz="4"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proofErr w:type="gramStart"/>
            <w:r w:rsidRPr="00112D20">
              <w:rPr>
                <w:rFonts w:asciiTheme="minorEastAsia" w:hAnsiTheme="minorEastAsia" w:hint="eastAsia"/>
                <w:color w:val="000000"/>
                <w:sz w:val="18"/>
                <w:szCs w:val="18"/>
              </w:rPr>
              <w:t>债项目</w:t>
            </w:r>
            <w:proofErr w:type="gramEnd"/>
          </w:p>
        </w:tc>
        <w:tc>
          <w:tcPr>
            <w:tcW w:w="1276"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期初余额</w:t>
            </w:r>
          </w:p>
        </w:tc>
        <w:tc>
          <w:tcPr>
            <w:tcW w:w="798"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本期新增补助金额</w:t>
            </w:r>
          </w:p>
        </w:tc>
        <w:tc>
          <w:tcPr>
            <w:tcW w:w="722"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sz w:val="18"/>
                <w:szCs w:val="18"/>
              </w:rPr>
            </w:pPr>
            <w:r w:rsidRPr="00112D20">
              <w:rPr>
                <w:rFonts w:asciiTheme="minorEastAsia" w:hAnsiTheme="minorEastAsia"/>
                <w:sz w:val="18"/>
                <w:szCs w:val="18"/>
              </w:rPr>
              <w:t>本期计入营业外收入金额</w:t>
            </w:r>
          </w:p>
        </w:tc>
        <w:tc>
          <w:tcPr>
            <w:tcW w:w="1520" w:type="dxa"/>
            <w:tcBorders>
              <w:top w:val="single" w:sz="8" w:space="0" w:color="auto"/>
              <w:left w:val="nil"/>
              <w:bottom w:val="single" w:sz="8" w:space="0" w:color="auto"/>
              <w:right w:val="single" w:sz="8" w:space="0" w:color="auto"/>
            </w:tcBorders>
            <w:shd w:val="clear" w:color="auto" w:fill="D3D3D3"/>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color w:val="000000"/>
                <w:sz w:val="18"/>
                <w:szCs w:val="18"/>
              </w:rPr>
              <w:t>本期计入其他收益金额</w:t>
            </w:r>
          </w:p>
        </w:tc>
        <w:tc>
          <w:tcPr>
            <w:tcW w:w="1018"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color w:val="000000"/>
                <w:sz w:val="18"/>
                <w:szCs w:val="18"/>
              </w:rPr>
              <w:t>本期冲减成本费用金额</w:t>
            </w:r>
          </w:p>
        </w:tc>
        <w:tc>
          <w:tcPr>
            <w:tcW w:w="709"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其他变动</w:t>
            </w:r>
          </w:p>
        </w:tc>
        <w:tc>
          <w:tcPr>
            <w:tcW w:w="1276"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期末余额</w:t>
            </w:r>
          </w:p>
        </w:tc>
        <w:tc>
          <w:tcPr>
            <w:tcW w:w="1233" w:type="dxa"/>
            <w:tcBorders>
              <w:top w:val="single" w:sz="8" w:space="0" w:color="auto"/>
              <w:left w:val="nil"/>
              <w:bottom w:val="single" w:sz="8" w:space="0" w:color="auto"/>
              <w:right w:val="single" w:sz="8" w:space="0" w:color="auto"/>
            </w:tcBorders>
            <w:shd w:val="clear" w:color="auto" w:fill="D3D3D3"/>
            <w:noWrap/>
            <w:vAlign w:val="center"/>
            <w:hideMark/>
          </w:tcPr>
          <w:p w:rsidR="005C49A8" w:rsidRPr="00112D20" w:rsidRDefault="005C49A8" w:rsidP="00177DA4">
            <w:pPr>
              <w:jc w:val="cente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与资产相关/与收益相关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华孚时尚技改</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40,176,000.00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2,232,000.00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37,944,000.00</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节能设备补贴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8,600,994.67</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247,476.00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8,353,518.67</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新疆</w:t>
            </w:r>
            <w:proofErr w:type="gramStart"/>
            <w:r w:rsidRPr="00112D20">
              <w:rPr>
                <w:rFonts w:asciiTheme="minorEastAsia" w:hAnsiTheme="minorEastAsia" w:hint="eastAsia"/>
                <w:color w:val="000000"/>
                <w:sz w:val="18"/>
                <w:szCs w:val="18"/>
              </w:rPr>
              <w:t>六孚基础</w:t>
            </w:r>
            <w:proofErr w:type="gramEnd"/>
            <w:r w:rsidRPr="00112D20">
              <w:rPr>
                <w:rFonts w:asciiTheme="minorEastAsia" w:hAnsiTheme="minorEastAsia" w:hint="eastAsia"/>
                <w:color w:val="000000"/>
                <w:sz w:val="18"/>
                <w:szCs w:val="18"/>
              </w:rPr>
              <w:t>设施配套款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4,655,685.83</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66,038.10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4,589,647.73</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阿克苏华孚土地补贴款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4,881,236.59</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66,713.95</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4,814,522.65</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阿克苏华孚产业技术改造资金</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7,183,388.67</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280,000.02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6,903,388.66</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lastRenderedPageBreak/>
              <w:t>五家渠华孚色纱项目建设补助</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387,782.64</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114,051.12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273,731.52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新疆</w:t>
            </w:r>
            <w:proofErr w:type="gramStart"/>
            <w:r w:rsidRPr="00112D20">
              <w:rPr>
                <w:rFonts w:asciiTheme="minorEastAsia" w:hAnsiTheme="minorEastAsia" w:hint="eastAsia"/>
                <w:color w:val="000000"/>
                <w:sz w:val="18"/>
                <w:szCs w:val="18"/>
              </w:rPr>
              <w:t>六孚土地</w:t>
            </w:r>
            <w:proofErr w:type="gramEnd"/>
            <w:r w:rsidRPr="00112D20">
              <w:rPr>
                <w:rFonts w:asciiTheme="minorEastAsia" w:hAnsiTheme="minorEastAsia" w:hint="eastAsia"/>
                <w:color w:val="000000"/>
                <w:sz w:val="18"/>
                <w:szCs w:val="18"/>
              </w:rPr>
              <w:t>补贴款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855,649.64</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10,900.02</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844,749.62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九江中</w:t>
            </w:r>
            <w:proofErr w:type="gramStart"/>
            <w:r w:rsidRPr="00112D20">
              <w:rPr>
                <w:rFonts w:asciiTheme="minorEastAsia" w:hAnsiTheme="minorEastAsia" w:hint="eastAsia"/>
                <w:color w:val="000000"/>
                <w:sz w:val="18"/>
                <w:szCs w:val="18"/>
              </w:rPr>
              <w:t>浩</w:t>
            </w:r>
            <w:proofErr w:type="gramEnd"/>
            <w:r w:rsidRPr="00112D20">
              <w:rPr>
                <w:rFonts w:asciiTheme="minorEastAsia" w:hAnsiTheme="minorEastAsia" w:hint="eastAsia"/>
                <w:color w:val="000000"/>
                <w:sz w:val="18"/>
                <w:szCs w:val="18"/>
              </w:rPr>
              <w:t>支持重点承接地厂房建设款</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504,000.00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18,000.00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486,000.00</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285"/>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阿克苏小商品</w:t>
            </w:r>
            <w:proofErr w:type="gramStart"/>
            <w:r w:rsidRPr="00112D20">
              <w:rPr>
                <w:rFonts w:asciiTheme="minorEastAsia" w:hAnsiTheme="minorEastAsia" w:hint="eastAsia"/>
                <w:color w:val="000000"/>
                <w:sz w:val="18"/>
                <w:szCs w:val="18"/>
              </w:rPr>
              <w:t>城设备</w:t>
            </w:r>
            <w:proofErr w:type="gramEnd"/>
            <w:r w:rsidRPr="00112D20">
              <w:rPr>
                <w:rFonts w:asciiTheme="minorEastAsia" w:hAnsiTheme="minorEastAsia" w:hint="eastAsia"/>
                <w:color w:val="000000"/>
                <w:sz w:val="18"/>
                <w:szCs w:val="18"/>
              </w:rPr>
              <w:t>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5,171,379.96</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338,670.00</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4,832,709.96</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42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rPr>
                <w:rFonts w:asciiTheme="minorEastAsia" w:hAnsiTheme="minorEastAsia" w:cs="宋体"/>
                <w:color w:val="000000"/>
                <w:sz w:val="18"/>
                <w:szCs w:val="18"/>
              </w:rPr>
            </w:pPr>
            <w:r w:rsidRPr="00112D20">
              <w:rPr>
                <w:rFonts w:asciiTheme="minorEastAsia" w:hAnsiTheme="minorEastAsia" w:hint="eastAsia"/>
                <w:color w:val="000000"/>
                <w:sz w:val="18"/>
                <w:szCs w:val="18"/>
              </w:rPr>
              <w:t>阿克苏华孚</w:t>
            </w:r>
            <w:proofErr w:type="gramStart"/>
            <w:r w:rsidRPr="00112D20">
              <w:rPr>
                <w:rFonts w:asciiTheme="minorEastAsia" w:hAnsiTheme="minorEastAsia" w:hint="eastAsia"/>
                <w:color w:val="000000"/>
                <w:sz w:val="18"/>
                <w:szCs w:val="18"/>
              </w:rPr>
              <w:t>16万锭与设备</w:t>
            </w:r>
            <w:proofErr w:type="gramEnd"/>
            <w:r w:rsidRPr="00112D20">
              <w:rPr>
                <w:rFonts w:asciiTheme="minorEastAsia" w:hAnsiTheme="minorEastAsia" w:hint="eastAsia"/>
                <w:color w:val="000000"/>
                <w:sz w:val="18"/>
                <w:szCs w:val="18"/>
              </w:rPr>
              <w:t>补贴</w:t>
            </w:r>
          </w:p>
        </w:tc>
        <w:tc>
          <w:tcPr>
            <w:tcW w:w="1276"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957,115.50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 xml:space="preserve">　</w:t>
            </w:r>
          </w:p>
        </w:tc>
        <w:tc>
          <w:tcPr>
            <w:tcW w:w="1520" w:type="dxa"/>
            <w:tcBorders>
              <w:top w:val="nil"/>
              <w:left w:val="nil"/>
              <w:bottom w:val="single" w:sz="8" w:space="0" w:color="auto"/>
              <w:right w:val="single" w:sz="8" w:space="0" w:color="auto"/>
            </w:tcBorders>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72,692.28</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color w:val="000000"/>
                <w:sz w:val="18"/>
                <w:szCs w:val="18"/>
              </w:rPr>
              <w:t xml:space="preserve">　</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884,423.22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与资产相关</w:t>
            </w:r>
          </w:p>
        </w:tc>
      </w:tr>
      <w:tr w:rsidR="00112D20" w:rsidRPr="00112D20" w:rsidTr="00177DA4">
        <w:trPr>
          <w:divId w:val="443306635"/>
          <w:trHeight w:val="300"/>
          <w:jc w:val="center"/>
        </w:trPr>
        <w:tc>
          <w:tcPr>
            <w:tcW w:w="2139" w:type="dxa"/>
            <w:tcBorders>
              <w:top w:val="nil"/>
              <w:left w:val="single" w:sz="8" w:space="0" w:color="auto"/>
              <w:bottom w:val="single" w:sz="8" w:space="0" w:color="auto"/>
              <w:right w:val="single" w:sz="8" w:space="0" w:color="auto"/>
            </w:tcBorders>
            <w:shd w:val="clear" w:color="auto" w:fill="D3D3D3"/>
            <w:noWrap/>
            <w:vAlign w:val="center"/>
            <w:hideMark/>
          </w:tcPr>
          <w:p w:rsidR="005C49A8" w:rsidRPr="00112D20" w:rsidRDefault="005C49A8" w:rsidP="00112D20">
            <w:pPr>
              <w:jc w:val="both"/>
              <w:rPr>
                <w:rFonts w:asciiTheme="minorEastAsia" w:hAnsiTheme="minorEastAsia" w:cs="宋体"/>
                <w:color w:val="000000"/>
                <w:sz w:val="18"/>
                <w:szCs w:val="18"/>
              </w:rPr>
            </w:pPr>
            <w:r w:rsidRPr="00112D20">
              <w:rPr>
                <w:rFonts w:asciiTheme="minorEastAsia" w:hAnsiTheme="minorEastAsia" w:hint="eastAsia"/>
                <w:color w:val="000000"/>
                <w:sz w:val="18"/>
                <w:szCs w:val="18"/>
              </w:rPr>
              <w:t>合计</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73,373,233.50</w:t>
            </w:r>
          </w:p>
        </w:tc>
        <w:tc>
          <w:tcPr>
            <w:tcW w:w="79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722"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1520"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3,446,541.48</w:t>
            </w:r>
          </w:p>
        </w:tc>
        <w:tc>
          <w:tcPr>
            <w:tcW w:w="1018"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709" w:type="dxa"/>
            <w:tcBorders>
              <w:top w:val="nil"/>
              <w:left w:val="nil"/>
              <w:bottom w:val="single" w:sz="8" w:space="0" w:color="auto"/>
              <w:right w:val="single" w:sz="8" w:space="0" w:color="auto"/>
            </w:tcBorders>
            <w:noWrap/>
            <w:vAlign w:val="center"/>
            <w:hideMark/>
          </w:tcPr>
          <w:p w:rsidR="005C49A8" w:rsidRPr="00112D20" w:rsidRDefault="005C49A8">
            <w:pPr>
              <w:jc w:val="right"/>
              <w:rPr>
                <w:rFonts w:asciiTheme="minorEastAsia" w:hAnsiTheme="minorEastAsia" w:cs="宋体"/>
                <w:sz w:val="18"/>
                <w:szCs w:val="18"/>
              </w:rPr>
            </w:pPr>
            <w:r w:rsidRPr="00112D20">
              <w:rPr>
                <w:rFonts w:asciiTheme="minorEastAsia" w:hAnsiTheme="minorEastAsia"/>
                <w:sz w:val="18"/>
                <w:szCs w:val="18"/>
              </w:rPr>
              <w:t>-</w:t>
            </w:r>
          </w:p>
        </w:tc>
        <w:tc>
          <w:tcPr>
            <w:tcW w:w="1276"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69,926,692.02</w:t>
            </w:r>
          </w:p>
        </w:tc>
        <w:tc>
          <w:tcPr>
            <w:tcW w:w="1233" w:type="dxa"/>
            <w:tcBorders>
              <w:top w:val="nil"/>
              <w:left w:val="nil"/>
              <w:bottom w:val="single" w:sz="8" w:space="0" w:color="auto"/>
              <w:right w:val="single" w:sz="8" w:space="0" w:color="auto"/>
            </w:tcBorders>
            <w:noWrap/>
            <w:vAlign w:val="center"/>
            <w:hideMark/>
          </w:tcPr>
          <w:p w:rsidR="005C49A8" w:rsidRPr="00112D20" w:rsidRDefault="005C49A8">
            <w:pPr>
              <w:rPr>
                <w:rFonts w:asciiTheme="minorEastAsia" w:hAnsiTheme="minorEastAsia" w:cs="宋体"/>
                <w:color w:val="000000"/>
                <w:sz w:val="18"/>
                <w:szCs w:val="18"/>
              </w:rPr>
            </w:pPr>
            <w:r w:rsidRPr="00112D20">
              <w:rPr>
                <w:rFonts w:asciiTheme="minorEastAsia" w:hAnsiTheme="minorEastAsia" w:hint="eastAsia"/>
                <w:color w:val="000000"/>
                <w:sz w:val="18"/>
                <w:szCs w:val="18"/>
              </w:rPr>
              <w:t xml:space="preserve">　</w:t>
            </w:r>
          </w:p>
        </w:tc>
      </w:tr>
    </w:tbl>
    <w:p w:rsidR="008820E4" w:rsidRDefault="005C49A8">
      <w:pPr>
        <w:pStyle w:val="2"/>
        <w:spacing w:before="300" w:after="300" w:line="320" w:lineRule="exact"/>
        <w:rPr>
          <w:rFonts w:ascii="宋体" w:eastAsia="宋体" w:hAnsi="宋体" w:cs="宋体"/>
          <w:b/>
          <w:bCs/>
          <w:sz w:val="24"/>
          <w:szCs w:val="24"/>
        </w:rPr>
      </w:pPr>
      <w:bookmarkStart w:id="313" w:name="_Toc989341"/>
      <w:r>
        <w:rPr>
          <w:rFonts w:ascii="宋体" w:eastAsia="宋体" w:hAnsi="宋体" w:cs="宋体"/>
          <w:b/>
          <w:bCs/>
          <w:sz w:val="24"/>
          <w:szCs w:val="24"/>
        </w:rPr>
        <w:t>十二、与金融工具相关的风险</w:t>
      </w:r>
      <w:bookmarkEnd w:id="313"/>
    </w:p>
    <w:p w:rsidR="008820E4" w:rsidRDefault="005C49A8">
      <w:pPr>
        <w:pStyle w:val="3"/>
        <w:spacing w:line="280" w:lineRule="exact"/>
        <w:jc w:val="left"/>
        <w:rPr>
          <w:rFonts w:ascii="宋体" w:hAnsi="宋体" w:cs="宋体"/>
          <w:b/>
          <w:bCs/>
        </w:rPr>
      </w:pPr>
      <w:bookmarkStart w:id="314" w:name="_Toc989342"/>
      <w:r>
        <w:rPr>
          <w:rFonts w:ascii="宋体" w:hAnsi="宋体" w:cs="宋体"/>
          <w:b/>
          <w:bCs/>
        </w:rPr>
        <w:t>1、金融工具产生的各类风险</w:t>
      </w:r>
      <w:bookmarkEnd w:id="314"/>
    </w:p>
    <w:p w:rsidR="005C49A8" w:rsidRDefault="005C49A8">
      <w:pPr>
        <w:pStyle w:val="a3"/>
        <w:divId w:val="1679699082"/>
        <w:rPr>
          <w:sz w:val="18"/>
          <w:szCs w:val="18"/>
        </w:rPr>
      </w:pPr>
      <w:r>
        <w:rPr>
          <w:rFonts w:hint="eastAsia"/>
          <w:sz w:val="18"/>
          <w:szCs w:val="18"/>
        </w:rPr>
        <w:t>1.信用风险</w:t>
      </w:r>
    </w:p>
    <w:p w:rsidR="005C49A8" w:rsidRDefault="005C49A8">
      <w:pPr>
        <w:pStyle w:val="a3"/>
        <w:divId w:val="1679699082"/>
        <w:rPr>
          <w:sz w:val="18"/>
          <w:szCs w:val="18"/>
        </w:rPr>
      </w:pPr>
      <w:r>
        <w:rPr>
          <w:rFonts w:hint="eastAsia"/>
          <w:sz w:val="18"/>
          <w:szCs w:val="18"/>
        </w:rPr>
        <w:t>  信用风险是指交易对手未能履行合同义务而导致本公司产生财务损失的风险，管理层已制定适当的信用政策，并且 不断监察信用风险的敞口。</w:t>
      </w:r>
    </w:p>
    <w:p w:rsidR="005C49A8" w:rsidRDefault="005C49A8" w:rsidP="00112D20">
      <w:pPr>
        <w:pStyle w:val="a3"/>
        <w:ind w:firstLineChars="200" w:firstLine="360"/>
        <w:divId w:val="1679699082"/>
        <w:rPr>
          <w:sz w:val="18"/>
          <w:szCs w:val="18"/>
        </w:rPr>
      </w:pPr>
      <w:r>
        <w:rPr>
          <w:rFonts w:hint="eastAsia"/>
          <w:sz w:val="18"/>
          <w:szCs w:val="18"/>
        </w:rPr>
        <w:t>本公司已采取政策只与信用良好的交易对手进行交易。另外，本公司基于对客户的财务状况、从第三方获取担保的可能性、信用记录及其它因素诸如目前市场状况等评估客户的信用资质并设置相应信用期。本公司对应收票据、应收账 款余额及收回情况进行持续监控，对于信用记录不良的客户，本公司会采用书面催款、缩短信用期或取消信用期等方式，以确保本公司不致面临重大信用损失。此外，本公司于每个资产负债表日审核金融资产的回收情况，以确保相关金融资产计提了充分的预期信用损失准备。</w:t>
      </w:r>
    </w:p>
    <w:p w:rsidR="005C49A8" w:rsidRDefault="005C49A8" w:rsidP="00112D20">
      <w:pPr>
        <w:pStyle w:val="a3"/>
        <w:ind w:firstLineChars="200" w:firstLine="360"/>
        <w:divId w:val="1679699082"/>
        <w:rPr>
          <w:sz w:val="18"/>
          <w:szCs w:val="18"/>
        </w:rPr>
      </w:pPr>
      <w:r>
        <w:rPr>
          <w:rFonts w:hint="eastAsia"/>
          <w:sz w:val="18"/>
          <w:szCs w:val="18"/>
        </w:rPr>
        <w:t>本公司其他金融资产包括货币资金、其他应收款、债权投资等，这些金融资产的信用风险源自于交易对手违约，最大信用风险敞口为资产负债表中每项金融资产的账面金额。除十四、关联方及关联交易所载本公司</w:t>
      </w:r>
      <w:proofErr w:type="gramStart"/>
      <w:r>
        <w:rPr>
          <w:rFonts w:hint="eastAsia"/>
          <w:sz w:val="18"/>
          <w:szCs w:val="18"/>
        </w:rPr>
        <w:t>作出</w:t>
      </w:r>
      <w:proofErr w:type="gramEnd"/>
      <w:r>
        <w:rPr>
          <w:rFonts w:hint="eastAsia"/>
          <w:sz w:val="18"/>
          <w:szCs w:val="18"/>
        </w:rPr>
        <w:t>的财务担保外，本公司没有提供任何其他可能令本公司承受信用风险的担保。</w:t>
      </w:r>
    </w:p>
    <w:p w:rsidR="005C49A8" w:rsidRDefault="005C49A8" w:rsidP="00112D20">
      <w:pPr>
        <w:pStyle w:val="a3"/>
        <w:ind w:firstLineChars="200" w:firstLine="360"/>
        <w:divId w:val="1679699082"/>
        <w:rPr>
          <w:sz w:val="18"/>
          <w:szCs w:val="18"/>
        </w:rPr>
      </w:pPr>
      <w:r>
        <w:rPr>
          <w:rFonts w:hint="eastAsia"/>
          <w:sz w:val="18"/>
          <w:szCs w:val="18"/>
        </w:rPr>
        <w:t>本公司持有的货币资金主要存放于国有控股银行和其他大中型商业银行等金融机构，管理层认为这些商业银行具备较高信誉和资产状况，不存在重大的信用风险，不会产生因对方单位违约而导致的任何重大损失。本公司的政策是根据各知名金融机构的市场信誉、经营规模及财务背景来控制存放当中的存款金额，以限制对任何单个金融机构的信用风险金额。</w:t>
      </w:r>
    </w:p>
    <w:p w:rsidR="005C49A8" w:rsidRDefault="005C49A8" w:rsidP="00112D20">
      <w:pPr>
        <w:pStyle w:val="a3"/>
        <w:ind w:firstLineChars="200" w:firstLine="360"/>
        <w:divId w:val="1679699082"/>
        <w:rPr>
          <w:sz w:val="18"/>
          <w:szCs w:val="18"/>
        </w:rPr>
      </w:pPr>
      <w:r>
        <w:rPr>
          <w:rFonts w:hint="eastAsia"/>
          <w:sz w:val="18"/>
          <w:szCs w:val="18"/>
        </w:rPr>
        <w:t>作为本公司信用风险资产管理的一部分，本公司利用账龄来评估应收账款和其他应收款的减值损失。本公司的应收账款和其他应收</w:t>
      </w:r>
      <w:proofErr w:type="gramStart"/>
      <w:r>
        <w:rPr>
          <w:rFonts w:hint="eastAsia"/>
          <w:sz w:val="18"/>
          <w:szCs w:val="18"/>
        </w:rPr>
        <w:t>款涉及</w:t>
      </w:r>
      <w:proofErr w:type="gramEnd"/>
      <w:r>
        <w:rPr>
          <w:rFonts w:hint="eastAsia"/>
          <w:sz w:val="18"/>
          <w:szCs w:val="18"/>
        </w:rPr>
        <w:t>大量客户，账</w:t>
      </w:r>
      <w:proofErr w:type="gramStart"/>
      <w:r>
        <w:rPr>
          <w:rFonts w:hint="eastAsia"/>
          <w:sz w:val="18"/>
          <w:szCs w:val="18"/>
        </w:rPr>
        <w:t>龄信息</w:t>
      </w:r>
      <w:proofErr w:type="gramEnd"/>
      <w:r>
        <w:rPr>
          <w:rFonts w:hint="eastAsia"/>
          <w:sz w:val="18"/>
          <w:szCs w:val="18"/>
        </w:rPr>
        <w:t>可以反映这些客户对于应收账款和其他应收款的偿付能力和坏账风险。本公司根据历史数据计算不同</w:t>
      </w:r>
      <w:proofErr w:type="gramStart"/>
      <w:r>
        <w:rPr>
          <w:rFonts w:hint="eastAsia"/>
          <w:sz w:val="18"/>
          <w:szCs w:val="18"/>
        </w:rPr>
        <w:t>账</w:t>
      </w:r>
      <w:proofErr w:type="gramEnd"/>
      <w:r>
        <w:rPr>
          <w:rFonts w:hint="eastAsia"/>
          <w:sz w:val="18"/>
          <w:szCs w:val="18"/>
        </w:rPr>
        <w:t>龄期间的历史实际坏账率，并考虑了当前及未来经济状况的预测，如国家GDP增速、基建投资总额、国家货币政策等前瞻性信息进行调整得出预期损失率。对于长期应收款，本公司综合考虑结算期、合同约定付款期、债务人的财务状况和债务人所处行业的经济形势，并考虑上述前瞻性信息进行调整后对于预期信用损失进行合理评估。</w:t>
      </w:r>
    </w:p>
    <w:p w:rsidR="005C49A8" w:rsidRDefault="005C49A8" w:rsidP="00112D20">
      <w:pPr>
        <w:pStyle w:val="a3"/>
        <w:ind w:firstLineChars="200" w:firstLine="360"/>
        <w:divId w:val="1679699082"/>
        <w:rPr>
          <w:sz w:val="18"/>
          <w:szCs w:val="18"/>
        </w:rPr>
      </w:pPr>
      <w:r>
        <w:rPr>
          <w:rFonts w:hint="eastAsia"/>
          <w:sz w:val="18"/>
          <w:szCs w:val="18"/>
        </w:rPr>
        <w:t>截止2025年6月30日，相关资产的账面余额与预期信用减值损失情况如下：</w:t>
      </w:r>
    </w:p>
    <w:tbl>
      <w:tblPr>
        <w:tblW w:w="9459" w:type="dxa"/>
        <w:jc w:val="center"/>
        <w:tblInd w:w="-2690" w:type="dxa"/>
        <w:tblCellMar>
          <w:left w:w="0" w:type="dxa"/>
          <w:right w:w="0" w:type="dxa"/>
        </w:tblCellMar>
        <w:tblLook w:val="04A0" w:firstRow="1" w:lastRow="0" w:firstColumn="1" w:lastColumn="0" w:noHBand="0" w:noVBand="1"/>
      </w:tblPr>
      <w:tblGrid>
        <w:gridCol w:w="4447"/>
        <w:gridCol w:w="2506"/>
        <w:gridCol w:w="2506"/>
      </w:tblGrid>
      <w:tr w:rsidR="005C49A8" w:rsidTr="00177DA4">
        <w:trPr>
          <w:divId w:val="1679699082"/>
          <w:trHeight w:val="20"/>
          <w:jc w:val="center"/>
        </w:trPr>
        <w:tc>
          <w:tcPr>
            <w:tcW w:w="4447"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项目</w:t>
            </w:r>
          </w:p>
        </w:tc>
        <w:tc>
          <w:tcPr>
            <w:tcW w:w="250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账面余额</w:t>
            </w:r>
          </w:p>
        </w:tc>
        <w:tc>
          <w:tcPr>
            <w:tcW w:w="2506"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jc w:val="center"/>
              <w:rPr>
                <w:rFonts w:ascii="宋体" w:eastAsia="宋体" w:hAnsi="宋体" w:cs="宋体"/>
                <w:color w:val="000000"/>
                <w:sz w:val="18"/>
                <w:szCs w:val="18"/>
              </w:rPr>
            </w:pPr>
            <w:r>
              <w:rPr>
                <w:rFonts w:hint="eastAsia"/>
                <w:color w:val="000000"/>
                <w:sz w:val="18"/>
                <w:szCs w:val="18"/>
              </w:rPr>
              <w:t>减值准备</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应收票据</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61,350,358.39</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1,107,691.93</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应收账款</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1,492,720,738.04</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88,464,931.11</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其他应收款</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309,147,356.94</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85,544,802.25</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lastRenderedPageBreak/>
              <w:t>长期应收款（含一年内到期的款项）</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3,478,822.10</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309,217.37</w:t>
            </w:r>
          </w:p>
        </w:tc>
      </w:tr>
      <w:tr w:rsidR="005C49A8" w:rsidTr="00177DA4">
        <w:trPr>
          <w:divId w:val="1679699082"/>
          <w:trHeight w:val="20"/>
          <w:jc w:val="center"/>
        </w:trPr>
        <w:tc>
          <w:tcPr>
            <w:tcW w:w="4447" w:type="dxa"/>
            <w:tcBorders>
              <w:top w:val="nil"/>
              <w:left w:val="single" w:sz="8" w:space="0" w:color="auto"/>
              <w:bottom w:val="single" w:sz="8" w:space="0" w:color="auto"/>
              <w:right w:val="single" w:sz="8" w:space="0" w:color="auto"/>
            </w:tcBorders>
            <w:shd w:val="clear" w:color="auto" w:fill="D3D3D3"/>
            <w:tcMar>
              <w:top w:w="15" w:type="dxa"/>
              <w:left w:w="0" w:type="dxa"/>
              <w:bottom w:w="0" w:type="dxa"/>
              <w:right w:w="15" w:type="dxa"/>
            </w:tcMar>
            <w:vAlign w:val="center"/>
            <w:hideMark/>
          </w:tcPr>
          <w:p w:rsidR="005C49A8" w:rsidRDefault="005C49A8">
            <w:pPr>
              <w:rPr>
                <w:rFonts w:ascii="宋体" w:eastAsia="宋体" w:hAnsi="宋体" w:cs="宋体"/>
                <w:color w:val="000000"/>
                <w:sz w:val="18"/>
                <w:szCs w:val="18"/>
              </w:rPr>
            </w:pPr>
            <w:r>
              <w:rPr>
                <w:rFonts w:hint="eastAsia"/>
                <w:color w:val="000000"/>
                <w:sz w:val="18"/>
                <w:szCs w:val="18"/>
              </w:rPr>
              <w:t>合计</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1,866,697,275.47</w:t>
            </w:r>
          </w:p>
        </w:tc>
        <w:tc>
          <w:tcPr>
            <w:tcW w:w="250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C49A8" w:rsidRPr="00112D20" w:rsidRDefault="005C49A8">
            <w:pPr>
              <w:jc w:val="right"/>
              <w:rPr>
                <w:rFonts w:asciiTheme="minorEastAsia" w:hAnsiTheme="minorEastAsia" w:cs="宋体"/>
                <w:color w:val="000000"/>
                <w:sz w:val="18"/>
                <w:szCs w:val="18"/>
              </w:rPr>
            </w:pPr>
            <w:r w:rsidRPr="00112D20">
              <w:rPr>
                <w:rFonts w:asciiTheme="minorEastAsia" w:hAnsiTheme="minorEastAsia" w:hint="eastAsia"/>
                <w:color w:val="000000"/>
                <w:sz w:val="18"/>
                <w:szCs w:val="18"/>
              </w:rPr>
              <w:t>175,426,642.66</w:t>
            </w:r>
          </w:p>
        </w:tc>
      </w:tr>
    </w:tbl>
    <w:p w:rsidR="005C49A8" w:rsidRDefault="005C49A8">
      <w:pPr>
        <w:pStyle w:val="a3"/>
        <w:divId w:val="1679699082"/>
        <w:rPr>
          <w:sz w:val="18"/>
          <w:szCs w:val="18"/>
        </w:rPr>
      </w:pPr>
      <w:r>
        <w:rPr>
          <w:rFonts w:hint="eastAsia"/>
          <w:sz w:val="18"/>
          <w:szCs w:val="18"/>
        </w:rPr>
        <w:t>2.流动性风险</w:t>
      </w:r>
    </w:p>
    <w:p w:rsidR="005C49A8" w:rsidRDefault="005C49A8" w:rsidP="00112D20">
      <w:pPr>
        <w:pStyle w:val="a3"/>
        <w:ind w:firstLineChars="200" w:firstLine="360"/>
        <w:divId w:val="1679699082"/>
        <w:rPr>
          <w:sz w:val="18"/>
          <w:szCs w:val="18"/>
        </w:rPr>
      </w:pPr>
      <w:r>
        <w:rPr>
          <w:rFonts w:hint="eastAsia"/>
          <w:sz w:val="18"/>
          <w:szCs w:val="18"/>
        </w:rPr>
        <w:t>流动性风险是指本公司在履行以交付现金或其他金融资产的方式结算的义务时发生资金短缺的风险。本公司下属成员企业各自负责其现金流量预测。公司下属资金管理部门基于各成员企业的现金流量预测结果，在公司层面持续监控公司短期和长期的资金需求，以确保维持充裕的现金储备；同时持续监控是否符合借款协议的规定，从主要金融机构获得提供足够备用资金的承诺，以满足短期和长期的资金需求。此外，本公司与主要业务往来银行订立融资额度授信协议，为本公司履行与商业票据相关的义务提供支持。</w:t>
      </w:r>
    </w:p>
    <w:p w:rsidR="005C49A8" w:rsidRDefault="005C49A8">
      <w:pPr>
        <w:pStyle w:val="a3"/>
        <w:divId w:val="1679699082"/>
        <w:rPr>
          <w:sz w:val="18"/>
          <w:szCs w:val="18"/>
        </w:rPr>
      </w:pPr>
      <w:r>
        <w:rPr>
          <w:rFonts w:hint="eastAsia"/>
          <w:sz w:val="18"/>
          <w:szCs w:val="18"/>
        </w:rPr>
        <w:t>3.市场风险</w:t>
      </w:r>
    </w:p>
    <w:p w:rsidR="005C49A8" w:rsidRDefault="005C49A8" w:rsidP="00112D20">
      <w:pPr>
        <w:pStyle w:val="a3"/>
        <w:ind w:firstLineChars="200" w:firstLine="360"/>
        <w:divId w:val="1679699082"/>
        <w:rPr>
          <w:sz w:val="18"/>
          <w:szCs w:val="18"/>
        </w:rPr>
      </w:pPr>
      <w:r>
        <w:rPr>
          <w:rFonts w:hint="eastAsia"/>
          <w:sz w:val="18"/>
          <w:szCs w:val="18"/>
        </w:rPr>
        <w:t>（1）汇率风险</w:t>
      </w:r>
    </w:p>
    <w:p w:rsidR="005C49A8" w:rsidRDefault="005C49A8" w:rsidP="00112D20">
      <w:pPr>
        <w:pStyle w:val="a3"/>
        <w:ind w:firstLineChars="200" w:firstLine="360"/>
        <w:divId w:val="1679699082"/>
        <w:rPr>
          <w:sz w:val="18"/>
          <w:szCs w:val="18"/>
        </w:rPr>
      </w:pPr>
      <w:r>
        <w:rPr>
          <w:rFonts w:hint="eastAsia"/>
          <w:sz w:val="18"/>
          <w:szCs w:val="18"/>
        </w:rPr>
        <w:t>本公司的主要经营位于中国境内，主要业务以人民币结算。但本公司已确认的外币资产和负债及未来的外币交易（外币资产和负债及外币交易的计价货币主要为美元、港币和越南盾）依然存在汇率风险。本公司资金管理部门负责监控公司外币交易和外币资产及负债的规模，以最大程度降低面临的汇率风险；为此，本公司可能会以签署远期外汇合约或货币互换合约来达到规避汇率风险的目的。</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截止2025年6月30日，本公司持有的外币金融资产和外币金融负债折算成人民币的金额详见附注81。</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（2）利率风险</w:t>
      </w:r>
    </w:p>
    <w:p w:rsidR="005C49A8" w:rsidRDefault="005C49A8">
      <w:pPr>
        <w:pStyle w:val="a3"/>
        <w:spacing w:before="0" w:beforeAutospacing="0" w:after="0" w:afterAutospacing="0"/>
        <w:ind w:firstLine="420"/>
        <w:jc w:val="both"/>
        <w:divId w:val="1679699082"/>
      </w:pPr>
      <w:r>
        <w:rPr>
          <w:rFonts w:hint="eastAsia"/>
          <w:sz w:val="18"/>
          <w:szCs w:val="18"/>
        </w:rPr>
        <w:t>本公司的利率风险主要产生于银行借款等。浮动利率的金融负债使本公司面临现金流量利率风险，固定利率的金融负债使本公司面临公允价值利率风险。本公司根据当时的市场环境来决定固定利率及浮动利率合同的相对比例。</w:t>
      </w:r>
    </w:p>
    <w:p w:rsidR="005C49A8" w:rsidRDefault="005C49A8">
      <w:pPr>
        <w:pStyle w:val="a3"/>
        <w:spacing w:before="0" w:beforeAutospacing="0" w:after="0" w:afterAutospacing="0"/>
        <w:ind w:firstLine="420"/>
        <w:jc w:val="both"/>
        <w:divId w:val="1679699082"/>
      </w:pPr>
      <w:r>
        <w:rPr>
          <w:rFonts w:hint="eastAsia"/>
          <w:sz w:val="18"/>
          <w:szCs w:val="18"/>
        </w:rPr>
        <w:t>本公司财务部门持续监控公司利率水平。利率上升会增加新增带息债务的成本以及本公司尚未付清的以浮动利率计息的带息债务的利息支出，并对本公司的财务业绩产生重大的不利影响，管理层会依据最新的市场状况及时做出调整，这些调整可能是融资结构和融资渠道的安排来降低利率风险。</w:t>
      </w:r>
    </w:p>
    <w:p w:rsidR="005C49A8" w:rsidRDefault="005C49A8">
      <w:pPr>
        <w:pStyle w:val="a3"/>
        <w:spacing w:before="0" w:beforeAutospacing="0" w:after="0" w:afterAutospacing="0"/>
        <w:ind w:firstLine="420"/>
        <w:jc w:val="both"/>
        <w:divId w:val="1679699082"/>
      </w:pPr>
      <w:r>
        <w:rPr>
          <w:rFonts w:hint="eastAsia"/>
          <w:sz w:val="18"/>
          <w:szCs w:val="18"/>
        </w:rPr>
        <w:t>截至2025年6月30日，本公司的带息债务主要为人民币、港币和美元计价的固定利率长短借款，金额合计为人民币93.35亿元。</w:t>
      </w:r>
    </w:p>
    <w:p w:rsidR="005C49A8" w:rsidRDefault="005C49A8">
      <w:pPr>
        <w:pStyle w:val="a3"/>
        <w:spacing w:before="0" w:beforeAutospacing="0" w:after="0" w:afterAutospacing="0"/>
        <w:ind w:firstLine="420"/>
        <w:jc w:val="both"/>
        <w:divId w:val="1679699082"/>
      </w:pPr>
      <w:r>
        <w:rPr>
          <w:rFonts w:hint="eastAsia"/>
          <w:sz w:val="18"/>
          <w:szCs w:val="18"/>
        </w:rPr>
        <w:t>（3）价格风险</w:t>
      </w:r>
    </w:p>
    <w:p w:rsidR="005C49A8" w:rsidRDefault="005C49A8" w:rsidP="00112D20">
      <w:pPr>
        <w:pStyle w:val="a3"/>
        <w:spacing w:before="0" w:beforeAutospacing="0" w:after="0" w:afterAutospacing="0"/>
        <w:ind w:firstLineChars="200" w:firstLine="360"/>
        <w:jc w:val="both"/>
        <w:divId w:val="1679699082"/>
        <w:rPr>
          <w:rFonts w:ascii="Calibri" w:hAnsi="Calibri" w:cs="Calibri"/>
          <w:sz w:val="21"/>
          <w:szCs w:val="21"/>
        </w:rPr>
      </w:pPr>
      <w:r>
        <w:rPr>
          <w:rFonts w:cs="Calibri" w:hint="eastAsia"/>
          <w:sz w:val="18"/>
          <w:szCs w:val="18"/>
        </w:rPr>
        <w:t>价格风险指汇率风险和利率风险以外的市场价格变动而发生波动的风险，主要源于商品价格、股票市场指数、权益工具价格以及其他风险变量的变化。</w:t>
      </w:r>
    </w:p>
    <w:p w:rsidR="008820E4" w:rsidRDefault="005C49A8">
      <w:pPr>
        <w:pStyle w:val="3"/>
        <w:spacing w:line="280" w:lineRule="exact"/>
        <w:jc w:val="left"/>
        <w:rPr>
          <w:rFonts w:ascii="宋体" w:hAnsi="宋体" w:cs="宋体"/>
          <w:b/>
          <w:bCs/>
        </w:rPr>
      </w:pPr>
      <w:bookmarkStart w:id="315" w:name="_Toc989343"/>
      <w:r>
        <w:rPr>
          <w:rFonts w:ascii="宋体" w:hAnsi="宋体" w:cs="宋体"/>
          <w:b/>
          <w:bCs/>
        </w:rPr>
        <w:t>2、套期</w:t>
      </w:r>
      <w:bookmarkEnd w:id="315"/>
    </w:p>
    <w:p w:rsidR="008820E4" w:rsidRDefault="005C49A8">
      <w:pPr>
        <w:keepNext/>
        <w:keepLines/>
        <w:spacing w:before="300" w:after="300" w:line="280" w:lineRule="exact"/>
        <w:outlineLvl w:val="3"/>
        <w:rPr>
          <w:rFonts w:ascii="宋体" w:eastAsia="宋体" w:hAnsi="宋体" w:cs="宋体"/>
          <w:b/>
          <w:bCs/>
          <w:sz w:val="18"/>
          <w:szCs w:val="18"/>
        </w:rPr>
      </w:pPr>
      <w:bookmarkStart w:id="316" w:name="_Toc989344"/>
      <w:r>
        <w:rPr>
          <w:rFonts w:ascii="宋体" w:eastAsia="宋体" w:hAnsi="宋体" w:cs="宋体"/>
          <w:b/>
          <w:bCs/>
          <w:sz w:val="18"/>
          <w:szCs w:val="18"/>
        </w:rPr>
        <w:t>（1） 公司开展套期业务进行风险管理</w:t>
      </w:r>
      <w:bookmarkEnd w:id="31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317" w:name="_Toc989345"/>
      <w:r>
        <w:rPr>
          <w:rFonts w:ascii="宋体" w:eastAsia="宋体" w:hAnsi="宋体" w:cs="宋体"/>
          <w:b/>
          <w:bCs/>
          <w:sz w:val="18"/>
          <w:szCs w:val="18"/>
        </w:rPr>
        <w:t>（2） 公司开展符合条件套期业务并应用套期会计</w:t>
      </w:r>
      <w:bookmarkEnd w:id="317"/>
    </w:p>
    <w:p w:rsidR="005C49A8" w:rsidRDefault="005C49A8">
      <w:pPr>
        <w:pStyle w:val="a3"/>
        <w:divId w:val="1185944731"/>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318" w:name="_Toc989346"/>
      <w:r>
        <w:rPr>
          <w:rFonts w:ascii="宋体" w:eastAsia="宋体" w:hAnsi="宋体" w:cs="宋体"/>
          <w:b/>
          <w:bCs/>
          <w:sz w:val="18"/>
          <w:szCs w:val="18"/>
        </w:rPr>
        <w:t>（3） 公司开展套期业务进行风险管理、预期能实现风险管理目标但未应用套期会计</w:t>
      </w:r>
      <w:bookmarkEnd w:id="318"/>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19" w:name="_Toc989347"/>
      <w:r>
        <w:rPr>
          <w:rFonts w:ascii="宋体" w:hAnsi="宋体" w:cs="宋体"/>
          <w:b/>
          <w:bCs/>
        </w:rPr>
        <w:lastRenderedPageBreak/>
        <w:t>3、金融资产</w:t>
      </w:r>
      <w:bookmarkEnd w:id="319"/>
    </w:p>
    <w:p w:rsidR="008820E4" w:rsidRDefault="005C49A8">
      <w:pPr>
        <w:keepNext/>
        <w:keepLines/>
        <w:spacing w:before="300" w:after="300" w:line="280" w:lineRule="exact"/>
        <w:outlineLvl w:val="3"/>
        <w:rPr>
          <w:rFonts w:ascii="宋体" w:eastAsia="宋体" w:hAnsi="宋体" w:cs="宋体"/>
          <w:b/>
          <w:bCs/>
          <w:sz w:val="18"/>
          <w:szCs w:val="18"/>
        </w:rPr>
      </w:pPr>
      <w:bookmarkStart w:id="320" w:name="_Toc989348"/>
      <w:r>
        <w:rPr>
          <w:rFonts w:ascii="宋体" w:eastAsia="宋体" w:hAnsi="宋体" w:cs="宋体"/>
          <w:b/>
          <w:bCs/>
          <w:sz w:val="18"/>
          <w:szCs w:val="18"/>
        </w:rPr>
        <w:t>（1） 转移方式分类</w:t>
      </w:r>
      <w:bookmarkEnd w:id="32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321" w:name="_Toc989349"/>
      <w:r>
        <w:rPr>
          <w:rFonts w:ascii="宋体" w:eastAsia="宋体" w:hAnsi="宋体" w:cs="宋体"/>
          <w:b/>
          <w:bCs/>
          <w:sz w:val="18"/>
          <w:szCs w:val="18"/>
        </w:rPr>
        <w:t>（2） 因转移而终止确认的金融资产</w:t>
      </w:r>
      <w:bookmarkEnd w:id="321"/>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 w:val="18"/>
          <w:szCs w:val="18"/>
        </w:rPr>
      </w:pPr>
      <w:bookmarkStart w:id="322" w:name="_Toc989350"/>
      <w:r>
        <w:rPr>
          <w:rFonts w:ascii="宋体" w:eastAsia="宋体" w:hAnsi="宋体" w:cs="宋体"/>
          <w:b/>
          <w:bCs/>
          <w:sz w:val="18"/>
          <w:szCs w:val="18"/>
        </w:rPr>
        <w:t>（3） 继续涉入的资产转移金融资产</w:t>
      </w:r>
      <w:bookmarkEnd w:id="322"/>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2"/>
        <w:spacing w:before="300" w:after="300" w:line="320" w:lineRule="exact"/>
        <w:rPr>
          <w:rFonts w:ascii="宋体" w:eastAsia="宋体" w:hAnsi="宋体" w:cs="宋体"/>
          <w:b/>
          <w:bCs/>
          <w:sz w:val="24"/>
          <w:szCs w:val="24"/>
        </w:rPr>
      </w:pPr>
      <w:bookmarkStart w:id="323" w:name="_Toc989351"/>
      <w:r>
        <w:rPr>
          <w:rFonts w:ascii="宋体" w:eastAsia="宋体" w:hAnsi="宋体" w:cs="宋体"/>
          <w:b/>
          <w:bCs/>
          <w:sz w:val="24"/>
          <w:szCs w:val="24"/>
        </w:rPr>
        <w:t>十三、公允价值的披露</w:t>
      </w:r>
      <w:bookmarkEnd w:id="323"/>
    </w:p>
    <w:p w:rsidR="008820E4" w:rsidRDefault="005C49A8">
      <w:pPr>
        <w:pStyle w:val="3"/>
        <w:spacing w:line="280" w:lineRule="exact"/>
        <w:jc w:val="left"/>
        <w:rPr>
          <w:rFonts w:ascii="宋体" w:hAnsi="宋体" w:cs="宋体"/>
          <w:b/>
          <w:bCs/>
        </w:rPr>
      </w:pPr>
      <w:bookmarkStart w:id="324" w:name="_Toc989352"/>
      <w:r>
        <w:rPr>
          <w:rFonts w:ascii="宋体" w:hAnsi="宋体" w:cs="宋体"/>
          <w:b/>
          <w:bCs/>
        </w:rPr>
        <w:t>1、以公允价值计量的资产和负债的期末公允价值</w:t>
      </w:r>
      <w:bookmarkEnd w:id="32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期末公允价值</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177,640,025.91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622,876,207.94</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32,109,239.03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61,714,260.50</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货币性基金</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83,816,526.37</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银行理财产品</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445,236,182.03</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bl>
    <w:p w:rsidR="008820E4" w:rsidRDefault="005C49A8">
      <w:pPr>
        <w:pStyle w:val="3"/>
        <w:spacing w:line="280" w:lineRule="exact"/>
        <w:jc w:val="left"/>
        <w:rPr>
          <w:rFonts w:ascii="宋体" w:hAnsi="宋体" w:cs="宋体"/>
          <w:b/>
          <w:bCs/>
        </w:rPr>
      </w:pPr>
      <w:bookmarkStart w:id="325" w:name="_Toc989353"/>
      <w:r>
        <w:rPr>
          <w:rFonts w:ascii="宋体" w:hAnsi="宋体" w:cs="宋体"/>
          <w:b/>
          <w:bCs/>
        </w:rPr>
        <w:t>2、持续和非持续第一层次公允价值计量项目市价的确定依据</w:t>
      </w:r>
      <w:bookmarkEnd w:id="325"/>
    </w:p>
    <w:p w:rsidR="005C49A8" w:rsidRDefault="005C49A8">
      <w:pPr>
        <w:pStyle w:val="a3"/>
        <w:divId w:val="128164660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26" w:name="_Toc989354"/>
      <w:r>
        <w:rPr>
          <w:rFonts w:ascii="宋体" w:hAnsi="宋体" w:cs="宋体"/>
          <w:b/>
          <w:bCs/>
        </w:rPr>
        <w:t>3、持续和非持续第二层次公允价值计量项目，采用的估值技术和重要参数的定性及定量信息</w:t>
      </w:r>
      <w:bookmarkEnd w:id="326"/>
    </w:p>
    <w:p w:rsidR="005C49A8" w:rsidRDefault="005C49A8">
      <w:pPr>
        <w:pStyle w:val="a3"/>
        <w:divId w:val="14086489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27" w:name="_Toc989355"/>
      <w:r>
        <w:rPr>
          <w:rFonts w:ascii="宋体" w:hAnsi="宋体" w:cs="宋体"/>
          <w:b/>
          <w:bCs/>
        </w:rPr>
        <w:t>4、持续和非持续第三层次公允价值计量项目，采用的估值技术和重要参数的定性及定量信息</w:t>
      </w:r>
      <w:bookmarkEnd w:id="327"/>
    </w:p>
    <w:p w:rsidR="005C49A8" w:rsidRDefault="005C49A8">
      <w:pPr>
        <w:pStyle w:val="a3"/>
        <w:divId w:val="165302257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28" w:name="_Toc989356"/>
      <w:r>
        <w:rPr>
          <w:rFonts w:ascii="宋体" w:hAnsi="宋体" w:cs="宋体"/>
          <w:b/>
          <w:bCs/>
        </w:rPr>
        <w:lastRenderedPageBreak/>
        <w:t>5、持续的第三层次公允价值计量项目，期初与期末账面价值间的调节信息及不可观察参数敏感性分析</w:t>
      </w:r>
      <w:bookmarkEnd w:id="328"/>
    </w:p>
    <w:p w:rsidR="005C49A8" w:rsidRDefault="005C49A8">
      <w:pPr>
        <w:pStyle w:val="a3"/>
        <w:divId w:val="1269000547"/>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29" w:name="_Toc989357"/>
      <w:r>
        <w:rPr>
          <w:rFonts w:ascii="宋体" w:hAnsi="宋体" w:cs="宋体"/>
          <w:b/>
          <w:bCs/>
        </w:rPr>
        <w:t>6、持续的公允价值计量项目，本期内发生各层级之间转换的，转换的原因及确定转换时点的政策</w:t>
      </w:r>
      <w:bookmarkEnd w:id="329"/>
    </w:p>
    <w:p w:rsidR="005C49A8" w:rsidRDefault="005C49A8">
      <w:pPr>
        <w:pStyle w:val="a3"/>
        <w:divId w:val="337778970"/>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30" w:name="_Toc989358"/>
      <w:r>
        <w:rPr>
          <w:rFonts w:ascii="宋体" w:hAnsi="宋体" w:cs="宋体"/>
          <w:b/>
          <w:bCs/>
        </w:rPr>
        <w:t>7、本期内发生的估值技术变更及变更原因</w:t>
      </w:r>
      <w:bookmarkEnd w:id="330"/>
    </w:p>
    <w:p w:rsidR="005C49A8" w:rsidRDefault="005C49A8">
      <w:pPr>
        <w:pStyle w:val="a3"/>
        <w:divId w:val="2122845844"/>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31" w:name="_Toc989359"/>
      <w:r>
        <w:rPr>
          <w:rFonts w:ascii="宋体" w:hAnsi="宋体" w:cs="宋体"/>
          <w:b/>
          <w:bCs/>
        </w:rPr>
        <w:t>8、不以公允价值计量的金融资产和金融负债的公允价值情况</w:t>
      </w:r>
      <w:bookmarkEnd w:id="331"/>
    </w:p>
    <w:p w:rsidR="005C49A8" w:rsidRDefault="005C49A8">
      <w:pPr>
        <w:pStyle w:val="a3"/>
        <w:divId w:val="1230075809"/>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32" w:name="_Toc989360"/>
      <w:r>
        <w:rPr>
          <w:rFonts w:ascii="宋体" w:hAnsi="宋体" w:cs="宋体"/>
          <w:b/>
          <w:bCs/>
        </w:rPr>
        <w:t>9、其他</w:t>
      </w:r>
      <w:bookmarkEnd w:id="332"/>
    </w:p>
    <w:p w:rsidR="005C49A8" w:rsidRDefault="005C49A8">
      <w:pPr>
        <w:pStyle w:val="a3"/>
        <w:divId w:val="417021622"/>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33" w:name="_Toc989361"/>
      <w:r>
        <w:rPr>
          <w:rFonts w:ascii="宋体" w:eastAsia="宋体" w:hAnsi="宋体" w:cs="宋体"/>
          <w:b/>
          <w:bCs/>
          <w:sz w:val="24"/>
          <w:szCs w:val="24"/>
        </w:rPr>
        <w:t>十四、关联方及关联交易</w:t>
      </w:r>
      <w:bookmarkEnd w:id="333"/>
    </w:p>
    <w:p w:rsidR="008820E4" w:rsidRDefault="005C49A8">
      <w:pPr>
        <w:pStyle w:val="3"/>
        <w:spacing w:line="280" w:lineRule="exact"/>
        <w:jc w:val="left"/>
        <w:rPr>
          <w:rFonts w:ascii="宋体" w:hAnsi="宋体" w:cs="宋体"/>
          <w:b/>
          <w:bCs/>
        </w:rPr>
      </w:pPr>
      <w:bookmarkStart w:id="334" w:name="_Toc989362"/>
      <w:r>
        <w:rPr>
          <w:rFonts w:ascii="宋体" w:hAnsi="宋体" w:cs="宋体"/>
          <w:b/>
          <w:bCs/>
        </w:rPr>
        <w:t>1、本企业的母公司情况</w:t>
      </w:r>
      <w:bookmarkEnd w:id="33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01"/>
        <w:gridCol w:w="708"/>
        <w:gridCol w:w="3402"/>
        <w:gridCol w:w="1214"/>
        <w:gridCol w:w="1607"/>
        <w:gridCol w:w="1607"/>
      </w:tblGrid>
      <w:tr w:rsidR="008820E4" w:rsidTr="00132FE9">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母公司名称</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注册地</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业务性质</w:t>
            </w:r>
          </w:p>
        </w:tc>
        <w:tc>
          <w:tcPr>
            <w:tcW w:w="1214"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8820E4" w:rsidTr="00132FE9">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70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广东省</w:t>
            </w:r>
          </w:p>
        </w:tc>
        <w:tc>
          <w:tcPr>
            <w:tcW w:w="3402"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投资兴办实业(具体项目另行申报)；色纺纱、服装经营；纺织设备进出口业务；在合法取得的土地使用权范围内从事房地产开发、经营；计算机应用、软件开发。</w:t>
            </w:r>
          </w:p>
        </w:tc>
        <w:tc>
          <w:tcPr>
            <w:tcW w:w="1214"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41,300万元</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本企业最终控制方是孙伟</w:t>
      </w:r>
      <w:proofErr w:type="gramStart"/>
      <w:r>
        <w:rPr>
          <w:rFonts w:ascii="宋体" w:eastAsia="宋体" w:hAnsi="宋体" w:cs="宋体"/>
          <w:sz w:val="18"/>
          <w:szCs w:val="18"/>
        </w:rPr>
        <w:t>挺</w:t>
      </w:r>
      <w:proofErr w:type="gramEnd"/>
      <w:r>
        <w:rPr>
          <w:rFonts w:ascii="宋体" w:eastAsia="宋体" w:hAnsi="宋体" w:cs="宋体"/>
          <w:sz w:val="18"/>
          <w:szCs w:val="18"/>
        </w:rPr>
        <w:t>和陈玲芬。</w:t>
      </w:r>
    </w:p>
    <w:p w:rsidR="008820E4" w:rsidRDefault="005C49A8">
      <w:pPr>
        <w:pStyle w:val="3"/>
        <w:spacing w:line="280" w:lineRule="exact"/>
        <w:jc w:val="left"/>
        <w:rPr>
          <w:rFonts w:ascii="宋体" w:hAnsi="宋体" w:cs="宋体"/>
          <w:b/>
          <w:bCs/>
        </w:rPr>
      </w:pPr>
      <w:bookmarkStart w:id="335" w:name="_Toc989363"/>
      <w:r>
        <w:rPr>
          <w:rFonts w:ascii="宋体" w:hAnsi="宋体" w:cs="宋体"/>
          <w:b/>
          <w:bCs/>
        </w:rPr>
        <w:t>2、本企业的子公司情况</w:t>
      </w:r>
      <w:bookmarkEnd w:id="33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本企业子公司的情况详见附注十 1、在子公司中的权益。</w:t>
      </w:r>
    </w:p>
    <w:p w:rsidR="008820E4" w:rsidRDefault="005C49A8">
      <w:pPr>
        <w:pStyle w:val="3"/>
        <w:spacing w:line="280" w:lineRule="exact"/>
        <w:jc w:val="left"/>
        <w:rPr>
          <w:rFonts w:ascii="宋体" w:hAnsi="宋体" w:cs="宋体"/>
          <w:b/>
          <w:bCs/>
        </w:rPr>
      </w:pPr>
      <w:bookmarkStart w:id="336" w:name="_Toc989364"/>
      <w:r>
        <w:rPr>
          <w:rFonts w:ascii="宋体" w:hAnsi="宋体" w:cs="宋体"/>
          <w:b/>
          <w:bCs/>
        </w:rPr>
        <w:t>3、本企业合营和联营企业情况</w:t>
      </w:r>
      <w:bookmarkEnd w:id="336"/>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本企业重要的合营或联营企业详见附注十 3、（ 1）重要的合营或联营企业。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与本企业关系</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福田实业（集团）有限公司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东莞沙田丽海纺织印染有限公司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江阴福汇纺织</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盐城福汇纺织</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汉盛有限公司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本公司联营企业福田实业（集团）有限公司的子公司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lastRenderedPageBreak/>
              <w:t>绍兴领尚纺织</w:t>
            </w:r>
            <w:proofErr w:type="gramEnd"/>
            <w:r>
              <w:rPr>
                <w:rFonts w:ascii="宋体" w:eastAsia="宋体" w:hAnsi="宋体" w:cs="宋体"/>
                <w:sz w:val="18"/>
                <w:szCs w:val="18"/>
              </w:rPr>
              <w:t>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绍兴尚兰商业服务有限公司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本公司子公司联营企业浙江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运营有限公司的子公司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浙江华孚网链投资管理有限公司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公司实际控制人孙伟挺在该公司担任董事</w:t>
            </w:r>
          </w:p>
        </w:tc>
      </w:tr>
    </w:tbl>
    <w:p w:rsidR="008820E4" w:rsidRDefault="005C49A8">
      <w:pPr>
        <w:pStyle w:val="3"/>
        <w:spacing w:line="280" w:lineRule="exact"/>
        <w:jc w:val="left"/>
        <w:rPr>
          <w:rFonts w:ascii="宋体" w:hAnsi="宋体" w:cs="宋体"/>
          <w:b/>
          <w:bCs/>
        </w:rPr>
      </w:pPr>
      <w:bookmarkStart w:id="337" w:name="_Toc989365"/>
      <w:r>
        <w:rPr>
          <w:rFonts w:ascii="宋体" w:hAnsi="宋体" w:cs="宋体"/>
          <w:b/>
          <w:bCs/>
        </w:rPr>
        <w:t>4、其他关联方情况</w:t>
      </w:r>
      <w:bookmarkEnd w:id="33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8820E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其他关联方与本企业关系</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宁海华联纺织有限公司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宁海县华兴纺织原料有限公司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实际控制人控制的公司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浙江华孚纺织有限公司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余姚华联纺织有限公司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浙江万孚投资集团有限公司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安徽新一棉纺织有限公司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深圳市华人投资有限公司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本公司股东、实际控制人控制的公司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浙江万孚物业管理</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安徽飞亚纺织集团有限公司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本公司股东、与本公司为同一控股股东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石河子国民村镇银行有限责任公司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本公司持有5%的股权</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上虞市华孚房地产开发有限公司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新疆恒孚棉产业集团有限公司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新疆棉花产业集团有限公司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控股子公司少数股东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孙伟挺，陈玲芬，孙小挺，陈翰，刁英峰，黄亚英，宋海涛，程桂松，王国友，张正，张际松，熊旭锋，宣刚江，张宝春，</w:t>
            </w:r>
            <w:proofErr w:type="gramStart"/>
            <w:r>
              <w:rPr>
                <w:rFonts w:ascii="宋体" w:eastAsia="宋体" w:hAnsi="宋体" w:cs="宋体"/>
                <w:sz w:val="18"/>
                <w:szCs w:val="18"/>
              </w:rPr>
              <w:t>陈存福</w:t>
            </w:r>
            <w:proofErr w:type="gramEnd"/>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本公司董事、监事及其他高级管理人员</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新疆纺织工业城有限公司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其他关联方</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淡安（江苏）健康产业有限公司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w:t>
            </w:r>
            <w:proofErr w:type="gramStart"/>
            <w:r>
              <w:rPr>
                <w:rFonts w:ascii="宋体" w:eastAsia="宋体" w:hAnsi="宋体" w:cs="宋体"/>
                <w:sz w:val="18"/>
                <w:szCs w:val="18"/>
              </w:rPr>
              <w:t>传澄文化</w:t>
            </w:r>
            <w:proofErr w:type="gramEnd"/>
            <w:r>
              <w:rPr>
                <w:rFonts w:ascii="宋体" w:eastAsia="宋体" w:hAnsi="宋体" w:cs="宋体"/>
                <w:sz w:val="18"/>
                <w:szCs w:val="18"/>
              </w:rPr>
              <w:t>传播有限公司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上海</w:t>
            </w:r>
            <w:proofErr w:type="gramStart"/>
            <w:r>
              <w:rPr>
                <w:rFonts w:ascii="宋体" w:eastAsia="宋体" w:hAnsi="宋体" w:cs="宋体"/>
                <w:sz w:val="18"/>
                <w:szCs w:val="18"/>
              </w:rPr>
              <w:t>传澄供应</w:t>
            </w:r>
            <w:proofErr w:type="gramEnd"/>
            <w:r>
              <w:rPr>
                <w:rFonts w:ascii="宋体" w:eastAsia="宋体" w:hAnsi="宋体" w:cs="宋体"/>
                <w:sz w:val="18"/>
                <w:szCs w:val="18"/>
              </w:rPr>
              <w:t>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市大澄企业管理</w:t>
            </w:r>
            <w:proofErr w:type="gramEnd"/>
            <w:r>
              <w:rPr>
                <w:rFonts w:ascii="宋体" w:eastAsia="宋体" w:hAnsi="宋体" w:cs="宋体"/>
                <w:sz w:val="18"/>
                <w:szCs w:val="18"/>
              </w:rPr>
              <w:t>合伙企业（有限合伙）</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子公司</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持有子公司阿克苏银星物流有限公司20%股份</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阿克苏地区华孚纺织职业培训学校</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与本公司为同一控股股东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安徽昊泰纺织有限公司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浙江万孚投资集团有限公司控股子公司，孙伟</w:t>
            </w:r>
            <w:proofErr w:type="gramStart"/>
            <w:r>
              <w:rPr>
                <w:rFonts w:ascii="宋体" w:eastAsia="宋体" w:hAnsi="宋体" w:cs="宋体"/>
                <w:sz w:val="18"/>
                <w:szCs w:val="18"/>
              </w:rPr>
              <w:t>挺担任</w:t>
            </w:r>
            <w:proofErr w:type="gramEnd"/>
            <w:r>
              <w:rPr>
                <w:rFonts w:ascii="宋体" w:eastAsia="宋体" w:hAnsi="宋体" w:cs="宋体"/>
                <w:sz w:val="18"/>
                <w:szCs w:val="18"/>
              </w:rPr>
              <w:t>法定代表人</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钟耀栋、蔡姗妮</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控股子公司浙江</w:t>
            </w:r>
            <w:proofErr w:type="gramStart"/>
            <w:r>
              <w:rPr>
                <w:rFonts w:ascii="宋体" w:eastAsia="宋体" w:hAnsi="宋体" w:cs="宋体"/>
                <w:sz w:val="18"/>
                <w:szCs w:val="18"/>
              </w:rPr>
              <w:t>鲲驰小</w:t>
            </w:r>
            <w:proofErr w:type="gramEnd"/>
            <w:r>
              <w:rPr>
                <w:rFonts w:ascii="宋体" w:eastAsia="宋体" w:hAnsi="宋体" w:cs="宋体"/>
                <w:sz w:val="18"/>
                <w:szCs w:val="18"/>
              </w:rPr>
              <w:t>股东</w:t>
            </w:r>
          </w:p>
        </w:tc>
      </w:tr>
      <w:tr w:rsidR="008820E4" w:rsidTr="00177DA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胡杨河锦瑞国有</w:t>
            </w:r>
            <w:proofErr w:type="gramEnd"/>
            <w:r>
              <w:rPr>
                <w:rFonts w:ascii="宋体" w:eastAsia="宋体" w:hAnsi="宋体" w:cs="宋体"/>
                <w:sz w:val="18"/>
                <w:szCs w:val="18"/>
              </w:rPr>
              <w:t>资产运营管理有限公司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持有子公司</w:t>
            </w:r>
            <w:proofErr w:type="gramStart"/>
            <w:r>
              <w:rPr>
                <w:rFonts w:ascii="宋体" w:eastAsia="宋体" w:hAnsi="宋体" w:cs="宋体"/>
                <w:sz w:val="18"/>
                <w:szCs w:val="18"/>
              </w:rPr>
              <w:t>奎屯锦孚</w:t>
            </w:r>
            <w:proofErr w:type="gramEnd"/>
            <w:r>
              <w:rPr>
                <w:rFonts w:ascii="宋体" w:eastAsia="宋体" w:hAnsi="宋体" w:cs="宋体"/>
                <w:sz w:val="18"/>
                <w:szCs w:val="18"/>
              </w:rPr>
              <w:t>33%的小股东</w:t>
            </w:r>
          </w:p>
        </w:tc>
      </w:tr>
    </w:tbl>
    <w:p w:rsidR="008820E4" w:rsidRDefault="005C49A8">
      <w:pPr>
        <w:pStyle w:val="3"/>
        <w:spacing w:line="280" w:lineRule="exact"/>
        <w:jc w:val="left"/>
        <w:rPr>
          <w:rFonts w:ascii="宋体" w:hAnsi="宋体" w:cs="宋体"/>
          <w:b/>
          <w:bCs/>
        </w:rPr>
      </w:pPr>
      <w:bookmarkStart w:id="338" w:name="_Toc989366"/>
      <w:r>
        <w:rPr>
          <w:rFonts w:ascii="宋体" w:hAnsi="宋体" w:cs="宋体"/>
          <w:b/>
          <w:bCs/>
        </w:rPr>
        <w:t>5、关联交易情况</w:t>
      </w:r>
      <w:bookmarkEnd w:id="338"/>
    </w:p>
    <w:p w:rsidR="008820E4" w:rsidRDefault="005C49A8">
      <w:pPr>
        <w:keepNext/>
        <w:keepLines/>
        <w:spacing w:before="300" w:after="300" w:line="280" w:lineRule="exact"/>
        <w:outlineLvl w:val="3"/>
        <w:rPr>
          <w:rFonts w:ascii="宋体" w:eastAsia="宋体" w:hAnsi="宋体" w:cs="宋体"/>
          <w:b/>
          <w:bCs/>
          <w:szCs w:val="21"/>
        </w:rPr>
      </w:pPr>
      <w:bookmarkStart w:id="339" w:name="_Toc989367"/>
      <w:r>
        <w:rPr>
          <w:rFonts w:ascii="宋体" w:eastAsia="宋体" w:hAnsi="宋体" w:cs="宋体"/>
          <w:b/>
          <w:bCs/>
          <w:szCs w:val="21"/>
        </w:rPr>
        <w:t>（1） 购销商品、提供和接受劳务的关联交易</w:t>
      </w:r>
      <w:bookmarkEnd w:id="339"/>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江苏科孚纺织品贸易有限公司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采购棉花</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8,304,596.70</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物业服务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15,000,000.00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2,000,000.00</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lastRenderedPageBreak/>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销售原料</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837,475.37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销售纱线</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3,298,937.83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1,234,691.36</w:t>
            </w:r>
          </w:p>
        </w:tc>
      </w:tr>
    </w:tbl>
    <w:p w:rsidR="008820E4" w:rsidRDefault="005C49A8">
      <w:pPr>
        <w:keepNext/>
        <w:keepLines/>
        <w:spacing w:before="300" w:after="300" w:line="280" w:lineRule="exact"/>
        <w:outlineLvl w:val="3"/>
        <w:rPr>
          <w:rFonts w:ascii="宋体" w:eastAsia="宋体" w:hAnsi="宋体" w:cs="宋体"/>
          <w:b/>
          <w:bCs/>
          <w:szCs w:val="21"/>
        </w:rPr>
      </w:pPr>
      <w:bookmarkStart w:id="340" w:name="_Toc989368"/>
      <w:r>
        <w:rPr>
          <w:rFonts w:ascii="宋体" w:eastAsia="宋体" w:hAnsi="宋体" w:cs="宋体"/>
          <w:b/>
          <w:bCs/>
          <w:szCs w:val="21"/>
        </w:rPr>
        <w:t>（2） 关联受托管理/承包及委托管理/出包情况</w:t>
      </w:r>
      <w:bookmarkEnd w:id="340"/>
    </w:p>
    <w:p w:rsidR="008820E4" w:rsidRDefault="005C49A8">
      <w:pPr>
        <w:keepNext/>
        <w:keepLines/>
        <w:spacing w:before="300" w:after="300" w:line="280" w:lineRule="exact"/>
        <w:outlineLvl w:val="3"/>
        <w:rPr>
          <w:rFonts w:ascii="宋体" w:eastAsia="宋体" w:hAnsi="宋体" w:cs="宋体"/>
          <w:b/>
          <w:bCs/>
          <w:szCs w:val="21"/>
        </w:rPr>
      </w:pPr>
      <w:bookmarkStart w:id="341" w:name="_Toc989369"/>
      <w:r>
        <w:rPr>
          <w:rFonts w:ascii="宋体" w:eastAsia="宋体" w:hAnsi="宋体" w:cs="宋体"/>
          <w:b/>
          <w:bCs/>
          <w:szCs w:val="21"/>
        </w:rPr>
        <w:t>（3） 关联租赁情况</w:t>
      </w:r>
      <w:bookmarkEnd w:id="34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本公司作为出租方：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上期确认的租赁收入</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34,845.18</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房屋建筑物</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553,516.81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8820E4">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增加的使用权资产</w:t>
            </w:r>
          </w:p>
        </w:tc>
      </w:tr>
      <w:tr w:rsidR="008820E4">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803"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关联租赁情况说明</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42" w:name="_Toc989370"/>
      <w:r>
        <w:rPr>
          <w:rFonts w:ascii="宋体" w:eastAsia="宋体" w:hAnsi="宋体" w:cs="宋体"/>
          <w:b/>
          <w:bCs/>
          <w:szCs w:val="21"/>
        </w:rPr>
        <w:t>（4） 关联担保情况</w:t>
      </w:r>
      <w:bookmarkEnd w:id="342"/>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担保是否已经履行完毕</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担保是否已经履行完毕</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29,500,000.00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2024年08月20日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26,320,000.00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2024年08月30日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2025年08月29日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2024年09月24日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33,000,000.00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51,570,000.00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2025年10月10日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14,580,000.00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48,370,000.00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64,240,000.00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37,390,000.00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2024年10月25日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2025年07月23日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2024年12月04日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2024年12月05日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2025年01月07日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2025年02月10日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2025年08月26日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2025年02月26日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2026年03月04日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63,000,000.00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2025年03月14日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2025年03月14日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2025年11月20日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2025年04月02日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2025年09月18日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2025年04月07日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2025年09月28日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2025年10月15日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99,990,000.00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2025年04月28日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2026年06月17日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2026年06月17日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2025年06月30日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2026年06月26日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2024年10月08日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2025年10月08日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2025年03月26日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2025年11月12日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r w:rsidR="008820E4" w:rsidTr="00177DA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28,230,000.00</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2020年05月19日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2029年05月18日</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否</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关联担保情况说明</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43" w:name="_Toc989371"/>
      <w:r>
        <w:rPr>
          <w:rFonts w:ascii="宋体" w:eastAsia="宋体" w:hAnsi="宋体" w:cs="宋体"/>
          <w:b/>
          <w:bCs/>
          <w:szCs w:val="21"/>
        </w:rPr>
        <w:t>（5） 关联方资金拆借</w:t>
      </w:r>
      <w:bookmarkEnd w:id="343"/>
    </w:p>
    <w:p w:rsidR="008820E4" w:rsidRDefault="005C49A8">
      <w:pPr>
        <w:keepNext/>
        <w:keepLines/>
        <w:spacing w:before="300" w:after="300" w:line="280" w:lineRule="exact"/>
        <w:outlineLvl w:val="3"/>
        <w:rPr>
          <w:rFonts w:ascii="宋体" w:eastAsia="宋体" w:hAnsi="宋体" w:cs="宋体"/>
          <w:b/>
          <w:bCs/>
          <w:szCs w:val="21"/>
        </w:rPr>
      </w:pPr>
      <w:bookmarkStart w:id="344" w:name="_Toc989372"/>
      <w:r>
        <w:rPr>
          <w:rFonts w:ascii="宋体" w:eastAsia="宋体" w:hAnsi="宋体" w:cs="宋体"/>
          <w:b/>
          <w:bCs/>
          <w:szCs w:val="21"/>
        </w:rPr>
        <w:t>（6） 关联方资产转让、债务重组情况</w:t>
      </w:r>
      <w:bookmarkEnd w:id="344"/>
    </w:p>
    <w:p w:rsidR="008820E4" w:rsidRDefault="005C49A8">
      <w:pPr>
        <w:keepNext/>
        <w:keepLines/>
        <w:spacing w:before="300" w:after="300" w:line="280" w:lineRule="exact"/>
        <w:outlineLvl w:val="3"/>
        <w:rPr>
          <w:rFonts w:ascii="宋体" w:eastAsia="宋体" w:hAnsi="宋体" w:cs="宋体"/>
          <w:b/>
          <w:bCs/>
          <w:szCs w:val="21"/>
        </w:rPr>
      </w:pPr>
      <w:bookmarkStart w:id="345" w:name="_Toc989373"/>
      <w:r>
        <w:rPr>
          <w:rFonts w:ascii="宋体" w:eastAsia="宋体" w:hAnsi="宋体" w:cs="宋体"/>
          <w:b/>
          <w:bCs/>
          <w:szCs w:val="21"/>
        </w:rPr>
        <w:t>（7） 关键管理人员报酬</w:t>
      </w:r>
      <w:bookmarkEnd w:id="345"/>
    </w:p>
    <w:p w:rsidR="008820E4" w:rsidRDefault="005C49A8">
      <w:pPr>
        <w:keepNext/>
        <w:keepLines/>
        <w:spacing w:before="300" w:after="300" w:line="280" w:lineRule="exact"/>
        <w:outlineLvl w:val="3"/>
        <w:rPr>
          <w:rFonts w:ascii="宋体" w:eastAsia="宋体" w:hAnsi="宋体" w:cs="宋体"/>
          <w:b/>
          <w:bCs/>
          <w:szCs w:val="21"/>
        </w:rPr>
      </w:pPr>
      <w:bookmarkStart w:id="346" w:name="_Toc989374"/>
      <w:r>
        <w:rPr>
          <w:rFonts w:ascii="宋体" w:eastAsia="宋体" w:hAnsi="宋体" w:cs="宋体"/>
          <w:b/>
          <w:bCs/>
          <w:szCs w:val="21"/>
        </w:rPr>
        <w:t>（8） 其他关联交易</w:t>
      </w:r>
      <w:bookmarkEnd w:id="346"/>
    </w:p>
    <w:p w:rsidR="008820E4" w:rsidRDefault="005C49A8">
      <w:pPr>
        <w:pStyle w:val="3"/>
        <w:spacing w:line="280" w:lineRule="exact"/>
        <w:jc w:val="left"/>
        <w:rPr>
          <w:rFonts w:ascii="宋体" w:hAnsi="宋体" w:cs="宋体"/>
          <w:b/>
          <w:bCs/>
        </w:rPr>
      </w:pPr>
      <w:bookmarkStart w:id="347" w:name="_Toc989375"/>
      <w:r>
        <w:rPr>
          <w:rFonts w:ascii="宋体" w:hAnsi="宋体" w:cs="宋体"/>
          <w:b/>
          <w:bCs/>
        </w:rPr>
        <w:t>6、关联方应收应付款项</w:t>
      </w:r>
      <w:bookmarkEnd w:id="347"/>
    </w:p>
    <w:p w:rsidR="008820E4" w:rsidRDefault="005C49A8">
      <w:pPr>
        <w:keepNext/>
        <w:keepLines/>
        <w:spacing w:before="300" w:after="300" w:line="280" w:lineRule="exact"/>
        <w:outlineLvl w:val="3"/>
        <w:rPr>
          <w:rFonts w:ascii="宋体" w:eastAsia="宋体" w:hAnsi="宋体" w:cs="宋体"/>
          <w:b/>
          <w:bCs/>
          <w:szCs w:val="21"/>
        </w:rPr>
      </w:pPr>
      <w:bookmarkStart w:id="348" w:name="_Toc989376"/>
      <w:r>
        <w:rPr>
          <w:rFonts w:ascii="宋体" w:eastAsia="宋体" w:hAnsi="宋体" w:cs="宋体"/>
          <w:b/>
          <w:bCs/>
          <w:szCs w:val="21"/>
        </w:rPr>
        <w:t>（1） 应收项目</w:t>
      </w:r>
      <w:bookmarkEnd w:id="34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8820E4" w:rsidTr="004D7FC3">
        <w:trPr>
          <w:cantSplit/>
          <w:trHeight w:val="240"/>
        </w:trPr>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4D7FC3">
        <w:trPr>
          <w:cantSplit/>
          <w:trHeight w:val="240"/>
        </w:trPr>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r>
      <w:tr w:rsidR="004D7FC3" w:rsidTr="004D7FC3">
        <w:trPr>
          <w:cantSplit/>
          <w:trHeight w:val="485"/>
        </w:trPr>
        <w:tc>
          <w:tcPr>
            <w:tcW w:w="1607"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right w:val="single" w:sz="2" w:space="0" w:color="auto"/>
            </w:tcBorders>
            <w:vAlign w:val="center"/>
          </w:tcPr>
          <w:p w:rsidR="004D7FC3" w:rsidRDefault="004D7FC3" w:rsidP="001F7942">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1606" w:type="dxa"/>
            <w:tcBorders>
              <w:top w:val="single" w:sz="2" w:space="0" w:color="auto"/>
              <w:left w:val="single" w:sz="2" w:space="0" w:color="auto"/>
              <w:right w:val="single" w:sz="2" w:space="0" w:color="auto"/>
            </w:tcBorders>
            <w:vAlign w:val="center"/>
          </w:tcPr>
          <w:p w:rsidR="004D7FC3" w:rsidRDefault="004D7FC3" w:rsidP="00BE61E5">
            <w:pPr>
              <w:spacing w:line="0" w:lineRule="atLeast"/>
              <w:jc w:val="right"/>
              <w:rPr>
                <w:rFonts w:ascii="宋体" w:eastAsia="宋体" w:hAnsi="宋体" w:cs="宋体"/>
                <w:sz w:val="18"/>
                <w:szCs w:val="18"/>
              </w:rPr>
            </w:pPr>
            <w:r>
              <w:rPr>
                <w:rFonts w:ascii="宋体" w:eastAsia="宋体" w:hAnsi="宋体" w:cs="宋体"/>
                <w:sz w:val="18"/>
                <w:szCs w:val="18"/>
              </w:rPr>
              <w:t>2,724,777.66</w:t>
            </w:r>
          </w:p>
        </w:tc>
        <w:tc>
          <w:tcPr>
            <w:tcW w:w="1607" w:type="dxa"/>
            <w:tcBorders>
              <w:top w:val="single" w:sz="2" w:space="0" w:color="auto"/>
              <w:left w:val="single" w:sz="2" w:space="0" w:color="auto"/>
              <w:right w:val="single" w:sz="2" w:space="0" w:color="auto"/>
            </w:tcBorders>
            <w:vAlign w:val="center"/>
          </w:tcPr>
          <w:p w:rsidR="004D7FC3" w:rsidRDefault="004D7FC3" w:rsidP="006307C2">
            <w:pPr>
              <w:spacing w:line="0" w:lineRule="atLeast"/>
              <w:jc w:val="right"/>
              <w:rPr>
                <w:rFonts w:ascii="宋体" w:eastAsia="宋体" w:hAnsi="宋体" w:cs="宋体"/>
                <w:sz w:val="18"/>
                <w:szCs w:val="18"/>
              </w:rPr>
            </w:pPr>
            <w:r>
              <w:rPr>
                <w:rFonts w:ascii="宋体" w:eastAsia="宋体" w:hAnsi="宋体" w:cs="宋体"/>
                <w:sz w:val="18"/>
                <w:szCs w:val="18"/>
              </w:rPr>
              <w:t>136,238.88</w:t>
            </w:r>
          </w:p>
        </w:tc>
        <w:tc>
          <w:tcPr>
            <w:tcW w:w="1606" w:type="dxa"/>
            <w:tcBorders>
              <w:top w:val="single" w:sz="2" w:space="0" w:color="auto"/>
              <w:left w:val="single" w:sz="2" w:space="0" w:color="auto"/>
              <w:right w:val="single" w:sz="2" w:space="0" w:color="auto"/>
            </w:tcBorders>
            <w:vAlign w:val="center"/>
          </w:tcPr>
          <w:p w:rsidR="004D7FC3" w:rsidRDefault="004D7FC3" w:rsidP="001747D2">
            <w:pPr>
              <w:spacing w:line="0" w:lineRule="atLeast"/>
              <w:jc w:val="right"/>
              <w:rPr>
                <w:rFonts w:ascii="宋体" w:eastAsia="宋体" w:hAnsi="宋体" w:cs="宋体"/>
                <w:sz w:val="18"/>
                <w:szCs w:val="18"/>
              </w:rPr>
            </w:pPr>
            <w:r>
              <w:rPr>
                <w:rFonts w:ascii="宋体" w:eastAsia="宋体" w:hAnsi="宋体" w:cs="宋体"/>
                <w:sz w:val="18"/>
                <w:szCs w:val="18"/>
              </w:rPr>
              <w:t>3,515,475.11</w:t>
            </w:r>
          </w:p>
        </w:tc>
        <w:tc>
          <w:tcPr>
            <w:tcW w:w="1607" w:type="dxa"/>
            <w:tcBorders>
              <w:top w:val="single" w:sz="2" w:space="0" w:color="auto"/>
              <w:left w:val="single" w:sz="2" w:space="0" w:color="auto"/>
              <w:right w:val="single" w:sz="2" w:space="0" w:color="auto"/>
            </w:tcBorders>
            <w:vAlign w:val="center"/>
          </w:tcPr>
          <w:p w:rsidR="004D7FC3" w:rsidRDefault="004D7FC3" w:rsidP="008F5CD7">
            <w:pPr>
              <w:spacing w:line="0" w:lineRule="atLeast"/>
              <w:jc w:val="right"/>
              <w:rPr>
                <w:rFonts w:ascii="宋体" w:eastAsia="宋体" w:hAnsi="宋体" w:cs="宋体"/>
                <w:sz w:val="18"/>
                <w:szCs w:val="18"/>
              </w:rPr>
            </w:pPr>
            <w:r>
              <w:rPr>
                <w:rFonts w:ascii="宋体" w:eastAsia="宋体" w:hAnsi="宋体" w:cs="宋体"/>
                <w:sz w:val="18"/>
                <w:szCs w:val="18"/>
              </w:rPr>
              <w:t>175,773.76</w:t>
            </w:r>
          </w:p>
        </w:tc>
      </w:tr>
      <w:tr w:rsidR="004D7FC3" w:rsidTr="004D7FC3">
        <w:trPr>
          <w:cantSplit/>
          <w:trHeight w:val="240"/>
        </w:trPr>
        <w:tc>
          <w:tcPr>
            <w:tcW w:w="1607"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1,092,259.21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54,612.96</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1,007,889.40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50,394.47</w:t>
            </w:r>
          </w:p>
        </w:tc>
      </w:tr>
      <w:tr w:rsidR="004D7FC3" w:rsidTr="004D7FC3">
        <w:trPr>
          <w:cantSplit/>
          <w:trHeight w:val="700"/>
        </w:trPr>
        <w:tc>
          <w:tcPr>
            <w:tcW w:w="1607"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right w:val="single" w:sz="2" w:space="0" w:color="auto"/>
            </w:tcBorders>
            <w:vAlign w:val="center"/>
          </w:tcPr>
          <w:p w:rsidR="004D7FC3" w:rsidRDefault="004D7FC3" w:rsidP="00693D46">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电子商务有限公司及其子公司</w:t>
            </w:r>
          </w:p>
        </w:tc>
        <w:tc>
          <w:tcPr>
            <w:tcW w:w="1606" w:type="dxa"/>
            <w:tcBorders>
              <w:top w:val="single" w:sz="2" w:space="0" w:color="auto"/>
              <w:left w:val="single" w:sz="2" w:space="0" w:color="auto"/>
              <w:right w:val="single" w:sz="2" w:space="0" w:color="auto"/>
            </w:tcBorders>
            <w:vAlign w:val="center"/>
          </w:tcPr>
          <w:p w:rsidR="004D7FC3" w:rsidRDefault="004D7FC3" w:rsidP="006E6037">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7" w:type="dxa"/>
            <w:tcBorders>
              <w:top w:val="single" w:sz="2" w:space="0" w:color="auto"/>
              <w:left w:val="single" w:sz="2" w:space="0" w:color="auto"/>
              <w:right w:val="single" w:sz="2" w:space="0" w:color="auto"/>
            </w:tcBorders>
            <w:vAlign w:val="center"/>
          </w:tcPr>
          <w:p w:rsidR="004D7FC3" w:rsidRDefault="004D7FC3" w:rsidP="00860B61">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6" w:type="dxa"/>
            <w:tcBorders>
              <w:top w:val="single" w:sz="2" w:space="0" w:color="auto"/>
              <w:left w:val="single" w:sz="2" w:space="0" w:color="auto"/>
              <w:right w:val="single" w:sz="2" w:space="0" w:color="auto"/>
            </w:tcBorders>
            <w:vAlign w:val="center"/>
          </w:tcPr>
          <w:p w:rsidR="004D7FC3" w:rsidRDefault="004D7FC3" w:rsidP="0062372B">
            <w:pPr>
              <w:spacing w:line="0" w:lineRule="atLeast"/>
              <w:jc w:val="right"/>
              <w:rPr>
                <w:rFonts w:ascii="宋体" w:eastAsia="宋体" w:hAnsi="宋体" w:cs="宋体"/>
                <w:sz w:val="18"/>
                <w:szCs w:val="18"/>
              </w:rPr>
            </w:pPr>
            <w:r>
              <w:rPr>
                <w:rFonts w:ascii="宋体" w:eastAsia="宋体" w:hAnsi="宋体" w:cs="宋体"/>
                <w:sz w:val="18"/>
                <w:szCs w:val="18"/>
              </w:rPr>
              <w:t>21,914,786.08</w:t>
            </w:r>
          </w:p>
        </w:tc>
        <w:tc>
          <w:tcPr>
            <w:tcW w:w="1607" w:type="dxa"/>
            <w:tcBorders>
              <w:top w:val="single" w:sz="2" w:space="0" w:color="auto"/>
              <w:left w:val="single" w:sz="2" w:space="0" w:color="auto"/>
              <w:right w:val="single" w:sz="2" w:space="0" w:color="auto"/>
            </w:tcBorders>
            <w:vAlign w:val="center"/>
          </w:tcPr>
          <w:p w:rsidR="004D7FC3" w:rsidRDefault="004D7FC3" w:rsidP="0024035B">
            <w:pPr>
              <w:spacing w:line="0" w:lineRule="atLeast"/>
              <w:jc w:val="right"/>
              <w:rPr>
                <w:rFonts w:ascii="宋体" w:eastAsia="宋体" w:hAnsi="宋体" w:cs="宋体"/>
                <w:sz w:val="18"/>
                <w:szCs w:val="18"/>
              </w:rPr>
            </w:pPr>
            <w:r>
              <w:rPr>
                <w:rFonts w:ascii="宋体" w:eastAsia="宋体" w:hAnsi="宋体" w:cs="宋体"/>
                <w:sz w:val="18"/>
                <w:szCs w:val="18"/>
              </w:rPr>
              <w:t>13,194,539.71</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新疆棉花产业集团有限公司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93,562.80</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胡杨河锦瑞国有</w:t>
            </w:r>
            <w:proofErr w:type="gramEnd"/>
            <w:r>
              <w:rPr>
                <w:rFonts w:ascii="宋体" w:eastAsia="宋体" w:hAnsi="宋体" w:cs="宋体"/>
                <w:sz w:val="18"/>
                <w:szCs w:val="18"/>
              </w:rPr>
              <w:t>资产运营管理有限公司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371,904.51</w:t>
            </w:r>
          </w:p>
        </w:tc>
      </w:tr>
      <w:tr w:rsidR="004D7FC3" w:rsidTr="004D7FC3">
        <w:trPr>
          <w:cantSplit/>
          <w:trHeight w:val="240"/>
        </w:trPr>
        <w:tc>
          <w:tcPr>
            <w:tcW w:w="1607"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浙江</w:t>
            </w:r>
            <w:proofErr w:type="gramStart"/>
            <w:r>
              <w:rPr>
                <w:rFonts w:ascii="宋体" w:eastAsia="宋体" w:hAnsi="宋体" w:cs="宋体"/>
                <w:sz w:val="18"/>
                <w:szCs w:val="18"/>
              </w:rPr>
              <w:t>华尚产业</w:t>
            </w:r>
            <w:proofErr w:type="gramEnd"/>
            <w:r>
              <w:rPr>
                <w:rFonts w:ascii="宋体" w:eastAsia="宋体" w:hAnsi="宋体" w:cs="宋体"/>
                <w:sz w:val="18"/>
                <w:szCs w:val="18"/>
              </w:rPr>
              <w:t>运营有限公司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1,877,484.34</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93,874.22</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1,000,000.00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50,000.00</w:t>
            </w:r>
          </w:p>
        </w:tc>
      </w:tr>
      <w:tr w:rsidR="004D7FC3" w:rsidTr="004D7FC3">
        <w:trPr>
          <w:cantSplit/>
          <w:trHeight w:val="240"/>
        </w:trPr>
        <w:tc>
          <w:tcPr>
            <w:tcW w:w="1607"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绍兴尚兰商业服务有限公司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18,804.00</w:t>
            </w: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940.20</w:t>
            </w:r>
          </w:p>
        </w:tc>
        <w:tc>
          <w:tcPr>
            <w:tcW w:w="1606"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349" w:name="_Toc989377"/>
      <w:r>
        <w:rPr>
          <w:rFonts w:ascii="宋体" w:eastAsia="宋体" w:hAnsi="宋体" w:cs="宋体"/>
          <w:b/>
          <w:bCs/>
          <w:szCs w:val="21"/>
        </w:rPr>
        <w:t>（2） 应付项目</w:t>
      </w:r>
      <w:bookmarkEnd w:id="34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rsidTr="004D7FC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4D7FC3" w:rsidTr="009C14F6">
        <w:trPr>
          <w:trHeight w:val="485"/>
        </w:trPr>
        <w:tc>
          <w:tcPr>
            <w:tcW w:w="2409"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合同负债</w:t>
            </w:r>
          </w:p>
        </w:tc>
        <w:tc>
          <w:tcPr>
            <w:tcW w:w="2410" w:type="dxa"/>
            <w:tcBorders>
              <w:top w:val="single" w:sz="2" w:space="0" w:color="auto"/>
              <w:left w:val="single" w:sz="2" w:space="0" w:color="auto"/>
              <w:right w:val="single" w:sz="2" w:space="0" w:color="auto"/>
            </w:tcBorders>
            <w:vAlign w:val="center"/>
          </w:tcPr>
          <w:p w:rsidR="004D7FC3" w:rsidRDefault="004D7FC3" w:rsidP="00CE574D">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2410" w:type="dxa"/>
            <w:tcBorders>
              <w:top w:val="single" w:sz="2" w:space="0" w:color="auto"/>
              <w:left w:val="single" w:sz="2" w:space="0" w:color="auto"/>
              <w:right w:val="single" w:sz="2" w:space="0" w:color="auto"/>
            </w:tcBorders>
            <w:vAlign w:val="center"/>
          </w:tcPr>
          <w:p w:rsidR="004D7FC3" w:rsidRDefault="004D7FC3" w:rsidP="006B2C8D">
            <w:pPr>
              <w:spacing w:line="0" w:lineRule="atLeast"/>
              <w:jc w:val="right"/>
              <w:rPr>
                <w:rFonts w:ascii="宋体" w:eastAsia="宋体" w:hAnsi="宋体" w:cs="宋体"/>
                <w:sz w:val="18"/>
                <w:szCs w:val="18"/>
              </w:rPr>
            </w:pPr>
            <w:r>
              <w:rPr>
                <w:rFonts w:ascii="宋体" w:eastAsia="宋体" w:hAnsi="宋体" w:cs="宋体"/>
                <w:sz w:val="18"/>
                <w:szCs w:val="18"/>
              </w:rPr>
              <w:t>176,270.09</w:t>
            </w:r>
          </w:p>
        </w:tc>
        <w:tc>
          <w:tcPr>
            <w:tcW w:w="2410" w:type="dxa"/>
            <w:tcBorders>
              <w:top w:val="single" w:sz="2" w:space="0" w:color="auto"/>
              <w:left w:val="single" w:sz="2" w:space="0" w:color="auto"/>
              <w:right w:val="single" w:sz="2" w:space="0" w:color="auto"/>
            </w:tcBorders>
            <w:vAlign w:val="center"/>
          </w:tcPr>
          <w:p w:rsidR="004D7FC3" w:rsidRDefault="004D7FC3" w:rsidP="009C14F6">
            <w:pPr>
              <w:spacing w:line="0" w:lineRule="atLeast"/>
              <w:jc w:val="right"/>
              <w:rPr>
                <w:rFonts w:ascii="宋体" w:eastAsia="宋体" w:hAnsi="宋体" w:cs="宋体"/>
                <w:sz w:val="18"/>
                <w:szCs w:val="18"/>
              </w:rPr>
            </w:pPr>
            <w:r>
              <w:rPr>
                <w:rFonts w:ascii="宋体" w:eastAsia="宋体" w:hAnsi="宋体" w:cs="宋体"/>
                <w:sz w:val="18"/>
                <w:szCs w:val="18"/>
              </w:rPr>
              <w:t>56,500.08</w:t>
            </w:r>
          </w:p>
        </w:tc>
      </w:tr>
      <w:tr w:rsidR="004D7FC3" w:rsidTr="000277EA">
        <w:trPr>
          <w:trHeight w:val="240"/>
        </w:trPr>
        <w:tc>
          <w:tcPr>
            <w:tcW w:w="2409"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绍兴领尚纺织</w:t>
            </w:r>
            <w:proofErr w:type="gramEnd"/>
            <w:r>
              <w:rPr>
                <w:rFonts w:ascii="宋体" w:eastAsia="宋体" w:hAnsi="宋体" w:cs="宋体"/>
                <w:sz w:val="18"/>
                <w:szCs w:val="18"/>
              </w:rPr>
              <w:t>科技有限公司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1,793,893.30</w:t>
            </w:r>
          </w:p>
        </w:tc>
      </w:tr>
      <w:tr w:rsidR="004D7FC3" w:rsidTr="004D7FC3">
        <w:trPr>
          <w:trHeight w:val="75"/>
        </w:trPr>
        <w:tc>
          <w:tcPr>
            <w:tcW w:w="2409" w:type="dxa"/>
            <w:vMerge w:val="restart"/>
            <w:tcBorders>
              <w:top w:val="single" w:sz="2" w:space="0" w:color="auto"/>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right w:val="single" w:sz="2" w:space="0" w:color="auto"/>
            </w:tcBorders>
            <w:vAlign w:val="center"/>
          </w:tcPr>
          <w:p w:rsidR="004D7FC3" w:rsidRDefault="004D7FC3" w:rsidP="006C68F3">
            <w:pPr>
              <w:spacing w:line="0" w:lineRule="atLeast"/>
              <w:rPr>
                <w:rFonts w:ascii="宋体" w:eastAsia="宋体" w:hAnsi="宋体" w:cs="宋体"/>
                <w:sz w:val="18"/>
                <w:szCs w:val="18"/>
              </w:rPr>
            </w:pPr>
            <w:r>
              <w:rPr>
                <w:rFonts w:ascii="宋体" w:eastAsia="宋体" w:hAnsi="宋体" w:cs="宋体"/>
                <w:sz w:val="18"/>
                <w:szCs w:val="18"/>
              </w:rPr>
              <w:t>新疆</w:t>
            </w:r>
            <w:proofErr w:type="gramStart"/>
            <w:r>
              <w:rPr>
                <w:rFonts w:ascii="宋体" w:eastAsia="宋体" w:hAnsi="宋体" w:cs="宋体"/>
                <w:sz w:val="18"/>
                <w:szCs w:val="18"/>
              </w:rPr>
              <w:t>新润气流纺</w:t>
            </w:r>
            <w:proofErr w:type="gramEnd"/>
            <w:r>
              <w:rPr>
                <w:rFonts w:ascii="宋体" w:eastAsia="宋体" w:hAnsi="宋体" w:cs="宋体"/>
                <w:sz w:val="18"/>
                <w:szCs w:val="18"/>
              </w:rPr>
              <w:t>有限公司</w:t>
            </w:r>
          </w:p>
        </w:tc>
        <w:tc>
          <w:tcPr>
            <w:tcW w:w="2410" w:type="dxa"/>
            <w:tcBorders>
              <w:top w:val="single" w:sz="2" w:space="0" w:color="auto"/>
              <w:left w:val="single" w:sz="2" w:space="0" w:color="auto"/>
              <w:right w:val="single" w:sz="2" w:space="0" w:color="auto"/>
            </w:tcBorders>
            <w:vAlign w:val="center"/>
          </w:tcPr>
          <w:p w:rsidR="004D7FC3" w:rsidRDefault="004D7FC3" w:rsidP="00E441B9">
            <w:pPr>
              <w:spacing w:line="0" w:lineRule="atLeast"/>
              <w:jc w:val="right"/>
              <w:rPr>
                <w:rFonts w:ascii="宋体" w:eastAsia="宋体" w:hAnsi="宋体" w:cs="宋体"/>
                <w:sz w:val="18"/>
                <w:szCs w:val="18"/>
              </w:rPr>
            </w:pPr>
            <w:r>
              <w:rPr>
                <w:rFonts w:ascii="宋体" w:eastAsia="宋体" w:hAnsi="宋体" w:cs="宋体"/>
                <w:sz w:val="18"/>
                <w:szCs w:val="18"/>
              </w:rPr>
              <w:t>516,959.12</w:t>
            </w:r>
          </w:p>
        </w:tc>
        <w:tc>
          <w:tcPr>
            <w:tcW w:w="2410" w:type="dxa"/>
            <w:tcBorders>
              <w:top w:val="single" w:sz="2" w:space="0" w:color="auto"/>
              <w:left w:val="single" w:sz="2" w:space="0" w:color="auto"/>
              <w:right w:val="single" w:sz="2" w:space="0" w:color="auto"/>
            </w:tcBorders>
            <w:vAlign w:val="center"/>
          </w:tcPr>
          <w:p w:rsidR="004D7FC3" w:rsidRDefault="004D7FC3" w:rsidP="000B36C8">
            <w:pPr>
              <w:spacing w:line="0" w:lineRule="atLeast"/>
              <w:jc w:val="right"/>
              <w:rPr>
                <w:rFonts w:ascii="宋体" w:eastAsia="宋体" w:hAnsi="宋体" w:cs="宋体"/>
                <w:sz w:val="18"/>
                <w:szCs w:val="18"/>
              </w:rPr>
            </w:pPr>
            <w:r>
              <w:rPr>
                <w:rFonts w:ascii="宋体" w:eastAsia="宋体" w:hAnsi="宋体" w:cs="宋体"/>
                <w:sz w:val="18"/>
                <w:szCs w:val="18"/>
              </w:rPr>
              <w:t>516,959.12</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新疆泽孚棉花有限公司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25,369.74</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25,369.74</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新疆棉花产业（集团）叶城棉业有限责任公司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197,056.55</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吉安供应链管理淮安有限公司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1,622,217.43</w:t>
            </w:r>
          </w:p>
        </w:tc>
      </w:tr>
      <w:tr w:rsidR="004D7FC3" w:rsidTr="00DF1650">
        <w:trPr>
          <w:trHeight w:val="240"/>
        </w:trPr>
        <w:tc>
          <w:tcPr>
            <w:tcW w:w="2409" w:type="dxa"/>
            <w:vMerge/>
            <w:tcBorders>
              <w:left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r>
              <w:rPr>
                <w:rFonts w:ascii="宋体" w:eastAsia="宋体" w:hAnsi="宋体" w:cs="宋体"/>
                <w:sz w:val="18"/>
                <w:szCs w:val="18"/>
              </w:rPr>
              <w:t>阿克苏地区华孚纺织职业培训学校</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1,000.00</w:t>
            </w:r>
          </w:p>
        </w:tc>
      </w:tr>
      <w:tr w:rsidR="004D7FC3" w:rsidTr="00DF1650">
        <w:trPr>
          <w:trHeight w:val="240"/>
        </w:trPr>
        <w:tc>
          <w:tcPr>
            <w:tcW w:w="2409" w:type="dxa"/>
            <w:vMerge/>
            <w:tcBorders>
              <w:left w:val="single" w:sz="2" w:space="0" w:color="auto"/>
              <w:bottom w:val="single" w:sz="2" w:space="0" w:color="auto"/>
              <w:right w:val="single" w:sz="2" w:space="0" w:color="auto"/>
            </w:tcBorders>
            <w:shd w:val="clear" w:color="auto" w:fill="D3D3D3"/>
            <w:vAlign w:val="center"/>
          </w:tcPr>
          <w:p w:rsidR="004D7FC3" w:rsidRDefault="004D7FC3">
            <w:pPr>
              <w:spacing w:line="0" w:lineRule="atLeas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rPr>
                <w:rFonts w:ascii="宋体" w:eastAsia="宋体" w:hAnsi="宋体" w:cs="宋体"/>
                <w:sz w:val="18"/>
                <w:szCs w:val="18"/>
              </w:rPr>
            </w:pPr>
            <w:proofErr w:type="gramStart"/>
            <w:r>
              <w:rPr>
                <w:rFonts w:ascii="宋体" w:eastAsia="宋体" w:hAnsi="宋体" w:cs="宋体"/>
                <w:sz w:val="18"/>
                <w:szCs w:val="18"/>
              </w:rPr>
              <w:t>钟耀栋</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1,539,654.00</w:t>
            </w:r>
          </w:p>
        </w:tc>
        <w:tc>
          <w:tcPr>
            <w:tcW w:w="2410" w:type="dxa"/>
            <w:tcBorders>
              <w:top w:val="single" w:sz="2" w:space="0" w:color="auto"/>
              <w:left w:val="single" w:sz="2" w:space="0" w:color="auto"/>
              <w:bottom w:val="single" w:sz="2" w:space="0" w:color="auto"/>
              <w:right w:val="single" w:sz="2" w:space="0" w:color="auto"/>
            </w:tcBorders>
            <w:vAlign w:val="center"/>
          </w:tcPr>
          <w:p w:rsidR="004D7FC3" w:rsidRDefault="004D7FC3">
            <w:pPr>
              <w:spacing w:line="0" w:lineRule="atLeast"/>
              <w:jc w:val="right"/>
              <w:rPr>
                <w:rFonts w:ascii="宋体" w:eastAsia="宋体" w:hAnsi="宋体" w:cs="宋体"/>
                <w:sz w:val="18"/>
                <w:szCs w:val="18"/>
              </w:rPr>
            </w:pPr>
            <w:r>
              <w:rPr>
                <w:rFonts w:ascii="宋体" w:eastAsia="宋体" w:hAnsi="宋体" w:cs="宋体"/>
                <w:sz w:val="18"/>
                <w:szCs w:val="18"/>
              </w:rPr>
              <w:t>1,539,654.00</w:t>
            </w:r>
          </w:p>
        </w:tc>
      </w:tr>
    </w:tbl>
    <w:p w:rsidR="008820E4" w:rsidRDefault="005C49A8">
      <w:pPr>
        <w:pStyle w:val="3"/>
        <w:spacing w:line="280" w:lineRule="exact"/>
        <w:jc w:val="left"/>
        <w:rPr>
          <w:rFonts w:ascii="宋体" w:hAnsi="宋体" w:cs="宋体"/>
          <w:b/>
          <w:bCs/>
        </w:rPr>
      </w:pPr>
      <w:bookmarkStart w:id="350" w:name="_Toc989378"/>
      <w:r>
        <w:rPr>
          <w:rFonts w:ascii="宋体" w:hAnsi="宋体" w:cs="宋体"/>
          <w:b/>
          <w:bCs/>
        </w:rPr>
        <w:t>7、关联方承诺</w:t>
      </w:r>
      <w:bookmarkEnd w:id="350"/>
    </w:p>
    <w:p w:rsidR="008820E4" w:rsidRDefault="005C49A8">
      <w:pPr>
        <w:pStyle w:val="3"/>
        <w:spacing w:line="280" w:lineRule="exact"/>
        <w:jc w:val="left"/>
        <w:rPr>
          <w:rFonts w:ascii="宋体" w:hAnsi="宋体" w:cs="宋体"/>
          <w:b/>
          <w:bCs/>
        </w:rPr>
      </w:pPr>
      <w:bookmarkStart w:id="351" w:name="_Toc989379"/>
      <w:r>
        <w:rPr>
          <w:rFonts w:ascii="宋体" w:hAnsi="宋体" w:cs="宋体"/>
          <w:b/>
          <w:bCs/>
        </w:rPr>
        <w:t>8、其他</w:t>
      </w:r>
      <w:bookmarkEnd w:id="351"/>
    </w:p>
    <w:p w:rsidR="005C49A8" w:rsidRDefault="005C49A8">
      <w:pPr>
        <w:pStyle w:val="a3"/>
        <w:divId w:val="1318997237"/>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52" w:name="_Toc989380"/>
      <w:r>
        <w:rPr>
          <w:rFonts w:ascii="宋体" w:eastAsia="宋体" w:hAnsi="宋体" w:cs="宋体"/>
          <w:b/>
          <w:bCs/>
          <w:sz w:val="24"/>
          <w:szCs w:val="24"/>
        </w:rPr>
        <w:t>十五、股份支付</w:t>
      </w:r>
      <w:bookmarkEnd w:id="352"/>
    </w:p>
    <w:p w:rsidR="008820E4" w:rsidRDefault="005C49A8">
      <w:pPr>
        <w:pStyle w:val="3"/>
        <w:spacing w:line="280" w:lineRule="exact"/>
        <w:jc w:val="left"/>
        <w:rPr>
          <w:rFonts w:ascii="宋体" w:hAnsi="宋体" w:cs="宋体"/>
          <w:b/>
          <w:bCs/>
        </w:rPr>
      </w:pPr>
      <w:bookmarkStart w:id="353" w:name="_Toc989381"/>
      <w:r>
        <w:rPr>
          <w:rFonts w:ascii="宋体" w:hAnsi="宋体" w:cs="宋体"/>
          <w:b/>
          <w:bCs/>
        </w:rPr>
        <w:t>1、股份支付总体情况</w:t>
      </w:r>
      <w:bookmarkEnd w:id="353"/>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54" w:name="_Toc989382"/>
      <w:r>
        <w:rPr>
          <w:rFonts w:ascii="宋体" w:hAnsi="宋体" w:cs="宋体"/>
          <w:b/>
          <w:bCs/>
        </w:rPr>
        <w:t>2、以权益结算的股份支付情况</w:t>
      </w:r>
      <w:bookmarkEnd w:id="354"/>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55" w:name="_Toc989383"/>
      <w:r>
        <w:rPr>
          <w:rFonts w:ascii="宋体" w:hAnsi="宋体" w:cs="宋体"/>
          <w:b/>
          <w:bCs/>
        </w:rPr>
        <w:t>3、以现金结算的股份支付情况</w:t>
      </w:r>
      <w:bookmarkEnd w:id="355"/>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56" w:name="_Toc989384"/>
      <w:r>
        <w:rPr>
          <w:rFonts w:ascii="宋体" w:hAnsi="宋体" w:cs="宋体"/>
          <w:b/>
          <w:bCs/>
        </w:rPr>
        <w:t>4、本期股份支付费用</w:t>
      </w:r>
      <w:bookmarkEnd w:id="356"/>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357" w:name="_Toc989385"/>
      <w:r>
        <w:rPr>
          <w:rFonts w:ascii="宋体" w:hAnsi="宋体" w:cs="宋体"/>
          <w:b/>
          <w:bCs/>
        </w:rPr>
        <w:t>5、股份支付的修改、终止情况</w:t>
      </w:r>
      <w:bookmarkEnd w:id="357"/>
    </w:p>
    <w:p w:rsidR="005C49A8" w:rsidRDefault="005C49A8">
      <w:pPr>
        <w:pStyle w:val="a3"/>
        <w:divId w:val="206236658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58" w:name="_Toc989386"/>
      <w:r>
        <w:rPr>
          <w:rFonts w:ascii="宋体" w:hAnsi="宋体" w:cs="宋体"/>
          <w:b/>
          <w:bCs/>
        </w:rPr>
        <w:lastRenderedPageBreak/>
        <w:t xml:space="preserve">6、其他 </w:t>
      </w:r>
      <w:bookmarkEnd w:id="358"/>
    </w:p>
    <w:p w:rsidR="005C49A8" w:rsidRDefault="005C49A8">
      <w:pPr>
        <w:pStyle w:val="a3"/>
        <w:divId w:val="1852987675"/>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59" w:name="_Toc989387"/>
      <w:r>
        <w:rPr>
          <w:rFonts w:ascii="宋体" w:eastAsia="宋体" w:hAnsi="宋体" w:cs="宋体"/>
          <w:b/>
          <w:bCs/>
          <w:sz w:val="24"/>
          <w:szCs w:val="24"/>
        </w:rPr>
        <w:t>十六、承诺及或有事项</w:t>
      </w:r>
      <w:bookmarkEnd w:id="359"/>
    </w:p>
    <w:p w:rsidR="008820E4" w:rsidRDefault="005C49A8">
      <w:pPr>
        <w:pStyle w:val="3"/>
        <w:spacing w:line="280" w:lineRule="exact"/>
        <w:jc w:val="left"/>
        <w:rPr>
          <w:rFonts w:ascii="宋体" w:hAnsi="宋体" w:cs="宋体"/>
          <w:b/>
          <w:bCs/>
        </w:rPr>
      </w:pPr>
      <w:bookmarkStart w:id="360" w:name="_Toc989388"/>
      <w:r>
        <w:rPr>
          <w:rFonts w:ascii="宋体" w:hAnsi="宋体" w:cs="宋体"/>
          <w:b/>
          <w:bCs/>
        </w:rPr>
        <w:t>1、重要承诺事项</w:t>
      </w:r>
      <w:bookmarkEnd w:id="360"/>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5C49A8" w:rsidRDefault="005C49A8">
      <w:pPr>
        <w:pStyle w:val="a3"/>
        <w:divId w:val="32548205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61" w:name="_Toc989389"/>
      <w:r>
        <w:rPr>
          <w:rFonts w:ascii="宋体" w:hAnsi="宋体" w:cs="宋体"/>
          <w:b/>
          <w:bCs/>
        </w:rPr>
        <w:t>2、或有事项</w:t>
      </w:r>
      <w:bookmarkEnd w:id="361"/>
    </w:p>
    <w:p w:rsidR="008820E4" w:rsidRDefault="005C49A8">
      <w:pPr>
        <w:keepNext/>
        <w:keepLines/>
        <w:spacing w:before="300" w:after="300" w:line="280" w:lineRule="exact"/>
        <w:outlineLvl w:val="3"/>
        <w:rPr>
          <w:rFonts w:ascii="宋体" w:eastAsia="宋体" w:hAnsi="宋体" w:cs="宋体"/>
          <w:b/>
          <w:bCs/>
          <w:szCs w:val="21"/>
        </w:rPr>
      </w:pPr>
      <w:bookmarkStart w:id="362" w:name="_Toc989390"/>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362"/>
    </w:p>
    <w:p w:rsidR="008820E4" w:rsidRDefault="005C49A8">
      <w:pPr>
        <w:keepNext/>
        <w:keepLines/>
        <w:spacing w:before="300" w:after="300" w:line="280" w:lineRule="exact"/>
        <w:outlineLvl w:val="3"/>
        <w:rPr>
          <w:rFonts w:ascii="宋体" w:eastAsia="宋体" w:hAnsi="宋体" w:cs="宋体"/>
          <w:b/>
          <w:bCs/>
          <w:szCs w:val="21"/>
        </w:rPr>
      </w:pPr>
      <w:bookmarkStart w:id="363" w:name="_Toc989391"/>
      <w:r>
        <w:rPr>
          <w:rFonts w:ascii="宋体" w:eastAsia="宋体" w:hAnsi="宋体" w:cs="宋体"/>
          <w:b/>
          <w:bCs/>
          <w:szCs w:val="21"/>
        </w:rPr>
        <w:t>（2） 公司没有需要披露的重要或有事项，也应予以说明</w:t>
      </w:r>
      <w:bookmarkEnd w:id="363"/>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8820E4" w:rsidRDefault="005C49A8">
      <w:pPr>
        <w:pStyle w:val="3"/>
        <w:spacing w:line="280" w:lineRule="exact"/>
        <w:jc w:val="left"/>
        <w:rPr>
          <w:rFonts w:ascii="宋体" w:hAnsi="宋体" w:cs="宋体"/>
          <w:b/>
          <w:bCs/>
        </w:rPr>
      </w:pPr>
      <w:bookmarkStart w:id="364" w:name="_Toc989392"/>
      <w:r>
        <w:rPr>
          <w:rFonts w:ascii="宋体" w:hAnsi="宋体" w:cs="宋体"/>
          <w:b/>
          <w:bCs/>
        </w:rPr>
        <w:t>3、其他</w:t>
      </w:r>
      <w:bookmarkEnd w:id="364"/>
    </w:p>
    <w:p w:rsidR="005C49A8" w:rsidRDefault="005C49A8">
      <w:pPr>
        <w:pStyle w:val="a3"/>
        <w:divId w:val="802118567"/>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65" w:name="_Toc989393"/>
      <w:r>
        <w:rPr>
          <w:rFonts w:ascii="宋体" w:eastAsia="宋体" w:hAnsi="宋体" w:cs="宋体"/>
          <w:b/>
          <w:bCs/>
          <w:sz w:val="24"/>
          <w:szCs w:val="24"/>
        </w:rPr>
        <w:t>十七、资产负债表日后事项</w:t>
      </w:r>
      <w:bookmarkEnd w:id="365"/>
    </w:p>
    <w:p w:rsidR="008820E4" w:rsidRDefault="005C49A8">
      <w:pPr>
        <w:pStyle w:val="3"/>
        <w:spacing w:line="280" w:lineRule="exact"/>
        <w:jc w:val="left"/>
        <w:rPr>
          <w:rFonts w:ascii="宋体" w:hAnsi="宋体" w:cs="宋体"/>
          <w:b/>
          <w:bCs/>
        </w:rPr>
      </w:pPr>
      <w:bookmarkStart w:id="366" w:name="_Toc989394"/>
      <w:r>
        <w:rPr>
          <w:rFonts w:ascii="宋体" w:hAnsi="宋体" w:cs="宋体"/>
          <w:b/>
          <w:bCs/>
        </w:rPr>
        <w:t>1、重要的非调整事项</w:t>
      </w:r>
      <w:bookmarkEnd w:id="366"/>
    </w:p>
    <w:p w:rsidR="008820E4" w:rsidRDefault="005C49A8">
      <w:pPr>
        <w:pStyle w:val="3"/>
        <w:spacing w:line="280" w:lineRule="exact"/>
        <w:jc w:val="left"/>
        <w:rPr>
          <w:rFonts w:ascii="宋体" w:hAnsi="宋体" w:cs="宋体"/>
          <w:b/>
          <w:bCs/>
        </w:rPr>
      </w:pPr>
      <w:bookmarkStart w:id="367" w:name="_Toc989395"/>
      <w:r>
        <w:rPr>
          <w:rFonts w:ascii="宋体" w:hAnsi="宋体" w:cs="宋体"/>
          <w:b/>
          <w:bCs/>
        </w:rPr>
        <w:t>2、利润分配情况</w:t>
      </w:r>
      <w:bookmarkEnd w:id="367"/>
    </w:p>
    <w:p w:rsidR="008820E4" w:rsidRDefault="005C49A8">
      <w:pPr>
        <w:pStyle w:val="3"/>
        <w:spacing w:line="280" w:lineRule="exact"/>
        <w:jc w:val="left"/>
        <w:rPr>
          <w:rFonts w:ascii="宋体" w:hAnsi="宋体" w:cs="宋体"/>
          <w:b/>
          <w:bCs/>
        </w:rPr>
      </w:pPr>
      <w:bookmarkStart w:id="368" w:name="_Toc989396"/>
      <w:r>
        <w:rPr>
          <w:rFonts w:ascii="宋体" w:hAnsi="宋体" w:cs="宋体"/>
          <w:b/>
          <w:bCs/>
        </w:rPr>
        <w:t>3、销售退回</w:t>
      </w:r>
      <w:bookmarkEnd w:id="368"/>
    </w:p>
    <w:p w:rsidR="005C49A8" w:rsidRDefault="005C49A8">
      <w:pPr>
        <w:pStyle w:val="a3"/>
        <w:divId w:val="127193320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69" w:name="_Toc989397"/>
      <w:r>
        <w:rPr>
          <w:rFonts w:ascii="宋体" w:hAnsi="宋体" w:cs="宋体"/>
          <w:b/>
          <w:bCs/>
        </w:rPr>
        <w:t>4、其他资产负债表日后事项说明</w:t>
      </w:r>
      <w:bookmarkEnd w:id="369"/>
    </w:p>
    <w:p w:rsidR="005C49A8" w:rsidRDefault="005C49A8">
      <w:pPr>
        <w:pStyle w:val="a3"/>
        <w:divId w:val="616523381"/>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70" w:name="_Toc989398"/>
      <w:r>
        <w:rPr>
          <w:rFonts w:ascii="宋体" w:eastAsia="宋体" w:hAnsi="宋体" w:cs="宋体"/>
          <w:b/>
          <w:bCs/>
          <w:sz w:val="24"/>
          <w:szCs w:val="24"/>
        </w:rPr>
        <w:lastRenderedPageBreak/>
        <w:t>十八、其他重要事项</w:t>
      </w:r>
      <w:bookmarkEnd w:id="370"/>
    </w:p>
    <w:p w:rsidR="008820E4" w:rsidRDefault="005C49A8">
      <w:pPr>
        <w:pStyle w:val="3"/>
        <w:spacing w:line="280" w:lineRule="exact"/>
        <w:jc w:val="left"/>
        <w:rPr>
          <w:rFonts w:ascii="宋体" w:hAnsi="宋体" w:cs="宋体"/>
          <w:b/>
          <w:bCs/>
        </w:rPr>
      </w:pPr>
      <w:bookmarkStart w:id="371" w:name="_Toc989399"/>
      <w:r>
        <w:rPr>
          <w:rFonts w:ascii="宋体" w:hAnsi="宋体" w:cs="宋体"/>
          <w:b/>
          <w:bCs/>
        </w:rPr>
        <w:t>1、前期会计差错更正</w:t>
      </w:r>
      <w:bookmarkEnd w:id="371"/>
    </w:p>
    <w:p w:rsidR="008820E4" w:rsidRDefault="005C49A8">
      <w:pPr>
        <w:keepNext/>
        <w:keepLines/>
        <w:spacing w:before="300" w:after="300" w:line="280" w:lineRule="exact"/>
        <w:outlineLvl w:val="3"/>
        <w:rPr>
          <w:rFonts w:ascii="宋体" w:eastAsia="宋体" w:hAnsi="宋体" w:cs="宋体"/>
          <w:b/>
          <w:bCs/>
          <w:szCs w:val="21"/>
        </w:rPr>
      </w:pPr>
      <w:bookmarkStart w:id="372" w:name="_Toc989400"/>
      <w:r>
        <w:rPr>
          <w:rFonts w:ascii="宋体" w:eastAsia="宋体" w:hAnsi="宋体" w:cs="宋体"/>
          <w:b/>
          <w:bCs/>
          <w:szCs w:val="21"/>
        </w:rPr>
        <w:t>（1） 追溯重述法</w:t>
      </w:r>
      <w:bookmarkEnd w:id="372"/>
    </w:p>
    <w:p w:rsidR="008820E4" w:rsidRDefault="005C49A8">
      <w:pPr>
        <w:keepNext/>
        <w:keepLines/>
        <w:spacing w:before="300" w:after="300" w:line="280" w:lineRule="exact"/>
        <w:outlineLvl w:val="3"/>
        <w:rPr>
          <w:rFonts w:ascii="宋体" w:eastAsia="宋体" w:hAnsi="宋体" w:cs="宋体"/>
          <w:b/>
          <w:bCs/>
          <w:szCs w:val="21"/>
        </w:rPr>
      </w:pPr>
      <w:bookmarkStart w:id="373" w:name="_Toc989401"/>
      <w:r>
        <w:rPr>
          <w:rFonts w:ascii="宋体" w:eastAsia="宋体" w:hAnsi="宋体" w:cs="宋体"/>
          <w:b/>
          <w:bCs/>
          <w:szCs w:val="21"/>
        </w:rPr>
        <w:t>（2） 未来适用法</w:t>
      </w:r>
      <w:bookmarkEnd w:id="373"/>
    </w:p>
    <w:p w:rsidR="008820E4" w:rsidRDefault="005C49A8">
      <w:pPr>
        <w:pStyle w:val="3"/>
        <w:spacing w:line="280" w:lineRule="exact"/>
        <w:jc w:val="left"/>
        <w:rPr>
          <w:rFonts w:ascii="宋体" w:hAnsi="宋体" w:cs="宋体"/>
          <w:b/>
          <w:bCs/>
        </w:rPr>
      </w:pPr>
      <w:bookmarkStart w:id="374" w:name="_Toc989402"/>
      <w:r>
        <w:rPr>
          <w:rFonts w:ascii="宋体" w:hAnsi="宋体" w:cs="宋体"/>
          <w:b/>
          <w:bCs/>
        </w:rPr>
        <w:t>2、债务重组</w:t>
      </w:r>
      <w:bookmarkEnd w:id="374"/>
    </w:p>
    <w:p w:rsidR="005C49A8" w:rsidRDefault="005C49A8">
      <w:pPr>
        <w:pStyle w:val="a3"/>
        <w:divId w:val="1046681899"/>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75" w:name="_Toc989403"/>
      <w:r>
        <w:rPr>
          <w:rFonts w:ascii="宋体" w:hAnsi="宋体" w:cs="宋体"/>
          <w:b/>
          <w:bCs/>
        </w:rPr>
        <w:t>3、资产置换</w:t>
      </w:r>
      <w:bookmarkEnd w:id="375"/>
    </w:p>
    <w:p w:rsidR="008820E4" w:rsidRDefault="005C49A8">
      <w:pPr>
        <w:keepNext/>
        <w:keepLines/>
        <w:spacing w:before="300" w:after="300" w:line="280" w:lineRule="exact"/>
        <w:outlineLvl w:val="3"/>
        <w:rPr>
          <w:rFonts w:ascii="宋体" w:eastAsia="宋体" w:hAnsi="宋体" w:cs="宋体"/>
          <w:b/>
          <w:bCs/>
          <w:szCs w:val="21"/>
        </w:rPr>
      </w:pPr>
      <w:bookmarkStart w:id="376" w:name="_Toc989404"/>
      <w:r>
        <w:rPr>
          <w:rFonts w:ascii="宋体" w:eastAsia="宋体" w:hAnsi="宋体" w:cs="宋体"/>
          <w:b/>
          <w:bCs/>
          <w:szCs w:val="21"/>
        </w:rPr>
        <w:t>（1） 非货币性资产交换</w:t>
      </w:r>
      <w:bookmarkEnd w:id="376"/>
    </w:p>
    <w:p w:rsidR="005C49A8" w:rsidRDefault="005C49A8">
      <w:pPr>
        <w:pStyle w:val="a3"/>
        <w:divId w:val="440565063"/>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77" w:name="_Toc989405"/>
      <w:r>
        <w:rPr>
          <w:rFonts w:ascii="宋体" w:eastAsia="宋体" w:hAnsi="宋体" w:cs="宋体"/>
          <w:b/>
          <w:bCs/>
          <w:szCs w:val="21"/>
        </w:rPr>
        <w:t>（2） 其他资产置换</w:t>
      </w:r>
      <w:bookmarkEnd w:id="377"/>
    </w:p>
    <w:p w:rsidR="005C49A8" w:rsidRDefault="005C49A8">
      <w:pPr>
        <w:pStyle w:val="a3"/>
        <w:divId w:val="91030976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78" w:name="_Toc989406"/>
      <w:r>
        <w:rPr>
          <w:rFonts w:ascii="宋体" w:hAnsi="宋体" w:cs="宋体"/>
          <w:b/>
          <w:bCs/>
        </w:rPr>
        <w:t>4、年金计划</w:t>
      </w:r>
      <w:bookmarkEnd w:id="378"/>
    </w:p>
    <w:p w:rsidR="005C49A8" w:rsidRDefault="005C49A8">
      <w:pPr>
        <w:pStyle w:val="a3"/>
        <w:divId w:val="529417598"/>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79" w:name="_Toc989407"/>
      <w:r>
        <w:rPr>
          <w:rFonts w:ascii="宋体" w:hAnsi="宋体" w:cs="宋体"/>
          <w:b/>
          <w:bCs/>
        </w:rPr>
        <w:t>5、终止经营</w:t>
      </w:r>
      <w:bookmarkEnd w:id="379"/>
    </w:p>
    <w:p w:rsidR="008820E4" w:rsidRDefault="005C49A8">
      <w:pPr>
        <w:pStyle w:val="3"/>
        <w:spacing w:line="280" w:lineRule="exact"/>
        <w:jc w:val="left"/>
        <w:rPr>
          <w:rFonts w:ascii="宋体" w:hAnsi="宋体" w:cs="宋体"/>
          <w:b/>
          <w:bCs/>
        </w:rPr>
      </w:pPr>
      <w:bookmarkStart w:id="380" w:name="_Toc989408"/>
      <w:r>
        <w:rPr>
          <w:rFonts w:ascii="宋体" w:hAnsi="宋体" w:cs="宋体"/>
          <w:b/>
          <w:bCs/>
        </w:rPr>
        <w:t>6、分部信息</w:t>
      </w:r>
      <w:bookmarkEnd w:id="380"/>
    </w:p>
    <w:p w:rsidR="008820E4" w:rsidRDefault="005C49A8">
      <w:pPr>
        <w:keepNext/>
        <w:keepLines/>
        <w:spacing w:before="300" w:after="300" w:line="280" w:lineRule="exact"/>
        <w:outlineLvl w:val="3"/>
        <w:rPr>
          <w:rFonts w:ascii="宋体" w:eastAsia="宋体" w:hAnsi="宋体" w:cs="宋体"/>
          <w:b/>
          <w:bCs/>
          <w:szCs w:val="21"/>
        </w:rPr>
      </w:pPr>
      <w:bookmarkStart w:id="381" w:name="_Toc989409"/>
      <w:r>
        <w:rPr>
          <w:rFonts w:ascii="宋体" w:eastAsia="宋体" w:hAnsi="宋体" w:cs="宋体"/>
          <w:b/>
          <w:bCs/>
          <w:szCs w:val="21"/>
        </w:rPr>
        <w:t>（1） 报告分部的确定依据与会计政策</w:t>
      </w:r>
      <w:bookmarkEnd w:id="381"/>
    </w:p>
    <w:p w:rsidR="005C49A8" w:rsidRDefault="005C49A8">
      <w:pPr>
        <w:pStyle w:val="a3"/>
        <w:divId w:val="1363705595"/>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82" w:name="_Toc989410"/>
      <w:r>
        <w:rPr>
          <w:rFonts w:ascii="宋体" w:eastAsia="宋体" w:hAnsi="宋体" w:cs="宋体"/>
          <w:b/>
          <w:bCs/>
          <w:szCs w:val="21"/>
        </w:rPr>
        <w:t>（2） 报告分部的财务信息</w:t>
      </w:r>
      <w:bookmarkEnd w:id="382"/>
    </w:p>
    <w:p w:rsidR="008820E4" w:rsidRDefault="005C49A8">
      <w:pPr>
        <w:keepNext/>
        <w:keepLines/>
        <w:spacing w:before="300" w:after="300" w:line="280" w:lineRule="exact"/>
        <w:outlineLvl w:val="3"/>
        <w:rPr>
          <w:rFonts w:ascii="宋体" w:eastAsia="宋体" w:hAnsi="宋体" w:cs="宋体"/>
          <w:b/>
          <w:bCs/>
          <w:szCs w:val="21"/>
        </w:rPr>
      </w:pPr>
      <w:bookmarkStart w:id="383" w:name="_Toc989411"/>
      <w:r>
        <w:rPr>
          <w:rFonts w:ascii="宋体" w:eastAsia="宋体" w:hAnsi="宋体" w:cs="宋体"/>
          <w:b/>
          <w:bCs/>
          <w:szCs w:val="21"/>
        </w:rPr>
        <w:t>（3） 公司</w:t>
      </w:r>
      <w:proofErr w:type="gramStart"/>
      <w:r>
        <w:rPr>
          <w:rFonts w:ascii="宋体" w:eastAsia="宋体" w:hAnsi="宋体" w:cs="宋体"/>
          <w:b/>
          <w:bCs/>
          <w:szCs w:val="21"/>
        </w:rPr>
        <w:t>无报告</w:t>
      </w:r>
      <w:proofErr w:type="gramEnd"/>
      <w:r>
        <w:rPr>
          <w:rFonts w:ascii="宋体" w:eastAsia="宋体" w:hAnsi="宋体" w:cs="宋体"/>
          <w:b/>
          <w:bCs/>
          <w:szCs w:val="21"/>
        </w:rPr>
        <w:t>分部的，或者不能披露各报告分部的资产总额和负债总额的，应说明原因</w:t>
      </w:r>
      <w:bookmarkEnd w:id="383"/>
    </w:p>
    <w:p w:rsidR="005C49A8" w:rsidRDefault="005C49A8">
      <w:pPr>
        <w:pStyle w:val="a3"/>
        <w:divId w:val="206843637"/>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384" w:name="_Toc989412"/>
      <w:r>
        <w:rPr>
          <w:rFonts w:ascii="宋体" w:eastAsia="宋体" w:hAnsi="宋体" w:cs="宋体"/>
          <w:b/>
          <w:bCs/>
          <w:szCs w:val="21"/>
        </w:rPr>
        <w:t>（4） 其他说明</w:t>
      </w:r>
      <w:bookmarkEnd w:id="384"/>
    </w:p>
    <w:p w:rsidR="005C49A8" w:rsidRDefault="005C49A8">
      <w:pPr>
        <w:pStyle w:val="a3"/>
        <w:divId w:val="2021618921"/>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85" w:name="_Toc989413"/>
      <w:r>
        <w:rPr>
          <w:rFonts w:ascii="宋体" w:hAnsi="宋体" w:cs="宋体"/>
          <w:b/>
          <w:bCs/>
        </w:rPr>
        <w:t>7、其他对投资者决策有影响的重要交易和事项</w:t>
      </w:r>
      <w:bookmarkEnd w:id="385"/>
    </w:p>
    <w:p w:rsidR="005C49A8" w:rsidRDefault="005C49A8">
      <w:pPr>
        <w:pStyle w:val="a3"/>
        <w:divId w:val="879824535"/>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386" w:name="_Toc989414"/>
      <w:r>
        <w:rPr>
          <w:rFonts w:ascii="宋体" w:hAnsi="宋体" w:cs="宋体"/>
          <w:b/>
          <w:bCs/>
        </w:rPr>
        <w:lastRenderedPageBreak/>
        <w:t>8、其他</w:t>
      </w:r>
      <w:bookmarkEnd w:id="386"/>
    </w:p>
    <w:p w:rsidR="005C49A8" w:rsidRDefault="005C49A8">
      <w:pPr>
        <w:pStyle w:val="a3"/>
        <w:divId w:val="851839569"/>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387" w:name="_Toc989415"/>
      <w:r>
        <w:rPr>
          <w:rFonts w:ascii="宋体" w:eastAsia="宋体" w:hAnsi="宋体" w:cs="宋体"/>
          <w:b/>
          <w:bCs/>
          <w:sz w:val="24"/>
          <w:szCs w:val="24"/>
        </w:rPr>
        <w:t>十九、母公司财务报表主要项目注释</w:t>
      </w:r>
      <w:bookmarkEnd w:id="387"/>
    </w:p>
    <w:p w:rsidR="008820E4" w:rsidRDefault="005C49A8">
      <w:pPr>
        <w:pStyle w:val="3"/>
        <w:spacing w:line="280" w:lineRule="exact"/>
        <w:jc w:val="left"/>
        <w:rPr>
          <w:rFonts w:ascii="宋体" w:hAnsi="宋体" w:cs="宋体"/>
          <w:b/>
          <w:bCs/>
        </w:rPr>
      </w:pPr>
      <w:bookmarkStart w:id="388" w:name="_Toc989416"/>
      <w:r>
        <w:rPr>
          <w:rFonts w:ascii="宋体" w:hAnsi="宋体" w:cs="宋体"/>
          <w:b/>
          <w:bCs/>
        </w:rPr>
        <w:t>1、应收账款</w:t>
      </w:r>
      <w:bookmarkEnd w:id="388"/>
    </w:p>
    <w:p w:rsidR="008820E4" w:rsidRDefault="005C49A8">
      <w:pPr>
        <w:keepNext/>
        <w:keepLines/>
        <w:spacing w:before="300" w:after="300" w:line="280" w:lineRule="exact"/>
        <w:outlineLvl w:val="3"/>
        <w:rPr>
          <w:rFonts w:ascii="宋体" w:eastAsia="宋体" w:hAnsi="宋体" w:cs="宋体"/>
          <w:b/>
          <w:bCs/>
          <w:szCs w:val="21"/>
        </w:rPr>
      </w:pPr>
      <w:bookmarkStart w:id="389" w:name="_Toc989417"/>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389"/>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r>
    </w:tbl>
    <w:p w:rsidR="008820E4" w:rsidRDefault="005C49A8">
      <w:pPr>
        <w:keepNext/>
        <w:keepLines/>
        <w:spacing w:before="300" w:after="300" w:line="280" w:lineRule="exact"/>
        <w:outlineLvl w:val="3"/>
        <w:rPr>
          <w:rFonts w:ascii="宋体" w:eastAsia="宋体" w:hAnsi="宋体" w:cs="宋体"/>
          <w:b/>
          <w:bCs/>
          <w:szCs w:val="21"/>
        </w:rPr>
      </w:pPr>
      <w:bookmarkStart w:id="390" w:name="_Toc989418"/>
      <w:r>
        <w:rPr>
          <w:rFonts w:ascii="宋体" w:eastAsia="宋体" w:hAnsi="宋体" w:cs="宋体"/>
          <w:b/>
          <w:bCs/>
          <w:szCs w:val="21"/>
        </w:rPr>
        <w:t>（2） 按坏账计提方法分类披露</w:t>
      </w:r>
      <w:bookmarkEnd w:id="39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122,764.86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5,125,494.13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68.65%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4,869,219.42</w:t>
            </w:r>
          </w:p>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2,341,088.03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31.35%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2,341,088.03</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117,837,080.06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7,466,582.16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7,210,307.45</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按组合计提坏账准备类别名称：性质组合</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性质组合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117,714,315.20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391" w:name="_Toc989419"/>
      <w:r>
        <w:rPr>
          <w:rFonts w:ascii="宋体" w:eastAsia="宋体" w:hAnsi="宋体" w:cs="宋体"/>
          <w:b/>
          <w:bCs/>
          <w:szCs w:val="21"/>
        </w:rPr>
        <w:t>（3） 本期计提、收回或转回的坏账准备情况</w:t>
      </w:r>
      <w:bookmarkEnd w:id="391"/>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249,813.40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256,274.71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249,813.40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bl>
    <w:p w:rsidR="008820E4" w:rsidRDefault="005C49A8">
      <w:pPr>
        <w:keepNext/>
        <w:keepLines/>
        <w:spacing w:before="300" w:after="300" w:line="280" w:lineRule="exact"/>
        <w:outlineLvl w:val="3"/>
        <w:rPr>
          <w:rFonts w:ascii="宋体" w:eastAsia="宋体" w:hAnsi="宋体" w:cs="宋体"/>
          <w:b/>
          <w:bCs/>
          <w:szCs w:val="21"/>
        </w:rPr>
      </w:pPr>
      <w:bookmarkStart w:id="392" w:name="_Toc989420"/>
      <w:r>
        <w:rPr>
          <w:rFonts w:ascii="宋体" w:eastAsia="宋体" w:hAnsi="宋体" w:cs="宋体"/>
          <w:b/>
          <w:bCs/>
          <w:szCs w:val="21"/>
        </w:rPr>
        <w:t>（4） 本期实际核销的应收账款情况</w:t>
      </w:r>
      <w:bookmarkEnd w:id="392"/>
    </w:p>
    <w:p w:rsidR="008820E4" w:rsidRDefault="005C49A8">
      <w:pPr>
        <w:keepNext/>
        <w:keepLines/>
        <w:spacing w:before="300" w:after="300" w:line="280" w:lineRule="exact"/>
        <w:outlineLvl w:val="3"/>
        <w:rPr>
          <w:rFonts w:ascii="宋体" w:eastAsia="宋体" w:hAnsi="宋体" w:cs="宋体"/>
          <w:b/>
          <w:bCs/>
          <w:szCs w:val="21"/>
        </w:rPr>
      </w:pPr>
      <w:bookmarkStart w:id="393" w:name="_Toc989421"/>
      <w:r>
        <w:rPr>
          <w:rFonts w:ascii="宋体" w:eastAsia="宋体" w:hAnsi="宋体" w:cs="宋体"/>
          <w:b/>
          <w:bCs/>
          <w:szCs w:val="21"/>
        </w:rPr>
        <w:t>（5） 按欠款方归集的期末余额前五名的应收账款和合同资产情况</w:t>
      </w:r>
      <w:bookmarkEnd w:id="39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62,490,378.96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62,490,378.96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53.03%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52,918,468.63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52,918,468.63</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44.90%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2,305,467.61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2,305,467.61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1.96%</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129,226.17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0.11%</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r w:rsidR="008820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117,843,541.37</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6,461.31</w:t>
            </w:r>
          </w:p>
        </w:tc>
      </w:tr>
    </w:tbl>
    <w:p w:rsidR="008820E4" w:rsidRDefault="005C49A8">
      <w:pPr>
        <w:pStyle w:val="3"/>
        <w:spacing w:line="280" w:lineRule="exact"/>
        <w:jc w:val="left"/>
        <w:rPr>
          <w:rFonts w:ascii="宋体" w:hAnsi="宋体" w:cs="宋体"/>
          <w:b/>
          <w:bCs/>
        </w:rPr>
      </w:pPr>
      <w:bookmarkStart w:id="394" w:name="_Toc989422"/>
      <w:r>
        <w:rPr>
          <w:rFonts w:ascii="宋体" w:hAnsi="宋体" w:cs="宋体"/>
          <w:b/>
          <w:bCs/>
        </w:rPr>
        <w:t>2、其他应收款</w:t>
      </w:r>
      <w:bookmarkEnd w:id="394"/>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keepNext/>
        <w:keepLines/>
        <w:spacing w:before="300" w:after="300" w:line="280" w:lineRule="exact"/>
        <w:outlineLvl w:val="3"/>
        <w:rPr>
          <w:rFonts w:ascii="宋体" w:eastAsia="宋体" w:hAnsi="宋体" w:cs="宋体"/>
          <w:b/>
          <w:bCs/>
          <w:sz w:val="18"/>
          <w:szCs w:val="18"/>
        </w:rPr>
      </w:pPr>
      <w:bookmarkStart w:id="395" w:name="_Toc989423"/>
      <w:r>
        <w:rPr>
          <w:rFonts w:ascii="宋体" w:eastAsia="宋体" w:hAnsi="宋体" w:cs="宋体"/>
          <w:b/>
          <w:bCs/>
          <w:sz w:val="18"/>
          <w:szCs w:val="18"/>
        </w:rPr>
        <w:lastRenderedPageBreak/>
        <w:t>（1） 应收利息</w:t>
      </w:r>
      <w:bookmarkEnd w:id="395"/>
    </w:p>
    <w:p w:rsidR="008820E4" w:rsidRDefault="005C49A8">
      <w:pPr>
        <w:keepNext/>
        <w:keepLines/>
        <w:spacing w:before="300" w:after="300" w:line="280" w:lineRule="exact"/>
        <w:outlineLvl w:val="4"/>
        <w:rPr>
          <w:rFonts w:ascii="宋体" w:eastAsia="宋体" w:hAnsi="宋体" w:cs="宋体"/>
          <w:b/>
          <w:bCs/>
          <w:sz w:val="18"/>
          <w:szCs w:val="18"/>
        </w:rPr>
      </w:pPr>
      <w:bookmarkStart w:id="396" w:name="_Toc989424"/>
      <w:r>
        <w:rPr>
          <w:rFonts w:ascii="宋体" w:eastAsia="宋体" w:hAnsi="宋体" w:cs="宋体"/>
          <w:b/>
          <w:bCs/>
          <w:sz w:val="18"/>
          <w:szCs w:val="18"/>
        </w:rPr>
        <w:t>1） 应收利息分类</w:t>
      </w:r>
      <w:bookmarkEnd w:id="396"/>
    </w:p>
    <w:p w:rsidR="008820E4" w:rsidRDefault="005C49A8">
      <w:pPr>
        <w:keepNext/>
        <w:keepLines/>
        <w:spacing w:before="300" w:after="300" w:line="280" w:lineRule="exact"/>
        <w:outlineLvl w:val="4"/>
        <w:rPr>
          <w:rFonts w:ascii="宋体" w:eastAsia="宋体" w:hAnsi="宋体" w:cs="宋体"/>
          <w:b/>
          <w:bCs/>
          <w:sz w:val="18"/>
          <w:szCs w:val="18"/>
        </w:rPr>
      </w:pPr>
      <w:bookmarkStart w:id="397" w:name="_Toc989425"/>
      <w:r>
        <w:rPr>
          <w:rFonts w:ascii="宋体" w:eastAsia="宋体" w:hAnsi="宋体" w:cs="宋体"/>
          <w:b/>
          <w:bCs/>
          <w:sz w:val="18"/>
          <w:szCs w:val="18"/>
        </w:rPr>
        <w:t>2） 重要逾期利息</w:t>
      </w:r>
      <w:bookmarkEnd w:id="397"/>
    </w:p>
    <w:p w:rsidR="008820E4" w:rsidRDefault="005C49A8">
      <w:pPr>
        <w:keepNext/>
        <w:keepLines/>
        <w:spacing w:before="300" w:after="300" w:line="280" w:lineRule="exact"/>
        <w:outlineLvl w:val="4"/>
        <w:rPr>
          <w:rFonts w:ascii="宋体" w:eastAsia="宋体" w:hAnsi="宋体" w:cs="宋体"/>
          <w:b/>
          <w:bCs/>
          <w:sz w:val="18"/>
          <w:szCs w:val="18"/>
        </w:rPr>
      </w:pPr>
      <w:bookmarkStart w:id="398" w:name="_Toc989426"/>
      <w:r>
        <w:rPr>
          <w:rFonts w:ascii="宋体" w:eastAsia="宋体" w:hAnsi="宋体" w:cs="宋体"/>
          <w:b/>
          <w:bCs/>
          <w:sz w:val="18"/>
          <w:szCs w:val="18"/>
        </w:rPr>
        <w:t>3） 按坏账计提方法分类披露</w:t>
      </w:r>
      <w:bookmarkEnd w:id="398"/>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399" w:name="_Toc989427"/>
      <w:r>
        <w:rPr>
          <w:rFonts w:ascii="宋体" w:eastAsia="宋体" w:hAnsi="宋体" w:cs="宋体"/>
          <w:b/>
          <w:bCs/>
          <w:sz w:val="18"/>
          <w:szCs w:val="18"/>
        </w:rPr>
        <w:t>4） 本期计提、收回或转回的坏账准备的情况</w:t>
      </w:r>
      <w:bookmarkEnd w:id="399"/>
    </w:p>
    <w:p w:rsidR="005C49A8" w:rsidRDefault="005C49A8">
      <w:pPr>
        <w:pStyle w:val="a3"/>
        <w:divId w:val="1059014022"/>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400" w:name="_Toc989428"/>
      <w:r>
        <w:rPr>
          <w:rFonts w:ascii="宋体" w:eastAsia="宋体" w:hAnsi="宋体" w:cs="宋体"/>
          <w:b/>
          <w:bCs/>
          <w:sz w:val="18"/>
          <w:szCs w:val="18"/>
        </w:rPr>
        <w:t>5） 本期实际核销的应收利息情况</w:t>
      </w:r>
      <w:bookmarkEnd w:id="400"/>
    </w:p>
    <w:p w:rsidR="005C49A8" w:rsidRDefault="005C49A8">
      <w:pPr>
        <w:pStyle w:val="a3"/>
        <w:divId w:val="1011108222"/>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401" w:name="_Toc989429"/>
      <w:r>
        <w:rPr>
          <w:rFonts w:ascii="宋体" w:eastAsia="宋体" w:hAnsi="宋体" w:cs="宋体"/>
          <w:b/>
          <w:bCs/>
          <w:sz w:val="18"/>
          <w:szCs w:val="18"/>
        </w:rPr>
        <w:t>（2） 应收股利</w:t>
      </w:r>
      <w:bookmarkEnd w:id="401"/>
    </w:p>
    <w:p w:rsidR="008820E4" w:rsidRDefault="005C49A8">
      <w:pPr>
        <w:keepNext/>
        <w:keepLines/>
        <w:spacing w:before="300" w:after="300" w:line="280" w:lineRule="exact"/>
        <w:outlineLvl w:val="4"/>
        <w:rPr>
          <w:rFonts w:ascii="宋体" w:eastAsia="宋体" w:hAnsi="宋体" w:cs="宋体"/>
          <w:b/>
          <w:bCs/>
          <w:sz w:val="18"/>
          <w:szCs w:val="18"/>
        </w:rPr>
      </w:pPr>
      <w:bookmarkStart w:id="402" w:name="_Toc989430"/>
      <w:r>
        <w:rPr>
          <w:rFonts w:ascii="宋体" w:eastAsia="宋体" w:hAnsi="宋体" w:cs="宋体"/>
          <w:b/>
          <w:bCs/>
          <w:sz w:val="18"/>
          <w:szCs w:val="18"/>
        </w:rPr>
        <w:t>1） 应收股利分类</w:t>
      </w:r>
      <w:bookmarkEnd w:id="402"/>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03" w:name="_Toc989431"/>
      <w:r>
        <w:rPr>
          <w:rFonts w:ascii="宋体" w:eastAsia="宋体" w:hAnsi="宋体" w:cs="宋体"/>
          <w:b/>
          <w:bCs/>
          <w:sz w:val="18"/>
          <w:szCs w:val="18"/>
        </w:rPr>
        <w:t>2） 重要的账龄超过1年的应收股利</w:t>
      </w:r>
      <w:bookmarkEnd w:id="403"/>
    </w:p>
    <w:p w:rsidR="008820E4" w:rsidRDefault="005C49A8">
      <w:pPr>
        <w:keepNext/>
        <w:keepLines/>
        <w:spacing w:before="300" w:after="300" w:line="280" w:lineRule="exact"/>
        <w:outlineLvl w:val="4"/>
        <w:rPr>
          <w:rFonts w:ascii="宋体" w:eastAsia="宋体" w:hAnsi="宋体" w:cs="宋体"/>
          <w:b/>
          <w:bCs/>
          <w:sz w:val="18"/>
          <w:szCs w:val="18"/>
        </w:rPr>
      </w:pPr>
      <w:bookmarkStart w:id="404" w:name="_Toc989432"/>
      <w:r>
        <w:rPr>
          <w:rFonts w:ascii="宋体" w:eastAsia="宋体" w:hAnsi="宋体" w:cs="宋体"/>
          <w:b/>
          <w:bCs/>
          <w:sz w:val="18"/>
          <w:szCs w:val="18"/>
        </w:rPr>
        <w:t>3） 按坏账计提方法分类披露</w:t>
      </w:r>
      <w:bookmarkEnd w:id="404"/>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405" w:name="_Toc989433"/>
      <w:r>
        <w:rPr>
          <w:rFonts w:ascii="宋体" w:eastAsia="宋体" w:hAnsi="宋体" w:cs="宋体"/>
          <w:b/>
          <w:bCs/>
          <w:sz w:val="18"/>
          <w:szCs w:val="18"/>
        </w:rPr>
        <w:t>4） 本期计提、收回或转回的坏账准备的情况</w:t>
      </w:r>
      <w:bookmarkEnd w:id="405"/>
    </w:p>
    <w:p w:rsidR="005C49A8" w:rsidRDefault="005C49A8">
      <w:pPr>
        <w:pStyle w:val="a3"/>
        <w:divId w:val="315306950"/>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406" w:name="_Toc989434"/>
      <w:r>
        <w:rPr>
          <w:rFonts w:ascii="宋体" w:eastAsia="宋体" w:hAnsi="宋体" w:cs="宋体"/>
          <w:b/>
          <w:bCs/>
          <w:sz w:val="18"/>
          <w:szCs w:val="18"/>
        </w:rPr>
        <w:t>5） 本期实际核销的应收股利情况</w:t>
      </w:r>
      <w:bookmarkEnd w:id="406"/>
    </w:p>
    <w:p w:rsidR="005C49A8" w:rsidRDefault="005C49A8">
      <w:pPr>
        <w:pStyle w:val="a3"/>
        <w:divId w:val="1497190258"/>
        <w:rPr>
          <w:sz w:val="18"/>
          <w:szCs w:val="18"/>
        </w:rPr>
      </w:pP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 w:val="18"/>
          <w:szCs w:val="18"/>
        </w:rPr>
      </w:pPr>
      <w:bookmarkStart w:id="407" w:name="_Toc989435"/>
      <w:r>
        <w:rPr>
          <w:rFonts w:ascii="宋体" w:eastAsia="宋体" w:hAnsi="宋体" w:cs="宋体"/>
          <w:b/>
          <w:bCs/>
          <w:sz w:val="18"/>
          <w:szCs w:val="18"/>
        </w:rPr>
        <w:t>（3） 其他应收款</w:t>
      </w:r>
      <w:bookmarkEnd w:id="407"/>
    </w:p>
    <w:p w:rsidR="008820E4" w:rsidRDefault="005C49A8">
      <w:pPr>
        <w:keepNext/>
        <w:keepLines/>
        <w:spacing w:before="300" w:after="300" w:line="280" w:lineRule="exact"/>
        <w:outlineLvl w:val="4"/>
        <w:rPr>
          <w:rFonts w:ascii="宋体" w:eastAsia="宋体" w:hAnsi="宋体" w:cs="宋体"/>
          <w:b/>
          <w:bCs/>
          <w:sz w:val="18"/>
          <w:szCs w:val="18"/>
        </w:rPr>
      </w:pPr>
      <w:bookmarkStart w:id="408" w:name="_Toc989436"/>
      <w:r>
        <w:rPr>
          <w:rFonts w:ascii="宋体" w:eastAsia="宋体" w:hAnsi="宋体" w:cs="宋体"/>
          <w:b/>
          <w:bCs/>
          <w:sz w:val="18"/>
          <w:szCs w:val="18"/>
        </w:rPr>
        <w:t>1） 其他应收款按款项性质分类情况</w:t>
      </w:r>
      <w:bookmarkEnd w:id="408"/>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045950">
            <w:pPr>
              <w:spacing w:line="0" w:lineRule="atLeast"/>
              <w:rPr>
                <w:rFonts w:ascii="宋体" w:eastAsia="宋体" w:hAnsi="宋体" w:cs="宋体"/>
                <w:sz w:val="18"/>
                <w:szCs w:val="18"/>
              </w:rPr>
            </w:pPr>
            <w:r w:rsidRPr="00045950">
              <w:rPr>
                <w:rFonts w:ascii="宋体" w:eastAsia="宋体" w:hAnsi="宋体" w:cs="宋体" w:hint="eastAsia"/>
                <w:sz w:val="18"/>
                <w:szCs w:val="18"/>
              </w:rPr>
              <w:lastRenderedPageBreak/>
              <w:t>代付款</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137,371.83</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19,115,777.77</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09" w:name="_Toc989437"/>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40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期初账面余额</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12,676,799.57</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23,627,985.87</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1,735.99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2,084,444.44</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19,120,777.78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17,036,333.33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2,084,444.45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7,331,333.33</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7,331,333.33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A64732">
            <w:pPr>
              <w:spacing w:before="40" w:after="40" w:line="0" w:lineRule="atLeast"/>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9,705,000.00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31,799,313.34</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10" w:name="_Toc989438"/>
      <w:r>
        <w:rPr>
          <w:rFonts w:ascii="宋体" w:eastAsia="宋体" w:hAnsi="宋体" w:cs="宋体"/>
          <w:b/>
          <w:bCs/>
          <w:sz w:val="18"/>
          <w:szCs w:val="18"/>
        </w:rPr>
        <w:t>3） 按坏账计提方法分类披露</w:t>
      </w:r>
      <w:bookmarkEnd w:id="41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8820E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60.11%</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12,683,535.56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39.89%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rsidP="00132FE9">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1.02%</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118,425.16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19,253,149.60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61.57%</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7,398,975.45</w:t>
            </w:r>
          </w:p>
        </w:tc>
      </w:tr>
      <w:tr w:rsidR="008820E4" w:rsidTr="00177DA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合并范围内关联方组合</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98.98%</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54.96%</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23,495,614.04</w:t>
            </w:r>
          </w:p>
        </w:tc>
      </w:tr>
      <w:tr w:rsidR="008820E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31,799,313.34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12,672,211.29</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42,748,763.64</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27.73%</w:t>
            </w:r>
          </w:p>
        </w:tc>
        <w:tc>
          <w:tcPr>
            <w:tcW w:w="87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30,894,589.49</w:t>
            </w:r>
          </w:p>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计提理由</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江苏</w:t>
            </w:r>
            <w:proofErr w:type="gramStart"/>
            <w:r>
              <w:rPr>
                <w:rFonts w:ascii="宋体" w:eastAsia="宋体" w:hAnsi="宋体" w:cs="宋体"/>
                <w:sz w:val="18"/>
                <w:szCs w:val="18"/>
              </w:rPr>
              <w:t>传澄文化</w:t>
            </w:r>
            <w:proofErr w:type="gramEnd"/>
            <w:r>
              <w:rPr>
                <w:rFonts w:ascii="宋体" w:eastAsia="宋体" w:hAnsi="宋体" w:cs="宋体"/>
                <w:sz w:val="18"/>
                <w:szCs w:val="18"/>
              </w:rPr>
              <w:t>传播有限公司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11,846,111.11</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市传澄</w:t>
            </w:r>
            <w:proofErr w:type="gramEnd"/>
            <w:r>
              <w:rPr>
                <w:rFonts w:ascii="宋体" w:eastAsia="宋体" w:hAnsi="宋体" w:cs="宋体"/>
                <w:sz w:val="18"/>
                <w:szCs w:val="18"/>
              </w:rPr>
              <w:t>电</w:t>
            </w:r>
            <w:r>
              <w:rPr>
                <w:rFonts w:ascii="宋体" w:eastAsia="宋体" w:hAnsi="宋体" w:cs="宋体"/>
                <w:sz w:val="18"/>
                <w:szCs w:val="18"/>
              </w:rPr>
              <w:lastRenderedPageBreak/>
              <w:t>子商务有限公司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7,269,666.67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7,269,666.67</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预计无法收回</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按组合计提坏账准备类别名称：预期信用风险组合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8.73%</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129,749.43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按组合计提坏账准备类别名称：合并范围内关联方组合</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计提比例</w:t>
            </w:r>
          </w:p>
        </w:tc>
      </w:tr>
      <w:tr w:rsidR="008820E4" w:rsidTr="00177DA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合并范围内关联方组合</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12,553,786.13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2025年6月30日余额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r>
    </w:tbl>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各阶段划分依据和坏账准备计提比例</w:t>
      </w:r>
      <w:r w:rsidR="00A64732">
        <w:rPr>
          <w:rFonts w:ascii="宋体" w:eastAsia="宋体" w:hAnsi="宋体" w:cs="宋体" w:hint="eastAsia"/>
          <w:sz w:val="18"/>
          <w:szCs w:val="18"/>
        </w:rPr>
        <w:t>：</w:t>
      </w:r>
      <w:r>
        <w:rPr>
          <w:rFonts w:hint="eastAsia"/>
          <w:sz w:val="18"/>
          <w:szCs w:val="18"/>
        </w:rPr>
        <w:t>无。</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4"/>
        <w:rPr>
          <w:rFonts w:ascii="宋体" w:eastAsia="宋体" w:hAnsi="宋体" w:cs="宋体"/>
          <w:b/>
          <w:bCs/>
          <w:sz w:val="18"/>
          <w:szCs w:val="18"/>
        </w:rPr>
      </w:pPr>
      <w:bookmarkStart w:id="411" w:name="_Toc989439"/>
      <w:r>
        <w:rPr>
          <w:rFonts w:ascii="宋体" w:eastAsia="宋体" w:hAnsi="宋体" w:cs="宋体"/>
          <w:b/>
          <w:bCs/>
          <w:sz w:val="18"/>
          <w:szCs w:val="18"/>
        </w:rPr>
        <w:t>4） 本期计提、收回或转回的坏账准备情况</w:t>
      </w:r>
      <w:bookmarkEnd w:id="411"/>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按单项计提坏账准备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r>
      <w:tr w:rsidR="008820E4" w:rsidTr="00177DA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11,324.27</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11,854,174.15</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19,115,777.78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11,842,849.88</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19,127,102.05</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12" w:name="_Toc989440"/>
      <w:r>
        <w:rPr>
          <w:rFonts w:ascii="宋体" w:eastAsia="宋体" w:hAnsi="宋体" w:cs="宋体"/>
          <w:b/>
          <w:bCs/>
          <w:sz w:val="18"/>
          <w:szCs w:val="18"/>
        </w:rPr>
        <w:lastRenderedPageBreak/>
        <w:t>5） 本期实际核销的其他应收款情况</w:t>
      </w:r>
      <w:bookmarkEnd w:id="412"/>
    </w:p>
    <w:p w:rsidR="005C49A8" w:rsidRDefault="005C49A8">
      <w:pPr>
        <w:pStyle w:val="a3"/>
        <w:divId w:val="1524399744"/>
        <w:rPr>
          <w:sz w:val="18"/>
          <w:szCs w:val="18"/>
        </w:rPr>
      </w:pPr>
      <w:r>
        <w:rPr>
          <w:rFonts w:hint="eastAsia"/>
          <w:sz w:val="18"/>
          <w:szCs w:val="18"/>
        </w:rPr>
        <w:t>无。</w:t>
      </w:r>
    </w:p>
    <w:p w:rsidR="008820E4" w:rsidRDefault="005C49A8">
      <w:pPr>
        <w:keepNext/>
        <w:keepLines/>
        <w:spacing w:before="300" w:after="300" w:line="280" w:lineRule="exact"/>
        <w:outlineLvl w:val="4"/>
        <w:rPr>
          <w:rFonts w:ascii="宋体" w:eastAsia="宋体" w:hAnsi="宋体" w:cs="宋体"/>
          <w:b/>
          <w:bCs/>
          <w:sz w:val="18"/>
          <w:szCs w:val="18"/>
        </w:rPr>
      </w:pPr>
      <w:bookmarkStart w:id="413" w:name="_Toc989441"/>
      <w:r>
        <w:rPr>
          <w:rFonts w:ascii="宋体" w:eastAsia="宋体" w:hAnsi="宋体" w:cs="宋体"/>
          <w:b/>
          <w:bCs/>
          <w:sz w:val="18"/>
          <w:szCs w:val="18"/>
        </w:rPr>
        <w:t>6） 按欠款方归集的期末余额前五名的其他应收款情况</w:t>
      </w:r>
      <w:bookmarkEnd w:id="413"/>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坏账准备期末余额</w:t>
            </w:r>
          </w:p>
        </w:tc>
      </w:tr>
      <w:tr w:rsidR="00177DA4" w:rsidTr="00177DA4">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1,129,444.45</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3.55%</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1,129,444.45</w:t>
            </w:r>
          </w:p>
        </w:tc>
      </w:tr>
      <w:tr w:rsidR="00177DA4" w:rsidTr="00177DA4">
        <w:trPr>
          <w:trHeight w:val="240"/>
        </w:trPr>
        <w:tc>
          <w:tcPr>
            <w:tcW w:w="1606" w:type="dxa"/>
            <w:vMerge/>
            <w:tcBorders>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1,016,666.66</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3.20%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1,016,666.66</w:t>
            </w:r>
          </w:p>
        </w:tc>
      </w:tr>
      <w:tr w:rsidR="00177DA4" w:rsidTr="00177DA4">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9,700,000.00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5年以上</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30.50%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9,700,000.00</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9,053,786.13</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28.47%</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177DA4" w:rsidTr="00EA52D0">
        <w:trPr>
          <w:trHeight w:val="240"/>
        </w:trPr>
        <w:tc>
          <w:tcPr>
            <w:tcW w:w="1606" w:type="dxa"/>
            <w:vMerge w:val="restart"/>
            <w:tcBorders>
              <w:top w:val="single" w:sz="2" w:space="0" w:color="auto"/>
              <w:left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955,000.00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3-4年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3.00%</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955,000.00</w:t>
            </w:r>
          </w:p>
        </w:tc>
      </w:tr>
      <w:tr w:rsidR="00177DA4" w:rsidTr="00EA52D0">
        <w:trPr>
          <w:trHeight w:val="240"/>
        </w:trPr>
        <w:tc>
          <w:tcPr>
            <w:tcW w:w="1606" w:type="dxa"/>
            <w:vMerge/>
            <w:tcBorders>
              <w:left w:val="single" w:sz="2" w:space="0" w:color="auto"/>
              <w:bottom w:val="single" w:sz="2" w:space="0" w:color="auto"/>
              <w:right w:val="single" w:sz="2" w:space="0" w:color="auto"/>
            </w:tcBorders>
            <w:shd w:val="clear" w:color="auto" w:fill="D3D3D3"/>
            <w:vAlign w:val="center"/>
          </w:tcPr>
          <w:p w:rsidR="00177DA4" w:rsidRDefault="00177DA4">
            <w:pPr>
              <w:spacing w:line="0" w:lineRule="atLeas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合并范围外关联方往来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6,314,666.67</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rPr>
                <w:rFonts w:ascii="宋体" w:eastAsia="宋体" w:hAnsi="宋体" w:cs="宋体"/>
                <w:sz w:val="18"/>
                <w:szCs w:val="18"/>
              </w:rPr>
            </w:pPr>
            <w:r>
              <w:rPr>
                <w:rFonts w:ascii="宋体" w:eastAsia="宋体" w:hAnsi="宋体" w:cs="宋体"/>
                <w:sz w:val="18"/>
                <w:szCs w:val="18"/>
              </w:rPr>
              <w:t>4-5年</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19.86%</w:t>
            </w:r>
          </w:p>
        </w:tc>
        <w:tc>
          <w:tcPr>
            <w:tcW w:w="1607" w:type="dxa"/>
            <w:tcBorders>
              <w:top w:val="single" w:sz="2" w:space="0" w:color="auto"/>
              <w:left w:val="single" w:sz="2" w:space="0" w:color="auto"/>
              <w:bottom w:val="single" w:sz="2" w:space="0" w:color="auto"/>
              <w:right w:val="single" w:sz="2" w:space="0" w:color="auto"/>
            </w:tcBorders>
            <w:vAlign w:val="center"/>
          </w:tcPr>
          <w:p w:rsidR="00177DA4" w:rsidRDefault="00177DA4">
            <w:pPr>
              <w:spacing w:line="0" w:lineRule="atLeast"/>
              <w:jc w:val="right"/>
              <w:rPr>
                <w:rFonts w:ascii="宋体" w:eastAsia="宋体" w:hAnsi="宋体" w:cs="宋体"/>
                <w:sz w:val="18"/>
                <w:szCs w:val="18"/>
              </w:rPr>
            </w:pPr>
            <w:r>
              <w:rPr>
                <w:rFonts w:ascii="宋体" w:eastAsia="宋体" w:hAnsi="宋体" w:cs="宋体"/>
                <w:sz w:val="18"/>
                <w:szCs w:val="18"/>
              </w:rPr>
              <w:t>6,314,666.67</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合并范围内关联方往来</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3,500,000.00</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11.01%</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暂借款</w:t>
            </w:r>
          </w:p>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123,013.44</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0.39%</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6,150.67</w:t>
            </w:r>
          </w:p>
        </w:tc>
      </w:tr>
      <w:tr w:rsidR="008820E4" w:rsidTr="00177D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6"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31,792,577.35</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99.98%</w:t>
            </w:r>
          </w:p>
        </w:tc>
        <w:tc>
          <w:tcPr>
            <w:tcW w:w="160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19,121,928.45</w:t>
            </w:r>
          </w:p>
        </w:tc>
      </w:tr>
    </w:tbl>
    <w:p w:rsidR="008820E4" w:rsidRDefault="005C49A8">
      <w:pPr>
        <w:keepNext/>
        <w:keepLines/>
        <w:spacing w:before="300" w:after="300" w:line="280" w:lineRule="exact"/>
        <w:outlineLvl w:val="4"/>
        <w:rPr>
          <w:rFonts w:ascii="宋体" w:eastAsia="宋体" w:hAnsi="宋体" w:cs="宋体"/>
          <w:b/>
          <w:bCs/>
          <w:sz w:val="18"/>
          <w:szCs w:val="18"/>
        </w:rPr>
      </w:pPr>
      <w:bookmarkStart w:id="414" w:name="_Toc989442"/>
      <w:r>
        <w:rPr>
          <w:rFonts w:ascii="宋体" w:eastAsia="宋体" w:hAnsi="宋体" w:cs="宋体"/>
          <w:b/>
          <w:bCs/>
          <w:sz w:val="18"/>
          <w:szCs w:val="18"/>
        </w:rPr>
        <w:t>7） 因资金集中管理而列报于其他应收款</w:t>
      </w:r>
      <w:bookmarkEnd w:id="414"/>
    </w:p>
    <w:p w:rsidR="005C49A8" w:rsidRDefault="005C49A8">
      <w:pPr>
        <w:pStyle w:val="a3"/>
        <w:divId w:val="580062146"/>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15" w:name="_Toc989443"/>
      <w:r>
        <w:rPr>
          <w:rFonts w:ascii="宋体" w:hAnsi="宋体" w:cs="宋体"/>
          <w:b/>
          <w:bCs/>
        </w:rPr>
        <w:t>3、长期股权投资</w:t>
      </w:r>
      <w:bookmarkEnd w:id="415"/>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8820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w:t>
            </w:r>
          </w:p>
        </w:tc>
      </w:tr>
      <w:tr w:rsidR="008820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账面价值</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r w:rsidR="008820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r>
    </w:tbl>
    <w:p w:rsidR="008820E4" w:rsidRDefault="005C49A8">
      <w:pPr>
        <w:keepNext/>
        <w:keepLines/>
        <w:spacing w:before="300" w:after="300" w:line="280" w:lineRule="exact"/>
        <w:outlineLvl w:val="3"/>
        <w:rPr>
          <w:rFonts w:ascii="宋体" w:eastAsia="宋体" w:hAnsi="宋体" w:cs="宋体"/>
          <w:b/>
          <w:bCs/>
          <w:szCs w:val="21"/>
        </w:rPr>
      </w:pPr>
      <w:bookmarkStart w:id="416" w:name="_Toc989444"/>
      <w:r>
        <w:rPr>
          <w:rFonts w:ascii="宋体" w:eastAsia="宋体" w:hAnsi="宋体" w:cs="宋体"/>
          <w:b/>
          <w:bCs/>
          <w:szCs w:val="21"/>
        </w:rPr>
        <w:t>（1） 对子公司投资</w:t>
      </w:r>
      <w:bookmarkEnd w:id="416"/>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减值准备期末余额</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深圳市华孚进出口有限公司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2,126,565,336.11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2,126,565,336.11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浙江金华华孚纺织</w:t>
            </w:r>
            <w:r>
              <w:rPr>
                <w:rFonts w:ascii="宋体" w:eastAsia="宋体" w:hAnsi="宋体" w:cs="宋体"/>
                <w:sz w:val="18"/>
                <w:szCs w:val="18"/>
              </w:rPr>
              <w:lastRenderedPageBreak/>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lastRenderedPageBreak/>
              <w:t>12,832,704.89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12,832,704.89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浙江华孚色纺有限公司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144,067,052.44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144,067,052.44</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淮北中新纺织有限公司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205,306,183.89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205,306,183.89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奎屯锦孚纺织有限公司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154,330,400.00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154,330,400.00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深圳华孚网链投资有限公司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新疆华孚棉业集团有限公司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1,000,000,000.00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4,143,101,677.33</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bl>
    <w:p w:rsidR="008820E4" w:rsidRDefault="005C49A8">
      <w:pPr>
        <w:keepNext/>
        <w:keepLines/>
        <w:spacing w:before="300" w:after="300" w:line="280" w:lineRule="exact"/>
        <w:outlineLvl w:val="3"/>
        <w:rPr>
          <w:rFonts w:ascii="宋体" w:eastAsia="宋体" w:hAnsi="宋体" w:cs="宋体"/>
          <w:b/>
          <w:bCs/>
          <w:szCs w:val="21"/>
        </w:rPr>
      </w:pPr>
      <w:bookmarkStart w:id="417" w:name="_Toc989445"/>
      <w:r>
        <w:rPr>
          <w:rFonts w:ascii="宋体" w:eastAsia="宋体" w:hAnsi="宋体" w:cs="宋体"/>
          <w:b/>
          <w:bCs/>
          <w:szCs w:val="21"/>
        </w:rPr>
        <w:t>（2） 对联营、合营企业投资</w:t>
      </w:r>
      <w:bookmarkEnd w:id="417"/>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A64732">
        <w:rPr>
          <w:rFonts w:ascii="宋体" w:eastAsia="宋体" w:hAnsi="宋体" w:cs="宋体" w:hint="eastAsia"/>
          <w:sz w:val="18"/>
          <w:szCs w:val="18"/>
        </w:rPr>
        <w:t>：</w:t>
      </w:r>
      <w:r>
        <w:rPr>
          <w:rFonts w:hint="eastAsia"/>
          <w:sz w:val="18"/>
          <w:szCs w:val="18"/>
        </w:rPr>
        <w:t>无。</w:t>
      </w:r>
    </w:p>
    <w:p w:rsidR="005C49A8" w:rsidRPr="00A64732" w:rsidRDefault="005C49A8" w:rsidP="00A64732">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r w:rsidR="00A64732">
        <w:rPr>
          <w:rFonts w:ascii="宋体" w:eastAsia="宋体" w:hAnsi="宋体" w:cs="宋体" w:hint="eastAsia"/>
          <w:sz w:val="18"/>
          <w:szCs w:val="18"/>
        </w:rPr>
        <w:t>：</w:t>
      </w:r>
      <w:r>
        <w:rPr>
          <w:rFonts w:hint="eastAsia"/>
          <w:sz w:val="18"/>
          <w:szCs w:val="18"/>
        </w:rPr>
        <w:t>无。</w:t>
      </w:r>
    </w:p>
    <w:p w:rsidR="008820E4" w:rsidRDefault="005C49A8">
      <w:pPr>
        <w:keepNext/>
        <w:keepLines/>
        <w:spacing w:before="300" w:after="300" w:line="280" w:lineRule="exact"/>
        <w:outlineLvl w:val="3"/>
        <w:rPr>
          <w:rFonts w:ascii="宋体" w:eastAsia="宋体" w:hAnsi="宋体" w:cs="宋体"/>
          <w:b/>
          <w:bCs/>
          <w:szCs w:val="21"/>
        </w:rPr>
      </w:pPr>
      <w:bookmarkStart w:id="418" w:name="_Toc989446"/>
      <w:r>
        <w:rPr>
          <w:rFonts w:ascii="宋体" w:eastAsia="宋体" w:hAnsi="宋体" w:cs="宋体"/>
          <w:b/>
          <w:bCs/>
          <w:szCs w:val="21"/>
        </w:rPr>
        <w:t>（3） 其他说明</w:t>
      </w:r>
      <w:bookmarkEnd w:id="418"/>
    </w:p>
    <w:p w:rsidR="005C49A8" w:rsidRDefault="005C49A8">
      <w:pPr>
        <w:pStyle w:val="a3"/>
        <w:divId w:val="1575778152"/>
        <w:rPr>
          <w:sz w:val="18"/>
          <w:szCs w:val="18"/>
        </w:rPr>
      </w:pPr>
      <w:r>
        <w:rPr>
          <w:rFonts w:hint="eastAsia"/>
          <w:sz w:val="18"/>
          <w:szCs w:val="18"/>
        </w:rPr>
        <w:t>无。</w:t>
      </w:r>
    </w:p>
    <w:p w:rsidR="008820E4" w:rsidRDefault="005C49A8">
      <w:pPr>
        <w:pStyle w:val="3"/>
        <w:spacing w:line="280" w:lineRule="exact"/>
        <w:jc w:val="left"/>
        <w:rPr>
          <w:rFonts w:ascii="宋体" w:hAnsi="宋体" w:cs="宋体"/>
          <w:b/>
          <w:bCs/>
        </w:rPr>
      </w:pPr>
      <w:bookmarkStart w:id="419" w:name="_Toc989447"/>
      <w:r>
        <w:rPr>
          <w:rFonts w:ascii="宋体" w:hAnsi="宋体" w:cs="宋体"/>
          <w:b/>
          <w:bCs/>
        </w:rPr>
        <w:t>4、营业收入和营业成本</w:t>
      </w:r>
      <w:bookmarkEnd w:id="419"/>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8820E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成本</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472,800,459.98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457,245,311.69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522,522,825.45</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424,878,105.21</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185,084.26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21,401.87</w:t>
            </w:r>
          </w:p>
        </w:tc>
      </w:tr>
      <w:tr w:rsidR="008820E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522,707,909.71</w:t>
            </w:r>
          </w:p>
        </w:tc>
        <w:tc>
          <w:tcPr>
            <w:tcW w:w="1928"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424,899,507.08</w:t>
            </w:r>
          </w:p>
        </w:tc>
      </w:tr>
    </w:tbl>
    <w:p w:rsidR="008820E4" w:rsidRDefault="005C49A8">
      <w:pPr>
        <w:spacing w:before="100" w:after="4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8820E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合计</w:t>
            </w:r>
          </w:p>
        </w:tc>
      </w:tr>
      <w:tr w:rsidR="008820E4">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营业成本</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纱线</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388,305,213.21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375,507,748.01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388,305,213.21</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375,507,748.01</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棉业</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84,495,246.77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81,737,563.68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84,495,246.77</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81,737,563.68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lastRenderedPageBreak/>
              <w:t>其他</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899,441.98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28,081.49</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境外销售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境内销售</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在某一时点转让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472,969,970.76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472,969,970.76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r w:rsidR="008820E4" w:rsidTr="00177DA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在某一时段内转让</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729,931.20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729,931.20</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r>
      <w:tr w:rsidR="008820E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473,699,901.96</w:t>
            </w:r>
          </w:p>
        </w:tc>
        <w:tc>
          <w:tcPr>
            <w:tcW w:w="1071"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457,273,393.18</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签订合同、但尚未履行或尚未履行完毕的履约义务所对应的收入金额为0.00元，其中，元预计将于年度确认收入，元预计将于年度确认收入，元预计将于年度确认收入。</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重大合同变更或重大交易价格调整</w:t>
      </w:r>
    </w:p>
    <w:p w:rsidR="008820E4" w:rsidRDefault="005C49A8">
      <w:pPr>
        <w:pStyle w:val="3"/>
        <w:spacing w:line="280" w:lineRule="exact"/>
        <w:jc w:val="left"/>
        <w:rPr>
          <w:rFonts w:ascii="宋体" w:hAnsi="宋体" w:cs="宋体"/>
          <w:b/>
          <w:bCs/>
        </w:rPr>
      </w:pPr>
      <w:bookmarkStart w:id="420" w:name="_Toc989448"/>
      <w:r>
        <w:rPr>
          <w:rFonts w:ascii="宋体" w:hAnsi="宋体" w:cs="宋体"/>
          <w:b/>
          <w:bCs/>
        </w:rPr>
        <w:t>5、投资收益</w:t>
      </w:r>
      <w:bookmarkEnd w:id="420"/>
    </w:p>
    <w:p w:rsidR="008820E4" w:rsidRDefault="005C49A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子公司分红取得的投资收益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4,868.14</w:t>
            </w:r>
          </w:p>
        </w:tc>
      </w:tr>
      <w:tr w:rsidR="008820E4" w:rsidTr="00177DA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line="0" w:lineRule="atLeast"/>
              <w:rPr>
                <w:rFonts w:ascii="宋体" w:eastAsia="宋体" w:hAnsi="宋体" w:cs="宋体"/>
                <w:sz w:val="18"/>
                <w:szCs w:val="18"/>
              </w:rPr>
            </w:pPr>
            <w:r>
              <w:rPr>
                <w:rFonts w:ascii="宋体" w:eastAsia="宋体" w:hAnsi="宋体" w:cs="宋体"/>
                <w:sz w:val="18"/>
                <w:szCs w:val="18"/>
              </w:rPr>
              <w:t>理财产品收益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835,995.55</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60,835,141.32</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840,863.69</w:t>
            </w:r>
          </w:p>
        </w:tc>
      </w:tr>
    </w:tbl>
    <w:p w:rsidR="008820E4" w:rsidRDefault="005C49A8">
      <w:pPr>
        <w:pStyle w:val="3"/>
        <w:spacing w:line="280" w:lineRule="exact"/>
        <w:jc w:val="left"/>
        <w:rPr>
          <w:rFonts w:ascii="宋体" w:hAnsi="宋体" w:cs="宋体"/>
          <w:b/>
          <w:bCs/>
        </w:rPr>
      </w:pPr>
      <w:bookmarkStart w:id="421" w:name="_Toc989449"/>
      <w:r>
        <w:rPr>
          <w:rFonts w:ascii="宋体" w:hAnsi="宋体" w:cs="宋体"/>
          <w:b/>
          <w:bCs/>
        </w:rPr>
        <w:t>6、其他</w:t>
      </w:r>
      <w:bookmarkEnd w:id="421"/>
    </w:p>
    <w:p w:rsidR="005C49A8" w:rsidRDefault="005C49A8">
      <w:pPr>
        <w:pStyle w:val="a3"/>
        <w:divId w:val="1289624742"/>
        <w:rPr>
          <w:sz w:val="18"/>
          <w:szCs w:val="18"/>
        </w:rPr>
      </w:pPr>
      <w:r>
        <w:rPr>
          <w:rFonts w:hint="eastAsia"/>
          <w:sz w:val="18"/>
          <w:szCs w:val="18"/>
        </w:rPr>
        <w:t>无。</w:t>
      </w:r>
    </w:p>
    <w:p w:rsidR="008820E4" w:rsidRDefault="005C49A8">
      <w:pPr>
        <w:pStyle w:val="2"/>
        <w:spacing w:before="300" w:after="300" w:line="320" w:lineRule="exact"/>
        <w:rPr>
          <w:rFonts w:ascii="宋体" w:eastAsia="宋体" w:hAnsi="宋体" w:cs="宋体"/>
          <w:b/>
          <w:bCs/>
          <w:sz w:val="24"/>
          <w:szCs w:val="24"/>
        </w:rPr>
      </w:pPr>
      <w:bookmarkStart w:id="422" w:name="_Toc989450"/>
      <w:r>
        <w:rPr>
          <w:rFonts w:ascii="宋体" w:eastAsia="宋体" w:hAnsi="宋体" w:cs="宋体"/>
          <w:b/>
          <w:bCs/>
          <w:sz w:val="24"/>
          <w:szCs w:val="24"/>
        </w:rPr>
        <w:lastRenderedPageBreak/>
        <w:t>二十、补充资料</w:t>
      </w:r>
      <w:bookmarkEnd w:id="422"/>
    </w:p>
    <w:p w:rsidR="008820E4" w:rsidRDefault="005C49A8">
      <w:pPr>
        <w:pStyle w:val="3"/>
        <w:spacing w:line="280" w:lineRule="exact"/>
        <w:jc w:val="left"/>
        <w:rPr>
          <w:rFonts w:ascii="宋体" w:hAnsi="宋体" w:cs="宋体"/>
          <w:b/>
          <w:bCs/>
        </w:rPr>
      </w:pPr>
      <w:bookmarkStart w:id="423" w:name="_Toc989451"/>
      <w:r>
        <w:rPr>
          <w:rFonts w:ascii="宋体" w:hAnsi="宋体" w:cs="宋体"/>
          <w:b/>
          <w:bCs/>
        </w:rPr>
        <w:t>1、当期非经常性损益明细表</w:t>
      </w:r>
      <w:bookmarkEnd w:id="423"/>
    </w:p>
    <w:p w:rsidR="008820E4" w:rsidRDefault="005C49A8">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820E4" w:rsidRDefault="005C49A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说明</w:t>
            </w: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49,851,783.39</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26,752,113.90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32,477,354.80</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委托他人投资或管理资产的损益</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1,317,071.25</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-1,302,257.26</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22,556,032.08</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6,999,729.73</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8820E4">
            <w:pPr>
              <w:spacing w:line="0" w:lineRule="atLeast"/>
              <w:rPr>
                <w:rFonts w:ascii="宋体" w:eastAsia="宋体" w:hAnsi="宋体" w:cs="宋体"/>
                <w:sz w:val="18"/>
                <w:szCs w:val="18"/>
              </w:rPr>
            </w:pPr>
          </w:p>
        </w:tc>
      </w:tr>
      <w:tr w:rsidR="008820E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79,540,304.27</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bl>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8820E4" w:rsidRDefault="005C49A8">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pStyle w:val="3"/>
        <w:spacing w:line="280" w:lineRule="exact"/>
        <w:jc w:val="left"/>
        <w:rPr>
          <w:rFonts w:ascii="宋体" w:hAnsi="宋体" w:cs="宋体"/>
          <w:b/>
          <w:bCs/>
        </w:rPr>
      </w:pPr>
      <w:bookmarkStart w:id="424" w:name="_Toc989452"/>
      <w:r>
        <w:rPr>
          <w:rFonts w:ascii="宋体" w:hAnsi="宋体" w:cs="宋体"/>
          <w:b/>
          <w:bCs/>
        </w:rPr>
        <w:t>2、净资产收益率及每股收益</w:t>
      </w:r>
      <w:bookmarkEnd w:id="42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8820E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每股收益</w:t>
            </w:r>
          </w:p>
        </w:tc>
      </w:tr>
      <w:tr w:rsidR="008820E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8820E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jc w:val="center"/>
              <w:rPr>
                <w:rFonts w:ascii="宋体" w:eastAsia="宋体" w:hAnsi="宋体" w:cs="宋体"/>
                <w:sz w:val="18"/>
                <w:szCs w:val="18"/>
              </w:rPr>
            </w:pPr>
            <w:r>
              <w:rPr>
                <w:rFonts w:ascii="宋体" w:eastAsia="宋体" w:hAnsi="宋体" w:cs="宋体"/>
                <w:sz w:val="18"/>
                <w:szCs w:val="18"/>
              </w:rPr>
              <w:t>稀释每股收益（元/股）</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0.43%</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0.02</w:t>
            </w:r>
          </w:p>
        </w:tc>
      </w:tr>
      <w:tr w:rsidR="008820E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8820E4" w:rsidRDefault="005C49A8">
            <w:pPr>
              <w:spacing w:before="40" w:after="40" w:line="0" w:lineRule="atLeas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-0.94%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c>
          <w:tcPr>
            <w:tcW w:w="2410" w:type="dxa"/>
            <w:tcBorders>
              <w:top w:val="single" w:sz="2" w:space="0" w:color="auto"/>
              <w:left w:val="single" w:sz="2" w:space="0" w:color="auto"/>
              <w:bottom w:val="single" w:sz="2" w:space="0" w:color="auto"/>
              <w:right w:val="single" w:sz="2" w:space="0" w:color="auto"/>
            </w:tcBorders>
            <w:vAlign w:val="center"/>
          </w:tcPr>
          <w:p w:rsidR="008820E4" w:rsidRDefault="005C49A8">
            <w:pPr>
              <w:spacing w:line="0" w:lineRule="atLeast"/>
              <w:jc w:val="right"/>
              <w:rPr>
                <w:rFonts w:ascii="宋体" w:eastAsia="宋体" w:hAnsi="宋体" w:cs="宋体"/>
                <w:sz w:val="18"/>
                <w:szCs w:val="18"/>
              </w:rPr>
            </w:pPr>
            <w:r>
              <w:rPr>
                <w:rFonts w:ascii="宋体" w:eastAsia="宋体" w:hAnsi="宋体" w:cs="宋体"/>
                <w:sz w:val="18"/>
                <w:szCs w:val="18"/>
              </w:rPr>
              <w:t>-0.04</w:t>
            </w:r>
          </w:p>
        </w:tc>
      </w:tr>
    </w:tbl>
    <w:p w:rsidR="008820E4" w:rsidRDefault="005C49A8">
      <w:pPr>
        <w:pStyle w:val="3"/>
        <w:spacing w:line="280" w:lineRule="exact"/>
        <w:jc w:val="left"/>
        <w:rPr>
          <w:rFonts w:ascii="宋体" w:hAnsi="宋体" w:cs="宋体"/>
          <w:b/>
          <w:bCs/>
        </w:rPr>
      </w:pPr>
      <w:bookmarkStart w:id="425" w:name="_Toc989453"/>
      <w:r>
        <w:rPr>
          <w:rFonts w:ascii="宋体" w:hAnsi="宋体" w:cs="宋体"/>
          <w:b/>
          <w:bCs/>
        </w:rPr>
        <w:t>3、境内外会计准则下会计数据差异</w:t>
      </w:r>
      <w:bookmarkEnd w:id="425"/>
    </w:p>
    <w:p w:rsidR="008820E4" w:rsidRDefault="005C49A8">
      <w:pPr>
        <w:keepNext/>
        <w:keepLines/>
        <w:spacing w:before="300" w:after="300" w:line="280" w:lineRule="exact"/>
        <w:outlineLvl w:val="3"/>
        <w:rPr>
          <w:rFonts w:ascii="宋体" w:eastAsia="宋体" w:hAnsi="宋体" w:cs="宋体"/>
          <w:b/>
          <w:bCs/>
          <w:szCs w:val="21"/>
        </w:rPr>
      </w:pPr>
      <w:bookmarkStart w:id="426" w:name="_Toc989454"/>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26"/>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427" w:name="_Toc989455"/>
      <w:r>
        <w:rPr>
          <w:rFonts w:ascii="宋体" w:eastAsia="宋体" w:hAnsi="宋体" w:cs="宋体"/>
          <w:b/>
          <w:bCs/>
          <w:szCs w:val="21"/>
        </w:rPr>
        <w:lastRenderedPageBreak/>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27"/>
    </w:p>
    <w:p w:rsidR="008820E4" w:rsidRDefault="005C49A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820E4" w:rsidRDefault="005C49A8">
      <w:pPr>
        <w:keepNext/>
        <w:keepLines/>
        <w:spacing w:before="300" w:after="300" w:line="280" w:lineRule="exact"/>
        <w:outlineLvl w:val="3"/>
        <w:rPr>
          <w:rFonts w:ascii="宋体" w:eastAsia="宋体" w:hAnsi="宋体" w:cs="宋体"/>
          <w:b/>
          <w:bCs/>
          <w:szCs w:val="21"/>
        </w:rPr>
      </w:pPr>
      <w:bookmarkStart w:id="428" w:name="_Toc989456"/>
      <w:r>
        <w:rPr>
          <w:rFonts w:ascii="宋体" w:eastAsia="宋体" w:hAnsi="宋体" w:cs="宋体"/>
          <w:b/>
          <w:bCs/>
          <w:szCs w:val="21"/>
        </w:rPr>
        <w:t>（3） 境内外会计准则下会计数据差异原因说明，对已经境外审计机构审计的数据进行差异调节的，应注明该境外机构的名称</w:t>
      </w:r>
      <w:bookmarkEnd w:id="428"/>
    </w:p>
    <w:p w:rsidR="008820E4" w:rsidRDefault="005C49A8">
      <w:pPr>
        <w:pStyle w:val="3"/>
        <w:spacing w:line="280" w:lineRule="exact"/>
        <w:jc w:val="left"/>
        <w:rPr>
          <w:rFonts w:ascii="宋体" w:hAnsi="宋体" w:cs="宋体"/>
          <w:b/>
          <w:bCs/>
        </w:rPr>
      </w:pPr>
      <w:bookmarkStart w:id="429" w:name="_Toc989457"/>
      <w:r>
        <w:rPr>
          <w:rFonts w:ascii="宋体" w:hAnsi="宋体" w:cs="宋体"/>
          <w:b/>
          <w:bCs/>
        </w:rPr>
        <w:t>4、其他</w:t>
      </w:r>
      <w:bookmarkEnd w:id="429"/>
    </w:p>
    <w:p w:rsidR="005C49A8" w:rsidRDefault="005C49A8">
      <w:pPr>
        <w:pStyle w:val="a3"/>
        <w:divId w:val="219050730"/>
        <w:rPr>
          <w:sz w:val="18"/>
          <w:szCs w:val="18"/>
        </w:rPr>
      </w:pPr>
      <w:r>
        <w:rPr>
          <w:rFonts w:hint="eastAsia"/>
          <w:sz w:val="18"/>
          <w:szCs w:val="18"/>
        </w:rPr>
        <w:t>无。</w:t>
      </w:r>
    </w:p>
    <w:p w:rsidR="005C49A8" w:rsidRPr="00A64732" w:rsidRDefault="00A64732" w:rsidP="00A64732">
      <w:pPr>
        <w:spacing w:before="40" w:after="40" w:line="240" w:lineRule="exact"/>
        <w:jc w:val="right"/>
        <w:rPr>
          <w:rFonts w:ascii="宋体" w:eastAsia="宋体" w:hAnsi="宋体" w:cs="宋体"/>
          <w:sz w:val="18"/>
          <w:szCs w:val="18"/>
        </w:rPr>
      </w:pPr>
      <w:r w:rsidRPr="00A64732">
        <w:rPr>
          <w:rFonts w:ascii="宋体" w:eastAsia="宋体" w:hAnsi="宋体" w:cs="宋体"/>
          <w:sz w:val="18"/>
          <w:szCs w:val="18"/>
        </w:rPr>
        <w:t>华孚时尚股份有限公司</w:t>
      </w:r>
    </w:p>
    <w:p w:rsidR="00A64732" w:rsidRPr="00A64732" w:rsidRDefault="00A64732" w:rsidP="00A64732">
      <w:pPr>
        <w:spacing w:before="40" w:after="40" w:line="240" w:lineRule="exact"/>
        <w:jc w:val="right"/>
        <w:rPr>
          <w:rFonts w:ascii="宋体" w:eastAsia="宋体" w:hAnsi="宋体" w:cs="宋体"/>
          <w:sz w:val="18"/>
          <w:szCs w:val="18"/>
        </w:rPr>
      </w:pPr>
      <w:r w:rsidRPr="00A64732">
        <w:rPr>
          <w:rFonts w:ascii="宋体" w:eastAsia="宋体" w:hAnsi="宋体" w:cs="宋体" w:hint="eastAsia"/>
          <w:sz w:val="18"/>
          <w:szCs w:val="18"/>
        </w:rPr>
        <w:t>二〇二五年八月三十日</w:t>
      </w:r>
    </w:p>
    <w:sectPr w:rsidR="00A64732" w:rsidRPr="00A64732" w:rsidSect="00096B74">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538" w:rsidRDefault="00352538">
      <w:r>
        <w:separator/>
      </w:r>
    </w:p>
  </w:endnote>
  <w:endnote w:type="continuationSeparator" w:id="0">
    <w:p w:rsidR="00352538" w:rsidRDefault="0035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6B" w:rsidRDefault="0017456B">
    <w:pPr>
      <w:pStyle w:val="fotter1"/>
    </w:pPr>
    <w:r>
      <w:fldChar w:fldCharType="begin"/>
    </w:r>
    <w:r>
      <w:instrText>PAGE   \* MERGEFORMAT</w:instrText>
    </w:r>
    <w:r>
      <w:fldChar w:fldCharType="separate"/>
    </w:r>
    <w:r w:rsidR="00DC509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538" w:rsidRDefault="00352538">
      <w:r>
        <w:separator/>
      </w:r>
    </w:p>
  </w:footnote>
  <w:footnote w:type="continuationSeparator" w:id="0">
    <w:p w:rsidR="00352538" w:rsidRDefault="0035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6B" w:rsidRDefault="0017456B">
    <w:pPr>
      <w:pStyle w:val="Header1"/>
      <w:pBdr>
        <w:bottom w:val="single" w:sz="6" w:space="1" w:color="auto"/>
      </w:pBdr>
    </w:pPr>
    <w:r>
      <w:t>华孚时尚股份有限公司2025年半年度报告全文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941"/>
    <w:multiLevelType w:val="multilevel"/>
    <w:tmpl w:val="13F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01809"/>
    <w:multiLevelType w:val="multilevel"/>
    <w:tmpl w:val="9DC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2771B"/>
    <w:multiLevelType w:val="multilevel"/>
    <w:tmpl w:val="326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44820"/>
    <w:multiLevelType w:val="multilevel"/>
    <w:tmpl w:val="9220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B331E2"/>
    <w:multiLevelType w:val="multilevel"/>
    <w:tmpl w:val="C51C3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D24789"/>
    <w:multiLevelType w:val="multilevel"/>
    <w:tmpl w:val="0EBE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ED46E0"/>
    <w:multiLevelType w:val="multilevel"/>
    <w:tmpl w:val="80A26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E16247"/>
    <w:multiLevelType w:val="multilevel"/>
    <w:tmpl w:val="0ECAC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6342CF"/>
    <w:multiLevelType w:val="multilevel"/>
    <w:tmpl w:val="912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B2725"/>
    <w:multiLevelType w:val="multilevel"/>
    <w:tmpl w:val="C154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4E6ABD"/>
    <w:multiLevelType w:val="multilevel"/>
    <w:tmpl w:val="4C828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6973D5"/>
    <w:multiLevelType w:val="multilevel"/>
    <w:tmpl w:val="2086F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943F26"/>
    <w:multiLevelType w:val="multilevel"/>
    <w:tmpl w:val="CAD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D96DB5"/>
    <w:multiLevelType w:val="multilevel"/>
    <w:tmpl w:val="F08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4A6111"/>
    <w:multiLevelType w:val="multilevel"/>
    <w:tmpl w:val="1DDC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9F19F6"/>
    <w:multiLevelType w:val="multilevel"/>
    <w:tmpl w:val="75D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8F1580"/>
    <w:multiLevelType w:val="multilevel"/>
    <w:tmpl w:val="F4E24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986077"/>
    <w:multiLevelType w:val="multilevel"/>
    <w:tmpl w:val="0A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0F1EA4"/>
    <w:multiLevelType w:val="multilevel"/>
    <w:tmpl w:val="85B03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7B321E"/>
    <w:multiLevelType w:val="multilevel"/>
    <w:tmpl w:val="EC9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2D11424"/>
    <w:multiLevelType w:val="multilevel"/>
    <w:tmpl w:val="C2A6D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CA6C99"/>
    <w:multiLevelType w:val="multilevel"/>
    <w:tmpl w:val="14C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0F26E9"/>
    <w:multiLevelType w:val="multilevel"/>
    <w:tmpl w:val="F5DE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2E6FFD"/>
    <w:multiLevelType w:val="multilevel"/>
    <w:tmpl w:val="07EA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AF13831"/>
    <w:multiLevelType w:val="multilevel"/>
    <w:tmpl w:val="C4184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B90071B"/>
    <w:multiLevelType w:val="multilevel"/>
    <w:tmpl w:val="A9F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D5B5243"/>
    <w:multiLevelType w:val="multilevel"/>
    <w:tmpl w:val="21169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301B2F"/>
    <w:multiLevelType w:val="multilevel"/>
    <w:tmpl w:val="10F2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0646507"/>
    <w:multiLevelType w:val="multilevel"/>
    <w:tmpl w:val="12C8E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124286F"/>
    <w:multiLevelType w:val="multilevel"/>
    <w:tmpl w:val="A870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22759F3"/>
    <w:multiLevelType w:val="multilevel"/>
    <w:tmpl w:val="F34E8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8E47AB"/>
    <w:multiLevelType w:val="multilevel"/>
    <w:tmpl w:val="575A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471684"/>
    <w:multiLevelType w:val="multilevel"/>
    <w:tmpl w:val="1BDC3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5209C9"/>
    <w:multiLevelType w:val="multilevel"/>
    <w:tmpl w:val="24A8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3A4E1D"/>
    <w:multiLevelType w:val="multilevel"/>
    <w:tmpl w:val="D89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6721A0E"/>
    <w:multiLevelType w:val="multilevel"/>
    <w:tmpl w:val="7CC8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8E5738"/>
    <w:multiLevelType w:val="multilevel"/>
    <w:tmpl w:val="9508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704112C"/>
    <w:multiLevelType w:val="multilevel"/>
    <w:tmpl w:val="DC067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8BD0517"/>
    <w:multiLevelType w:val="multilevel"/>
    <w:tmpl w:val="D200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9B5D59"/>
    <w:multiLevelType w:val="multilevel"/>
    <w:tmpl w:val="D2A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A705255"/>
    <w:multiLevelType w:val="multilevel"/>
    <w:tmpl w:val="A26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B102E6F"/>
    <w:multiLevelType w:val="multilevel"/>
    <w:tmpl w:val="0676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393A1C"/>
    <w:multiLevelType w:val="multilevel"/>
    <w:tmpl w:val="FC14475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067BB8"/>
    <w:multiLevelType w:val="multilevel"/>
    <w:tmpl w:val="0A34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72393E"/>
    <w:multiLevelType w:val="multilevel"/>
    <w:tmpl w:val="80E8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6339B6"/>
    <w:multiLevelType w:val="multilevel"/>
    <w:tmpl w:val="55F4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FC0F9D"/>
    <w:multiLevelType w:val="multilevel"/>
    <w:tmpl w:val="36BC2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B43171"/>
    <w:multiLevelType w:val="multilevel"/>
    <w:tmpl w:val="1706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20D6C75"/>
    <w:multiLevelType w:val="multilevel"/>
    <w:tmpl w:val="196CA7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59609F7"/>
    <w:multiLevelType w:val="multilevel"/>
    <w:tmpl w:val="DE9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89B40AB"/>
    <w:multiLevelType w:val="multilevel"/>
    <w:tmpl w:val="1D3251E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8ED1437"/>
    <w:multiLevelType w:val="multilevel"/>
    <w:tmpl w:val="6F048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B7B0DDA"/>
    <w:multiLevelType w:val="multilevel"/>
    <w:tmpl w:val="3CB8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666808"/>
    <w:multiLevelType w:val="multilevel"/>
    <w:tmpl w:val="A83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7524F2"/>
    <w:multiLevelType w:val="multilevel"/>
    <w:tmpl w:val="195A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C931CAC"/>
    <w:multiLevelType w:val="multilevel"/>
    <w:tmpl w:val="4C4C7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C944B7C"/>
    <w:multiLevelType w:val="multilevel"/>
    <w:tmpl w:val="1EC6F05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B65165"/>
    <w:multiLevelType w:val="multilevel"/>
    <w:tmpl w:val="C6A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D2732AE"/>
    <w:multiLevelType w:val="multilevel"/>
    <w:tmpl w:val="EAB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745B46"/>
    <w:multiLevelType w:val="multilevel"/>
    <w:tmpl w:val="910E5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E603A56"/>
    <w:multiLevelType w:val="multilevel"/>
    <w:tmpl w:val="5CD8266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E691516"/>
    <w:multiLevelType w:val="multilevel"/>
    <w:tmpl w:val="3E7A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E712330"/>
    <w:multiLevelType w:val="multilevel"/>
    <w:tmpl w:val="39E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F766027"/>
    <w:multiLevelType w:val="multilevel"/>
    <w:tmpl w:val="EF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FD810BF"/>
    <w:multiLevelType w:val="multilevel"/>
    <w:tmpl w:val="35463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061782D"/>
    <w:multiLevelType w:val="multilevel"/>
    <w:tmpl w:val="68E8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0D61996"/>
    <w:multiLevelType w:val="multilevel"/>
    <w:tmpl w:val="AFF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41620894"/>
    <w:multiLevelType w:val="multilevel"/>
    <w:tmpl w:val="996A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1EF3CB2"/>
    <w:multiLevelType w:val="multilevel"/>
    <w:tmpl w:val="8DA2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2253EB4"/>
    <w:multiLevelType w:val="multilevel"/>
    <w:tmpl w:val="9A5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3316ADE"/>
    <w:multiLevelType w:val="multilevel"/>
    <w:tmpl w:val="463E0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58718E1"/>
    <w:multiLevelType w:val="multilevel"/>
    <w:tmpl w:val="2AC8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6CE0C7C"/>
    <w:multiLevelType w:val="multilevel"/>
    <w:tmpl w:val="6C161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6E17166"/>
    <w:multiLevelType w:val="multilevel"/>
    <w:tmpl w:val="69EE6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74D1D3B"/>
    <w:multiLevelType w:val="multilevel"/>
    <w:tmpl w:val="405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89A7A93"/>
    <w:multiLevelType w:val="multilevel"/>
    <w:tmpl w:val="78F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9840DD5"/>
    <w:multiLevelType w:val="multilevel"/>
    <w:tmpl w:val="89A0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A916459"/>
    <w:multiLevelType w:val="multilevel"/>
    <w:tmpl w:val="E52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B4D09E6"/>
    <w:multiLevelType w:val="multilevel"/>
    <w:tmpl w:val="DF4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B51344D"/>
    <w:multiLevelType w:val="multilevel"/>
    <w:tmpl w:val="441E9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4F1107"/>
    <w:multiLevelType w:val="multilevel"/>
    <w:tmpl w:val="E0D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E752C52"/>
    <w:multiLevelType w:val="multilevel"/>
    <w:tmpl w:val="ED12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A51B23"/>
    <w:multiLevelType w:val="multilevel"/>
    <w:tmpl w:val="6DA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15E3AF8"/>
    <w:multiLevelType w:val="multilevel"/>
    <w:tmpl w:val="0CCEC00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1920FB2"/>
    <w:multiLevelType w:val="multilevel"/>
    <w:tmpl w:val="9038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2C0588D"/>
    <w:multiLevelType w:val="multilevel"/>
    <w:tmpl w:val="D188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41F7FD2"/>
    <w:multiLevelType w:val="multilevel"/>
    <w:tmpl w:val="D1982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4BB6328"/>
    <w:multiLevelType w:val="multilevel"/>
    <w:tmpl w:val="7A0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4C41C86"/>
    <w:multiLevelType w:val="multilevel"/>
    <w:tmpl w:val="115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55D1C07"/>
    <w:multiLevelType w:val="multilevel"/>
    <w:tmpl w:val="EE9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58D5524"/>
    <w:multiLevelType w:val="multilevel"/>
    <w:tmpl w:val="26167AD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66353F0"/>
    <w:multiLevelType w:val="multilevel"/>
    <w:tmpl w:val="ED0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71D2E1D"/>
    <w:multiLevelType w:val="multilevel"/>
    <w:tmpl w:val="A45A9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7603467"/>
    <w:multiLevelType w:val="multilevel"/>
    <w:tmpl w:val="43A0A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8283668"/>
    <w:multiLevelType w:val="multilevel"/>
    <w:tmpl w:val="C8329B6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8870E49"/>
    <w:multiLevelType w:val="multilevel"/>
    <w:tmpl w:val="6D28F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8C95321"/>
    <w:multiLevelType w:val="multilevel"/>
    <w:tmpl w:val="C11023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8CC4616"/>
    <w:multiLevelType w:val="multilevel"/>
    <w:tmpl w:val="FDB00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9346172"/>
    <w:multiLevelType w:val="multilevel"/>
    <w:tmpl w:val="1C183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A943B00"/>
    <w:multiLevelType w:val="multilevel"/>
    <w:tmpl w:val="798A2FA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C1F6C24"/>
    <w:multiLevelType w:val="multilevel"/>
    <w:tmpl w:val="D5B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F057CA3"/>
    <w:multiLevelType w:val="multilevel"/>
    <w:tmpl w:val="B12A4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2C30BF7"/>
    <w:multiLevelType w:val="multilevel"/>
    <w:tmpl w:val="849E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2E8291A"/>
    <w:multiLevelType w:val="multilevel"/>
    <w:tmpl w:val="2CFE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632834A7"/>
    <w:multiLevelType w:val="multilevel"/>
    <w:tmpl w:val="7340D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40B39F9"/>
    <w:multiLevelType w:val="multilevel"/>
    <w:tmpl w:val="6BD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4F83A47"/>
    <w:multiLevelType w:val="multilevel"/>
    <w:tmpl w:val="ECFC3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8097B29"/>
    <w:multiLevelType w:val="multilevel"/>
    <w:tmpl w:val="2C6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8A851B9"/>
    <w:multiLevelType w:val="multilevel"/>
    <w:tmpl w:val="B8E2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8B52F2E"/>
    <w:multiLevelType w:val="multilevel"/>
    <w:tmpl w:val="7A602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93D18C7"/>
    <w:multiLevelType w:val="multilevel"/>
    <w:tmpl w:val="913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A5755DE"/>
    <w:multiLevelType w:val="multilevel"/>
    <w:tmpl w:val="CAA4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A6F625B"/>
    <w:multiLevelType w:val="multilevel"/>
    <w:tmpl w:val="21DC5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D9E0E09"/>
    <w:multiLevelType w:val="multilevel"/>
    <w:tmpl w:val="27706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D9E2631"/>
    <w:multiLevelType w:val="multilevel"/>
    <w:tmpl w:val="CF1E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BA428D"/>
    <w:multiLevelType w:val="multilevel"/>
    <w:tmpl w:val="95A21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DED7864"/>
    <w:multiLevelType w:val="multilevel"/>
    <w:tmpl w:val="B61E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EA21B3B"/>
    <w:multiLevelType w:val="multilevel"/>
    <w:tmpl w:val="DA1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F7655A7"/>
    <w:multiLevelType w:val="multilevel"/>
    <w:tmpl w:val="6BA8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004262B"/>
    <w:multiLevelType w:val="multilevel"/>
    <w:tmpl w:val="E7BE2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0444333"/>
    <w:multiLevelType w:val="multilevel"/>
    <w:tmpl w:val="565E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0570931"/>
    <w:multiLevelType w:val="multilevel"/>
    <w:tmpl w:val="97422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0DC6F65"/>
    <w:multiLevelType w:val="multilevel"/>
    <w:tmpl w:val="792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73F43277"/>
    <w:multiLevelType w:val="multilevel"/>
    <w:tmpl w:val="94A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48027B2"/>
    <w:multiLevelType w:val="multilevel"/>
    <w:tmpl w:val="2BEEA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6AE3258"/>
    <w:multiLevelType w:val="multilevel"/>
    <w:tmpl w:val="1F46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79D08BD"/>
    <w:multiLevelType w:val="multilevel"/>
    <w:tmpl w:val="DC4C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8CA287B"/>
    <w:multiLevelType w:val="multilevel"/>
    <w:tmpl w:val="4E18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94F245F"/>
    <w:multiLevelType w:val="multilevel"/>
    <w:tmpl w:val="0AE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A013B1B"/>
    <w:multiLevelType w:val="multilevel"/>
    <w:tmpl w:val="92D21E6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A240EC2"/>
    <w:multiLevelType w:val="multilevel"/>
    <w:tmpl w:val="D13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7A8C2DBD"/>
    <w:multiLevelType w:val="multilevel"/>
    <w:tmpl w:val="EF961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C175B22"/>
    <w:multiLevelType w:val="multilevel"/>
    <w:tmpl w:val="BF92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C883CC0"/>
    <w:multiLevelType w:val="multilevel"/>
    <w:tmpl w:val="C0389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CA47C1A"/>
    <w:multiLevelType w:val="multilevel"/>
    <w:tmpl w:val="8A4A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CAA4AC8"/>
    <w:multiLevelType w:val="multilevel"/>
    <w:tmpl w:val="5BB00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F9B3B34"/>
    <w:multiLevelType w:val="multilevel"/>
    <w:tmpl w:val="0B8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7FBD59DD"/>
    <w:multiLevelType w:val="multilevel"/>
    <w:tmpl w:val="5CC2E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72"/>
  </w:num>
  <w:num w:numId="3">
    <w:abstractNumId w:val="65"/>
  </w:num>
  <w:num w:numId="4">
    <w:abstractNumId w:val="95"/>
  </w:num>
  <w:num w:numId="5">
    <w:abstractNumId w:val="67"/>
  </w:num>
  <w:num w:numId="6">
    <w:abstractNumId w:val="4"/>
  </w:num>
  <w:num w:numId="7">
    <w:abstractNumId w:val="121"/>
  </w:num>
  <w:num w:numId="8">
    <w:abstractNumId w:val="34"/>
  </w:num>
  <w:num w:numId="9">
    <w:abstractNumId w:val="130"/>
  </w:num>
  <w:num w:numId="10">
    <w:abstractNumId w:val="15"/>
  </w:num>
  <w:num w:numId="11">
    <w:abstractNumId w:val="40"/>
  </w:num>
  <w:num w:numId="12">
    <w:abstractNumId w:val="3"/>
  </w:num>
  <w:num w:numId="13">
    <w:abstractNumId w:val="115"/>
  </w:num>
  <w:num w:numId="14">
    <w:abstractNumId w:val="31"/>
  </w:num>
  <w:num w:numId="15">
    <w:abstractNumId w:val="61"/>
  </w:num>
  <w:num w:numId="16">
    <w:abstractNumId w:val="35"/>
  </w:num>
  <w:num w:numId="17">
    <w:abstractNumId w:val="112"/>
  </w:num>
  <w:num w:numId="18">
    <w:abstractNumId w:val="84"/>
  </w:num>
  <w:num w:numId="19">
    <w:abstractNumId w:val="63"/>
  </w:num>
  <w:num w:numId="20">
    <w:abstractNumId w:val="0"/>
  </w:num>
  <w:num w:numId="21">
    <w:abstractNumId w:val="57"/>
  </w:num>
  <w:num w:numId="22">
    <w:abstractNumId w:val="21"/>
  </w:num>
  <w:num w:numId="23">
    <w:abstractNumId w:val="87"/>
  </w:num>
  <w:num w:numId="24">
    <w:abstractNumId w:val="114"/>
  </w:num>
  <w:num w:numId="25">
    <w:abstractNumId w:val="118"/>
  </w:num>
  <w:num w:numId="26">
    <w:abstractNumId w:val="98"/>
  </w:num>
  <w:num w:numId="27">
    <w:abstractNumId w:val="54"/>
  </w:num>
  <w:num w:numId="28">
    <w:abstractNumId w:val="89"/>
  </w:num>
  <w:num w:numId="29">
    <w:abstractNumId w:val="49"/>
  </w:num>
  <w:num w:numId="30">
    <w:abstractNumId w:val="76"/>
  </w:num>
  <w:num w:numId="31">
    <w:abstractNumId w:val="6"/>
  </w:num>
  <w:num w:numId="32">
    <w:abstractNumId w:val="82"/>
  </w:num>
  <w:num w:numId="33">
    <w:abstractNumId w:val="135"/>
  </w:num>
  <w:num w:numId="34">
    <w:abstractNumId w:val="134"/>
  </w:num>
  <w:num w:numId="35">
    <w:abstractNumId w:val="23"/>
  </w:num>
  <w:num w:numId="36">
    <w:abstractNumId w:val="127"/>
  </w:num>
  <w:num w:numId="37">
    <w:abstractNumId w:val="71"/>
  </w:num>
  <w:num w:numId="38">
    <w:abstractNumId w:val="47"/>
  </w:num>
  <w:num w:numId="39">
    <w:abstractNumId w:val="68"/>
  </w:num>
  <w:num w:numId="40">
    <w:abstractNumId w:val="79"/>
  </w:num>
  <w:num w:numId="41">
    <w:abstractNumId w:val="96"/>
  </w:num>
  <w:num w:numId="42">
    <w:abstractNumId w:val="43"/>
  </w:num>
  <w:num w:numId="43">
    <w:abstractNumId w:val="110"/>
  </w:num>
  <w:num w:numId="44">
    <w:abstractNumId w:val="80"/>
  </w:num>
  <w:num w:numId="45">
    <w:abstractNumId w:val="123"/>
  </w:num>
  <w:num w:numId="46">
    <w:abstractNumId w:val="55"/>
  </w:num>
  <w:num w:numId="47">
    <w:abstractNumId w:val="2"/>
  </w:num>
  <w:num w:numId="48">
    <w:abstractNumId w:val="58"/>
  </w:num>
  <w:num w:numId="49">
    <w:abstractNumId w:val="93"/>
  </w:num>
  <w:num w:numId="50">
    <w:abstractNumId w:val="51"/>
  </w:num>
  <w:num w:numId="51">
    <w:abstractNumId w:val="101"/>
  </w:num>
  <w:num w:numId="52">
    <w:abstractNumId w:val="117"/>
  </w:num>
  <w:num w:numId="53">
    <w:abstractNumId w:val="12"/>
  </w:num>
  <w:num w:numId="54">
    <w:abstractNumId w:val="9"/>
  </w:num>
  <w:num w:numId="55">
    <w:abstractNumId w:val="126"/>
  </w:num>
  <w:num w:numId="56">
    <w:abstractNumId w:val="105"/>
  </w:num>
  <w:num w:numId="57">
    <w:abstractNumId w:val="5"/>
  </w:num>
  <w:num w:numId="58">
    <w:abstractNumId w:val="32"/>
  </w:num>
  <w:num w:numId="59">
    <w:abstractNumId w:val="8"/>
  </w:num>
  <w:num w:numId="60">
    <w:abstractNumId w:val="45"/>
  </w:num>
  <w:num w:numId="61">
    <w:abstractNumId w:val="77"/>
  </w:num>
  <w:num w:numId="62">
    <w:abstractNumId w:val="102"/>
  </w:num>
  <w:num w:numId="63">
    <w:abstractNumId w:val="131"/>
  </w:num>
  <w:num w:numId="64">
    <w:abstractNumId w:val="14"/>
  </w:num>
  <w:num w:numId="65">
    <w:abstractNumId w:val="16"/>
  </w:num>
  <w:num w:numId="66">
    <w:abstractNumId w:val="38"/>
  </w:num>
  <w:num w:numId="67">
    <w:abstractNumId w:val="125"/>
  </w:num>
  <w:num w:numId="68">
    <w:abstractNumId w:val="53"/>
  </w:num>
  <w:num w:numId="69">
    <w:abstractNumId w:val="120"/>
  </w:num>
  <w:num w:numId="70">
    <w:abstractNumId w:val="116"/>
  </w:num>
  <w:num w:numId="71">
    <w:abstractNumId w:val="27"/>
  </w:num>
  <w:num w:numId="72">
    <w:abstractNumId w:val="46"/>
  </w:num>
  <w:num w:numId="73">
    <w:abstractNumId w:val="137"/>
  </w:num>
  <w:num w:numId="74">
    <w:abstractNumId w:val="26"/>
  </w:num>
  <w:num w:numId="75">
    <w:abstractNumId w:val="1"/>
  </w:num>
  <w:num w:numId="76">
    <w:abstractNumId w:val="132"/>
  </w:num>
  <w:num w:numId="77">
    <w:abstractNumId w:val="128"/>
  </w:num>
  <w:num w:numId="78">
    <w:abstractNumId w:val="30"/>
  </w:num>
  <w:num w:numId="79">
    <w:abstractNumId w:val="41"/>
  </w:num>
  <w:num w:numId="80">
    <w:abstractNumId w:val="85"/>
  </w:num>
  <w:num w:numId="81">
    <w:abstractNumId w:val="48"/>
  </w:num>
  <w:num w:numId="82">
    <w:abstractNumId w:val="7"/>
  </w:num>
  <w:num w:numId="83">
    <w:abstractNumId w:val="83"/>
  </w:num>
  <w:num w:numId="84">
    <w:abstractNumId w:val="100"/>
  </w:num>
  <w:num w:numId="85">
    <w:abstractNumId w:val="111"/>
  </w:num>
  <w:num w:numId="86">
    <w:abstractNumId w:val="69"/>
  </w:num>
  <w:num w:numId="87">
    <w:abstractNumId w:val="39"/>
  </w:num>
  <w:num w:numId="88">
    <w:abstractNumId w:val="50"/>
  </w:num>
  <w:num w:numId="89">
    <w:abstractNumId w:val="97"/>
  </w:num>
  <w:num w:numId="90">
    <w:abstractNumId w:val="56"/>
  </w:num>
  <w:num w:numId="91">
    <w:abstractNumId w:val="88"/>
  </w:num>
  <w:num w:numId="92">
    <w:abstractNumId w:val="122"/>
  </w:num>
  <w:num w:numId="93">
    <w:abstractNumId w:val="91"/>
  </w:num>
  <w:num w:numId="94">
    <w:abstractNumId w:val="136"/>
  </w:num>
  <w:num w:numId="95">
    <w:abstractNumId w:val="129"/>
  </w:num>
  <w:num w:numId="96">
    <w:abstractNumId w:val="52"/>
  </w:num>
  <w:num w:numId="97">
    <w:abstractNumId w:val="92"/>
  </w:num>
  <w:num w:numId="98">
    <w:abstractNumId w:val="18"/>
  </w:num>
  <w:num w:numId="99">
    <w:abstractNumId w:val="66"/>
  </w:num>
  <w:num w:numId="100">
    <w:abstractNumId w:val="62"/>
  </w:num>
  <w:num w:numId="101">
    <w:abstractNumId w:val="13"/>
  </w:num>
  <w:num w:numId="102">
    <w:abstractNumId w:val="25"/>
  </w:num>
  <w:num w:numId="103">
    <w:abstractNumId w:val="75"/>
  </w:num>
  <w:num w:numId="104">
    <w:abstractNumId w:val="119"/>
  </w:num>
  <w:num w:numId="105">
    <w:abstractNumId w:val="107"/>
  </w:num>
  <w:num w:numId="106">
    <w:abstractNumId w:val="133"/>
  </w:num>
  <w:num w:numId="107">
    <w:abstractNumId w:val="22"/>
  </w:num>
  <w:num w:numId="108">
    <w:abstractNumId w:val="20"/>
  </w:num>
  <w:num w:numId="109">
    <w:abstractNumId w:val="11"/>
  </w:num>
  <w:num w:numId="110">
    <w:abstractNumId w:val="37"/>
  </w:num>
  <w:num w:numId="111">
    <w:abstractNumId w:val="106"/>
  </w:num>
  <w:num w:numId="112">
    <w:abstractNumId w:val="60"/>
  </w:num>
  <w:num w:numId="113">
    <w:abstractNumId w:val="103"/>
  </w:num>
  <w:num w:numId="114">
    <w:abstractNumId w:val="19"/>
  </w:num>
  <w:num w:numId="115">
    <w:abstractNumId w:val="17"/>
  </w:num>
  <w:num w:numId="116">
    <w:abstractNumId w:val="90"/>
  </w:num>
  <w:num w:numId="117">
    <w:abstractNumId w:val="36"/>
  </w:num>
  <w:num w:numId="118">
    <w:abstractNumId w:val="70"/>
  </w:num>
  <w:num w:numId="119">
    <w:abstractNumId w:val="78"/>
  </w:num>
  <w:num w:numId="120">
    <w:abstractNumId w:val="113"/>
  </w:num>
  <w:num w:numId="121">
    <w:abstractNumId w:val="29"/>
  </w:num>
  <w:num w:numId="122">
    <w:abstractNumId w:val="64"/>
  </w:num>
  <w:num w:numId="123">
    <w:abstractNumId w:val="10"/>
  </w:num>
  <w:num w:numId="124">
    <w:abstractNumId w:val="59"/>
  </w:num>
  <w:num w:numId="125">
    <w:abstractNumId w:val="108"/>
  </w:num>
  <w:num w:numId="126">
    <w:abstractNumId w:val="28"/>
  </w:num>
  <w:num w:numId="127">
    <w:abstractNumId w:val="104"/>
  </w:num>
  <w:num w:numId="128">
    <w:abstractNumId w:val="73"/>
  </w:num>
  <w:num w:numId="129">
    <w:abstractNumId w:val="81"/>
  </w:num>
  <w:num w:numId="130">
    <w:abstractNumId w:val="42"/>
  </w:num>
  <w:num w:numId="131">
    <w:abstractNumId w:val="99"/>
  </w:num>
  <w:num w:numId="132">
    <w:abstractNumId w:val="94"/>
  </w:num>
  <w:num w:numId="133">
    <w:abstractNumId w:val="33"/>
  </w:num>
  <w:num w:numId="134">
    <w:abstractNumId w:val="124"/>
  </w:num>
  <w:num w:numId="135">
    <w:abstractNumId w:val="86"/>
  </w:num>
  <w:num w:numId="136">
    <w:abstractNumId w:val="74"/>
  </w:num>
  <w:num w:numId="137">
    <w:abstractNumId w:val="24"/>
  </w:num>
  <w:num w:numId="138">
    <w:abstractNumId w:val="10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
  <w:rsids>
    <w:rsidRoot w:val="008820E4"/>
    <w:rsid w:val="000160E2"/>
    <w:rsid w:val="00045950"/>
    <w:rsid w:val="0007728F"/>
    <w:rsid w:val="00096B74"/>
    <w:rsid w:val="000F0523"/>
    <w:rsid w:val="00107431"/>
    <w:rsid w:val="00112D20"/>
    <w:rsid w:val="00132FE9"/>
    <w:rsid w:val="00137917"/>
    <w:rsid w:val="0017456B"/>
    <w:rsid w:val="00177DA4"/>
    <w:rsid w:val="001C1FDF"/>
    <w:rsid w:val="001F620C"/>
    <w:rsid w:val="002711C8"/>
    <w:rsid w:val="0029457D"/>
    <w:rsid w:val="00352538"/>
    <w:rsid w:val="00381B41"/>
    <w:rsid w:val="004742E9"/>
    <w:rsid w:val="00474B2E"/>
    <w:rsid w:val="004812B5"/>
    <w:rsid w:val="004D7FC3"/>
    <w:rsid w:val="00577535"/>
    <w:rsid w:val="005C49A8"/>
    <w:rsid w:val="007E0E41"/>
    <w:rsid w:val="008447BC"/>
    <w:rsid w:val="008604A3"/>
    <w:rsid w:val="008820E4"/>
    <w:rsid w:val="008E2575"/>
    <w:rsid w:val="008F0F57"/>
    <w:rsid w:val="009372E1"/>
    <w:rsid w:val="00A64732"/>
    <w:rsid w:val="00C50357"/>
    <w:rsid w:val="00C55ED3"/>
    <w:rsid w:val="00CA5826"/>
    <w:rsid w:val="00CF103B"/>
    <w:rsid w:val="00D63C99"/>
    <w:rsid w:val="00DC5093"/>
    <w:rsid w:val="00DF1C5D"/>
    <w:rsid w:val="00E86E4B"/>
    <w:rsid w:val="00EA52D0"/>
    <w:rsid w:val="00F552EF"/>
    <w:rsid w:val="00F7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unhideWhenUsed/>
    <w:rPr>
      <w:color w:val="0000FF"/>
      <w:u w:val="single"/>
    </w:rPr>
  </w:style>
  <w:style w:type="paragraph" w:styleId="a7">
    <w:name w:val="Balloon Text"/>
    <w:basedOn w:val="a"/>
    <w:link w:val="Char"/>
    <w:uiPriority w:val="99"/>
    <w:semiHidden/>
    <w:unhideWhenUsed/>
    <w:rsid w:val="00DF1C5D"/>
    <w:rPr>
      <w:sz w:val="18"/>
      <w:szCs w:val="18"/>
    </w:rPr>
  </w:style>
  <w:style w:type="character" w:customStyle="1" w:styleId="Char">
    <w:name w:val="批注框文本 Char"/>
    <w:basedOn w:val="a0"/>
    <w:link w:val="a7"/>
    <w:uiPriority w:val="99"/>
    <w:semiHidden/>
    <w:rsid w:val="00DF1C5D"/>
    <w:rPr>
      <w:sz w:val="18"/>
      <w:szCs w:val="18"/>
    </w:rPr>
  </w:style>
  <w:style w:type="paragraph" w:styleId="a8">
    <w:name w:val="header"/>
    <w:basedOn w:val="a"/>
    <w:link w:val="Char0"/>
    <w:uiPriority w:val="99"/>
    <w:unhideWhenUsed/>
    <w:rsid w:val="00EA5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A52D0"/>
    <w:rPr>
      <w:sz w:val="18"/>
      <w:szCs w:val="18"/>
    </w:rPr>
  </w:style>
  <w:style w:type="paragraph" w:styleId="a9">
    <w:name w:val="footer"/>
    <w:basedOn w:val="a"/>
    <w:link w:val="Char1"/>
    <w:uiPriority w:val="99"/>
    <w:unhideWhenUsed/>
    <w:rsid w:val="00EA52D0"/>
    <w:pPr>
      <w:tabs>
        <w:tab w:val="center" w:pos="4153"/>
        <w:tab w:val="right" w:pos="8306"/>
      </w:tabs>
      <w:snapToGrid w:val="0"/>
    </w:pPr>
    <w:rPr>
      <w:sz w:val="18"/>
      <w:szCs w:val="18"/>
    </w:rPr>
  </w:style>
  <w:style w:type="character" w:customStyle="1" w:styleId="Char1">
    <w:name w:val="页脚 Char"/>
    <w:basedOn w:val="a0"/>
    <w:link w:val="a9"/>
    <w:uiPriority w:val="99"/>
    <w:rsid w:val="00EA52D0"/>
    <w:rPr>
      <w:sz w:val="18"/>
      <w:szCs w:val="18"/>
    </w:rPr>
  </w:style>
  <w:style w:type="character" w:styleId="aa">
    <w:name w:val="annotation reference"/>
    <w:basedOn w:val="a0"/>
    <w:uiPriority w:val="99"/>
    <w:semiHidden/>
    <w:unhideWhenUsed/>
    <w:rsid w:val="00EA52D0"/>
    <w:rPr>
      <w:sz w:val="21"/>
      <w:szCs w:val="21"/>
    </w:rPr>
  </w:style>
  <w:style w:type="paragraph" w:styleId="ab">
    <w:name w:val="annotation text"/>
    <w:basedOn w:val="a"/>
    <w:link w:val="Char2"/>
    <w:uiPriority w:val="99"/>
    <w:semiHidden/>
    <w:unhideWhenUsed/>
    <w:rsid w:val="00EA52D0"/>
  </w:style>
  <w:style w:type="character" w:customStyle="1" w:styleId="Char2">
    <w:name w:val="批注文字 Char"/>
    <w:basedOn w:val="a0"/>
    <w:link w:val="ab"/>
    <w:uiPriority w:val="99"/>
    <w:semiHidden/>
    <w:rsid w:val="00EA52D0"/>
  </w:style>
  <w:style w:type="paragraph" w:styleId="ac">
    <w:name w:val="annotation subject"/>
    <w:basedOn w:val="ab"/>
    <w:next w:val="ab"/>
    <w:link w:val="Char3"/>
    <w:uiPriority w:val="99"/>
    <w:semiHidden/>
    <w:unhideWhenUsed/>
    <w:rsid w:val="00EA52D0"/>
    <w:rPr>
      <w:b/>
      <w:bCs/>
    </w:rPr>
  </w:style>
  <w:style w:type="character" w:customStyle="1" w:styleId="Char3">
    <w:name w:val="批注主题 Char"/>
    <w:basedOn w:val="Char2"/>
    <w:link w:val="ac"/>
    <w:uiPriority w:val="99"/>
    <w:semiHidden/>
    <w:rsid w:val="00EA52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unhideWhenUsed/>
    <w:rPr>
      <w:color w:val="0000FF"/>
      <w:u w:val="single"/>
    </w:rPr>
  </w:style>
  <w:style w:type="paragraph" w:styleId="a7">
    <w:name w:val="Balloon Text"/>
    <w:basedOn w:val="a"/>
    <w:link w:val="Char"/>
    <w:uiPriority w:val="99"/>
    <w:semiHidden/>
    <w:unhideWhenUsed/>
    <w:rsid w:val="00DF1C5D"/>
    <w:rPr>
      <w:sz w:val="18"/>
      <w:szCs w:val="18"/>
    </w:rPr>
  </w:style>
  <w:style w:type="character" w:customStyle="1" w:styleId="Char">
    <w:name w:val="批注框文本 Char"/>
    <w:basedOn w:val="a0"/>
    <w:link w:val="a7"/>
    <w:uiPriority w:val="99"/>
    <w:semiHidden/>
    <w:rsid w:val="00DF1C5D"/>
    <w:rPr>
      <w:sz w:val="18"/>
      <w:szCs w:val="18"/>
    </w:rPr>
  </w:style>
  <w:style w:type="paragraph" w:styleId="a8">
    <w:name w:val="header"/>
    <w:basedOn w:val="a"/>
    <w:link w:val="Char0"/>
    <w:uiPriority w:val="99"/>
    <w:unhideWhenUsed/>
    <w:rsid w:val="00EA5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A52D0"/>
    <w:rPr>
      <w:sz w:val="18"/>
      <w:szCs w:val="18"/>
    </w:rPr>
  </w:style>
  <w:style w:type="paragraph" w:styleId="a9">
    <w:name w:val="footer"/>
    <w:basedOn w:val="a"/>
    <w:link w:val="Char1"/>
    <w:uiPriority w:val="99"/>
    <w:unhideWhenUsed/>
    <w:rsid w:val="00EA52D0"/>
    <w:pPr>
      <w:tabs>
        <w:tab w:val="center" w:pos="4153"/>
        <w:tab w:val="right" w:pos="8306"/>
      </w:tabs>
      <w:snapToGrid w:val="0"/>
    </w:pPr>
    <w:rPr>
      <w:sz w:val="18"/>
      <w:szCs w:val="18"/>
    </w:rPr>
  </w:style>
  <w:style w:type="character" w:customStyle="1" w:styleId="Char1">
    <w:name w:val="页脚 Char"/>
    <w:basedOn w:val="a0"/>
    <w:link w:val="a9"/>
    <w:uiPriority w:val="99"/>
    <w:rsid w:val="00EA52D0"/>
    <w:rPr>
      <w:sz w:val="18"/>
      <w:szCs w:val="18"/>
    </w:rPr>
  </w:style>
  <w:style w:type="character" w:styleId="aa">
    <w:name w:val="annotation reference"/>
    <w:basedOn w:val="a0"/>
    <w:uiPriority w:val="99"/>
    <w:semiHidden/>
    <w:unhideWhenUsed/>
    <w:rsid w:val="00EA52D0"/>
    <w:rPr>
      <w:sz w:val="21"/>
      <w:szCs w:val="21"/>
    </w:rPr>
  </w:style>
  <w:style w:type="paragraph" w:styleId="ab">
    <w:name w:val="annotation text"/>
    <w:basedOn w:val="a"/>
    <w:link w:val="Char2"/>
    <w:uiPriority w:val="99"/>
    <w:semiHidden/>
    <w:unhideWhenUsed/>
    <w:rsid w:val="00EA52D0"/>
  </w:style>
  <w:style w:type="character" w:customStyle="1" w:styleId="Char2">
    <w:name w:val="批注文字 Char"/>
    <w:basedOn w:val="a0"/>
    <w:link w:val="ab"/>
    <w:uiPriority w:val="99"/>
    <w:semiHidden/>
    <w:rsid w:val="00EA52D0"/>
  </w:style>
  <w:style w:type="paragraph" w:styleId="ac">
    <w:name w:val="annotation subject"/>
    <w:basedOn w:val="ab"/>
    <w:next w:val="ab"/>
    <w:link w:val="Char3"/>
    <w:uiPriority w:val="99"/>
    <w:semiHidden/>
    <w:unhideWhenUsed/>
    <w:rsid w:val="00EA52D0"/>
    <w:rPr>
      <w:b/>
      <w:bCs/>
    </w:rPr>
  </w:style>
  <w:style w:type="character" w:customStyle="1" w:styleId="Char3">
    <w:name w:val="批注主题 Char"/>
    <w:basedOn w:val="Char2"/>
    <w:link w:val="ac"/>
    <w:uiPriority w:val="99"/>
    <w:semiHidden/>
    <w:rsid w:val="00EA5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30">
      <w:bodyDiv w:val="1"/>
      <w:marLeft w:val="0"/>
      <w:marRight w:val="0"/>
      <w:marTop w:val="0"/>
      <w:marBottom w:val="0"/>
      <w:divBdr>
        <w:top w:val="none" w:sz="0" w:space="0" w:color="auto"/>
        <w:left w:val="none" w:sz="0" w:space="0" w:color="auto"/>
        <w:bottom w:val="none" w:sz="0" w:space="0" w:color="auto"/>
        <w:right w:val="none" w:sz="0" w:space="0" w:color="auto"/>
      </w:divBdr>
    </w:div>
    <w:div w:id="17782291">
      <w:bodyDiv w:val="1"/>
      <w:marLeft w:val="0"/>
      <w:marRight w:val="0"/>
      <w:marTop w:val="0"/>
      <w:marBottom w:val="0"/>
      <w:divBdr>
        <w:top w:val="none" w:sz="0" w:space="0" w:color="auto"/>
        <w:left w:val="none" w:sz="0" w:space="0" w:color="auto"/>
        <w:bottom w:val="none" w:sz="0" w:space="0" w:color="auto"/>
        <w:right w:val="none" w:sz="0" w:space="0" w:color="auto"/>
      </w:divBdr>
    </w:div>
    <w:div w:id="27918450">
      <w:bodyDiv w:val="1"/>
      <w:marLeft w:val="0"/>
      <w:marRight w:val="0"/>
      <w:marTop w:val="0"/>
      <w:marBottom w:val="0"/>
      <w:divBdr>
        <w:top w:val="none" w:sz="0" w:space="0" w:color="auto"/>
        <w:left w:val="none" w:sz="0" w:space="0" w:color="auto"/>
        <w:bottom w:val="none" w:sz="0" w:space="0" w:color="auto"/>
        <w:right w:val="none" w:sz="0" w:space="0" w:color="auto"/>
      </w:divBdr>
    </w:div>
    <w:div w:id="45878594">
      <w:bodyDiv w:val="1"/>
      <w:marLeft w:val="0"/>
      <w:marRight w:val="0"/>
      <w:marTop w:val="0"/>
      <w:marBottom w:val="0"/>
      <w:divBdr>
        <w:top w:val="none" w:sz="0" w:space="0" w:color="auto"/>
        <w:left w:val="none" w:sz="0" w:space="0" w:color="auto"/>
        <w:bottom w:val="none" w:sz="0" w:space="0" w:color="auto"/>
        <w:right w:val="none" w:sz="0" w:space="0" w:color="auto"/>
      </w:divBdr>
    </w:div>
    <w:div w:id="72820496">
      <w:bodyDiv w:val="1"/>
      <w:marLeft w:val="0"/>
      <w:marRight w:val="0"/>
      <w:marTop w:val="0"/>
      <w:marBottom w:val="0"/>
      <w:divBdr>
        <w:top w:val="none" w:sz="0" w:space="0" w:color="auto"/>
        <w:left w:val="none" w:sz="0" w:space="0" w:color="auto"/>
        <w:bottom w:val="none" w:sz="0" w:space="0" w:color="auto"/>
        <w:right w:val="none" w:sz="0" w:space="0" w:color="auto"/>
      </w:divBdr>
    </w:div>
    <w:div w:id="77945258">
      <w:bodyDiv w:val="1"/>
      <w:marLeft w:val="0"/>
      <w:marRight w:val="0"/>
      <w:marTop w:val="0"/>
      <w:marBottom w:val="0"/>
      <w:divBdr>
        <w:top w:val="none" w:sz="0" w:space="0" w:color="auto"/>
        <w:left w:val="none" w:sz="0" w:space="0" w:color="auto"/>
        <w:bottom w:val="none" w:sz="0" w:space="0" w:color="auto"/>
        <w:right w:val="none" w:sz="0" w:space="0" w:color="auto"/>
      </w:divBdr>
    </w:div>
    <w:div w:id="78135446">
      <w:bodyDiv w:val="1"/>
      <w:marLeft w:val="0"/>
      <w:marRight w:val="0"/>
      <w:marTop w:val="0"/>
      <w:marBottom w:val="0"/>
      <w:divBdr>
        <w:top w:val="none" w:sz="0" w:space="0" w:color="auto"/>
        <w:left w:val="none" w:sz="0" w:space="0" w:color="auto"/>
        <w:bottom w:val="none" w:sz="0" w:space="0" w:color="auto"/>
        <w:right w:val="none" w:sz="0" w:space="0" w:color="auto"/>
      </w:divBdr>
    </w:div>
    <w:div w:id="84959456">
      <w:bodyDiv w:val="1"/>
      <w:marLeft w:val="0"/>
      <w:marRight w:val="0"/>
      <w:marTop w:val="0"/>
      <w:marBottom w:val="0"/>
      <w:divBdr>
        <w:top w:val="none" w:sz="0" w:space="0" w:color="auto"/>
        <w:left w:val="none" w:sz="0" w:space="0" w:color="auto"/>
        <w:bottom w:val="none" w:sz="0" w:space="0" w:color="auto"/>
        <w:right w:val="none" w:sz="0" w:space="0" w:color="auto"/>
      </w:divBdr>
    </w:div>
    <w:div w:id="99422064">
      <w:bodyDiv w:val="1"/>
      <w:marLeft w:val="0"/>
      <w:marRight w:val="0"/>
      <w:marTop w:val="0"/>
      <w:marBottom w:val="0"/>
      <w:divBdr>
        <w:top w:val="none" w:sz="0" w:space="0" w:color="auto"/>
        <w:left w:val="none" w:sz="0" w:space="0" w:color="auto"/>
        <w:bottom w:val="none" w:sz="0" w:space="0" w:color="auto"/>
        <w:right w:val="none" w:sz="0" w:space="0" w:color="auto"/>
      </w:divBdr>
    </w:div>
    <w:div w:id="109445265">
      <w:bodyDiv w:val="1"/>
      <w:marLeft w:val="0"/>
      <w:marRight w:val="0"/>
      <w:marTop w:val="0"/>
      <w:marBottom w:val="0"/>
      <w:divBdr>
        <w:top w:val="none" w:sz="0" w:space="0" w:color="auto"/>
        <w:left w:val="none" w:sz="0" w:space="0" w:color="auto"/>
        <w:bottom w:val="none" w:sz="0" w:space="0" w:color="auto"/>
        <w:right w:val="none" w:sz="0" w:space="0" w:color="auto"/>
      </w:divBdr>
    </w:div>
    <w:div w:id="112286094">
      <w:bodyDiv w:val="1"/>
      <w:marLeft w:val="0"/>
      <w:marRight w:val="0"/>
      <w:marTop w:val="0"/>
      <w:marBottom w:val="0"/>
      <w:divBdr>
        <w:top w:val="none" w:sz="0" w:space="0" w:color="auto"/>
        <w:left w:val="none" w:sz="0" w:space="0" w:color="auto"/>
        <w:bottom w:val="none" w:sz="0" w:space="0" w:color="auto"/>
        <w:right w:val="none" w:sz="0" w:space="0" w:color="auto"/>
      </w:divBdr>
    </w:div>
    <w:div w:id="113721932">
      <w:bodyDiv w:val="1"/>
      <w:marLeft w:val="0"/>
      <w:marRight w:val="0"/>
      <w:marTop w:val="0"/>
      <w:marBottom w:val="0"/>
      <w:divBdr>
        <w:top w:val="none" w:sz="0" w:space="0" w:color="auto"/>
        <w:left w:val="none" w:sz="0" w:space="0" w:color="auto"/>
        <w:bottom w:val="none" w:sz="0" w:space="0" w:color="auto"/>
        <w:right w:val="none" w:sz="0" w:space="0" w:color="auto"/>
      </w:divBdr>
    </w:div>
    <w:div w:id="122355713">
      <w:bodyDiv w:val="1"/>
      <w:marLeft w:val="0"/>
      <w:marRight w:val="0"/>
      <w:marTop w:val="0"/>
      <w:marBottom w:val="0"/>
      <w:divBdr>
        <w:top w:val="none" w:sz="0" w:space="0" w:color="auto"/>
        <w:left w:val="none" w:sz="0" w:space="0" w:color="auto"/>
        <w:bottom w:val="none" w:sz="0" w:space="0" w:color="auto"/>
        <w:right w:val="none" w:sz="0" w:space="0" w:color="auto"/>
      </w:divBdr>
    </w:div>
    <w:div w:id="134445532">
      <w:bodyDiv w:val="1"/>
      <w:marLeft w:val="0"/>
      <w:marRight w:val="0"/>
      <w:marTop w:val="0"/>
      <w:marBottom w:val="0"/>
      <w:divBdr>
        <w:top w:val="none" w:sz="0" w:space="0" w:color="auto"/>
        <w:left w:val="none" w:sz="0" w:space="0" w:color="auto"/>
        <w:bottom w:val="none" w:sz="0" w:space="0" w:color="auto"/>
        <w:right w:val="none" w:sz="0" w:space="0" w:color="auto"/>
      </w:divBdr>
    </w:div>
    <w:div w:id="144249224">
      <w:bodyDiv w:val="1"/>
      <w:marLeft w:val="0"/>
      <w:marRight w:val="0"/>
      <w:marTop w:val="0"/>
      <w:marBottom w:val="0"/>
      <w:divBdr>
        <w:top w:val="none" w:sz="0" w:space="0" w:color="auto"/>
        <w:left w:val="none" w:sz="0" w:space="0" w:color="auto"/>
        <w:bottom w:val="none" w:sz="0" w:space="0" w:color="auto"/>
        <w:right w:val="none" w:sz="0" w:space="0" w:color="auto"/>
      </w:divBdr>
    </w:div>
    <w:div w:id="146286736">
      <w:bodyDiv w:val="1"/>
      <w:marLeft w:val="0"/>
      <w:marRight w:val="0"/>
      <w:marTop w:val="0"/>
      <w:marBottom w:val="0"/>
      <w:divBdr>
        <w:top w:val="none" w:sz="0" w:space="0" w:color="auto"/>
        <w:left w:val="none" w:sz="0" w:space="0" w:color="auto"/>
        <w:bottom w:val="none" w:sz="0" w:space="0" w:color="auto"/>
        <w:right w:val="none" w:sz="0" w:space="0" w:color="auto"/>
      </w:divBdr>
    </w:div>
    <w:div w:id="146937997">
      <w:bodyDiv w:val="1"/>
      <w:marLeft w:val="0"/>
      <w:marRight w:val="0"/>
      <w:marTop w:val="0"/>
      <w:marBottom w:val="0"/>
      <w:divBdr>
        <w:top w:val="none" w:sz="0" w:space="0" w:color="auto"/>
        <w:left w:val="none" w:sz="0" w:space="0" w:color="auto"/>
        <w:bottom w:val="none" w:sz="0" w:space="0" w:color="auto"/>
        <w:right w:val="none" w:sz="0" w:space="0" w:color="auto"/>
      </w:divBdr>
    </w:div>
    <w:div w:id="149565903">
      <w:bodyDiv w:val="1"/>
      <w:marLeft w:val="0"/>
      <w:marRight w:val="0"/>
      <w:marTop w:val="0"/>
      <w:marBottom w:val="0"/>
      <w:divBdr>
        <w:top w:val="none" w:sz="0" w:space="0" w:color="auto"/>
        <w:left w:val="none" w:sz="0" w:space="0" w:color="auto"/>
        <w:bottom w:val="none" w:sz="0" w:space="0" w:color="auto"/>
        <w:right w:val="none" w:sz="0" w:space="0" w:color="auto"/>
      </w:divBdr>
    </w:div>
    <w:div w:id="158427534">
      <w:bodyDiv w:val="1"/>
      <w:marLeft w:val="0"/>
      <w:marRight w:val="0"/>
      <w:marTop w:val="0"/>
      <w:marBottom w:val="0"/>
      <w:divBdr>
        <w:top w:val="none" w:sz="0" w:space="0" w:color="auto"/>
        <w:left w:val="none" w:sz="0" w:space="0" w:color="auto"/>
        <w:bottom w:val="none" w:sz="0" w:space="0" w:color="auto"/>
        <w:right w:val="none" w:sz="0" w:space="0" w:color="auto"/>
      </w:divBdr>
    </w:div>
    <w:div w:id="163593797">
      <w:bodyDiv w:val="1"/>
      <w:marLeft w:val="0"/>
      <w:marRight w:val="0"/>
      <w:marTop w:val="0"/>
      <w:marBottom w:val="0"/>
      <w:divBdr>
        <w:top w:val="none" w:sz="0" w:space="0" w:color="auto"/>
        <w:left w:val="none" w:sz="0" w:space="0" w:color="auto"/>
        <w:bottom w:val="none" w:sz="0" w:space="0" w:color="auto"/>
        <w:right w:val="none" w:sz="0" w:space="0" w:color="auto"/>
      </w:divBdr>
    </w:div>
    <w:div w:id="168643188">
      <w:bodyDiv w:val="1"/>
      <w:marLeft w:val="0"/>
      <w:marRight w:val="0"/>
      <w:marTop w:val="0"/>
      <w:marBottom w:val="0"/>
      <w:divBdr>
        <w:top w:val="none" w:sz="0" w:space="0" w:color="auto"/>
        <w:left w:val="none" w:sz="0" w:space="0" w:color="auto"/>
        <w:bottom w:val="none" w:sz="0" w:space="0" w:color="auto"/>
        <w:right w:val="none" w:sz="0" w:space="0" w:color="auto"/>
      </w:divBdr>
    </w:div>
    <w:div w:id="173571249">
      <w:bodyDiv w:val="1"/>
      <w:marLeft w:val="0"/>
      <w:marRight w:val="0"/>
      <w:marTop w:val="0"/>
      <w:marBottom w:val="0"/>
      <w:divBdr>
        <w:top w:val="none" w:sz="0" w:space="0" w:color="auto"/>
        <w:left w:val="none" w:sz="0" w:space="0" w:color="auto"/>
        <w:bottom w:val="none" w:sz="0" w:space="0" w:color="auto"/>
        <w:right w:val="none" w:sz="0" w:space="0" w:color="auto"/>
      </w:divBdr>
    </w:div>
    <w:div w:id="176315035">
      <w:bodyDiv w:val="1"/>
      <w:marLeft w:val="0"/>
      <w:marRight w:val="0"/>
      <w:marTop w:val="0"/>
      <w:marBottom w:val="0"/>
      <w:divBdr>
        <w:top w:val="none" w:sz="0" w:space="0" w:color="auto"/>
        <w:left w:val="none" w:sz="0" w:space="0" w:color="auto"/>
        <w:bottom w:val="none" w:sz="0" w:space="0" w:color="auto"/>
        <w:right w:val="none" w:sz="0" w:space="0" w:color="auto"/>
      </w:divBdr>
    </w:div>
    <w:div w:id="177736645">
      <w:bodyDiv w:val="1"/>
      <w:marLeft w:val="0"/>
      <w:marRight w:val="0"/>
      <w:marTop w:val="0"/>
      <w:marBottom w:val="0"/>
      <w:divBdr>
        <w:top w:val="none" w:sz="0" w:space="0" w:color="auto"/>
        <w:left w:val="none" w:sz="0" w:space="0" w:color="auto"/>
        <w:bottom w:val="none" w:sz="0" w:space="0" w:color="auto"/>
        <w:right w:val="none" w:sz="0" w:space="0" w:color="auto"/>
      </w:divBdr>
    </w:div>
    <w:div w:id="177818042">
      <w:bodyDiv w:val="1"/>
      <w:marLeft w:val="0"/>
      <w:marRight w:val="0"/>
      <w:marTop w:val="0"/>
      <w:marBottom w:val="0"/>
      <w:divBdr>
        <w:top w:val="none" w:sz="0" w:space="0" w:color="auto"/>
        <w:left w:val="none" w:sz="0" w:space="0" w:color="auto"/>
        <w:bottom w:val="none" w:sz="0" w:space="0" w:color="auto"/>
        <w:right w:val="none" w:sz="0" w:space="0" w:color="auto"/>
      </w:divBdr>
    </w:div>
    <w:div w:id="179051346">
      <w:bodyDiv w:val="1"/>
      <w:marLeft w:val="0"/>
      <w:marRight w:val="0"/>
      <w:marTop w:val="0"/>
      <w:marBottom w:val="0"/>
      <w:divBdr>
        <w:top w:val="none" w:sz="0" w:space="0" w:color="auto"/>
        <w:left w:val="none" w:sz="0" w:space="0" w:color="auto"/>
        <w:bottom w:val="none" w:sz="0" w:space="0" w:color="auto"/>
        <w:right w:val="none" w:sz="0" w:space="0" w:color="auto"/>
      </w:divBdr>
    </w:div>
    <w:div w:id="197741463">
      <w:bodyDiv w:val="1"/>
      <w:marLeft w:val="0"/>
      <w:marRight w:val="0"/>
      <w:marTop w:val="0"/>
      <w:marBottom w:val="0"/>
      <w:divBdr>
        <w:top w:val="none" w:sz="0" w:space="0" w:color="auto"/>
        <w:left w:val="none" w:sz="0" w:space="0" w:color="auto"/>
        <w:bottom w:val="none" w:sz="0" w:space="0" w:color="auto"/>
        <w:right w:val="none" w:sz="0" w:space="0" w:color="auto"/>
      </w:divBdr>
    </w:div>
    <w:div w:id="206843637">
      <w:bodyDiv w:val="1"/>
      <w:marLeft w:val="0"/>
      <w:marRight w:val="0"/>
      <w:marTop w:val="0"/>
      <w:marBottom w:val="0"/>
      <w:divBdr>
        <w:top w:val="none" w:sz="0" w:space="0" w:color="auto"/>
        <w:left w:val="none" w:sz="0" w:space="0" w:color="auto"/>
        <w:bottom w:val="none" w:sz="0" w:space="0" w:color="auto"/>
        <w:right w:val="none" w:sz="0" w:space="0" w:color="auto"/>
      </w:divBdr>
    </w:div>
    <w:div w:id="218253730">
      <w:bodyDiv w:val="1"/>
      <w:marLeft w:val="0"/>
      <w:marRight w:val="0"/>
      <w:marTop w:val="0"/>
      <w:marBottom w:val="0"/>
      <w:divBdr>
        <w:top w:val="none" w:sz="0" w:space="0" w:color="auto"/>
        <w:left w:val="none" w:sz="0" w:space="0" w:color="auto"/>
        <w:bottom w:val="none" w:sz="0" w:space="0" w:color="auto"/>
        <w:right w:val="none" w:sz="0" w:space="0" w:color="auto"/>
      </w:divBdr>
    </w:div>
    <w:div w:id="219050730">
      <w:bodyDiv w:val="1"/>
      <w:marLeft w:val="0"/>
      <w:marRight w:val="0"/>
      <w:marTop w:val="0"/>
      <w:marBottom w:val="0"/>
      <w:divBdr>
        <w:top w:val="none" w:sz="0" w:space="0" w:color="auto"/>
        <w:left w:val="none" w:sz="0" w:space="0" w:color="auto"/>
        <w:bottom w:val="none" w:sz="0" w:space="0" w:color="auto"/>
        <w:right w:val="none" w:sz="0" w:space="0" w:color="auto"/>
      </w:divBdr>
    </w:div>
    <w:div w:id="231357680">
      <w:bodyDiv w:val="1"/>
      <w:marLeft w:val="0"/>
      <w:marRight w:val="0"/>
      <w:marTop w:val="0"/>
      <w:marBottom w:val="0"/>
      <w:divBdr>
        <w:top w:val="none" w:sz="0" w:space="0" w:color="auto"/>
        <w:left w:val="none" w:sz="0" w:space="0" w:color="auto"/>
        <w:bottom w:val="none" w:sz="0" w:space="0" w:color="auto"/>
        <w:right w:val="none" w:sz="0" w:space="0" w:color="auto"/>
      </w:divBdr>
    </w:div>
    <w:div w:id="232588693">
      <w:bodyDiv w:val="1"/>
      <w:marLeft w:val="0"/>
      <w:marRight w:val="0"/>
      <w:marTop w:val="0"/>
      <w:marBottom w:val="0"/>
      <w:divBdr>
        <w:top w:val="none" w:sz="0" w:space="0" w:color="auto"/>
        <w:left w:val="none" w:sz="0" w:space="0" w:color="auto"/>
        <w:bottom w:val="none" w:sz="0" w:space="0" w:color="auto"/>
        <w:right w:val="none" w:sz="0" w:space="0" w:color="auto"/>
      </w:divBdr>
    </w:div>
    <w:div w:id="239097704">
      <w:bodyDiv w:val="1"/>
      <w:marLeft w:val="0"/>
      <w:marRight w:val="0"/>
      <w:marTop w:val="0"/>
      <w:marBottom w:val="0"/>
      <w:divBdr>
        <w:top w:val="none" w:sz="0" w:space="0" w:color="auto"/>
        <w:left w:val="none" w:sz="0" w:space="0" w:color="auto"/>
        <w:bottom w:val="none" w:sz="0" w:space="0" w:color="auto"/>
        <w:right w:val="none" w:sz="0" w:space="0" w:color="auto"/>
      </w:divBdr>
    </w:div>
    <w:div w:id="250042673">
      <w:bodyDiv w:val="1"/>
      <w:marLeft w:val="0"/>
      <w:marRight w:val="0"/>
      <w:marTop w:val="0"/>
      <w:marBottom w:val="0"/>
      <w:divBdr>
        <w:top w:val="none" w:sz="0" w:space="0" w:color="auto"/>
        <w:left w:val="none" w:sz="0" w:space="0" w:color="auto"/>
        <w:bottom w:val="none" w:sz="0" w:space="0" w:color="auto"/>
        <w:right w:val="none" w:sz="0" w:space="0" w:color="auto"/>
      </w:divBdr>
    </w:div>
    <w:div w:id="252785605">
      <w:bodyDiv w:val="1"/>
      <w:marLeft w:val="0"/>
      <w:marRight w:val="0"/>
      <w:marTop w:val="0"/>
      <w:marBottom w:val="0"/>
      <w:divBdr>
        <w:top w:val="none" w:sz="0" w:space="0" w:color="auto"/>
        <w:left w:val="none" w:sz="0" w:space="0" w:color="auto"/>
        <w:bottom w:val="none" w:sz="0" w:space="0" w:color="auto"/>
        <w:right w:val="none" w:sz="0" w:space="0" w:color="auto"/>
      </w:divBdr>
    </w:div>
    <w:div w:id="256796895">
      <w:bodyDiv w:val="1"/>
      <w:marLeft w:val="0"/>
      <w:marRight w:val="0"/>
      <w:marTop w:val="0"/>
      <w:marBottom w:val="0"/>
      <w:divBdr>
        <w:top w:val="none" w:sz="0" w:space="0" w:color="auto"/>
        <w:left w:val="none" w:sz="0" w:space="0" w:color="auto"/>
        <w:bottom w:val="none" w:sz="0" w:space="0" w:color="auto"/>
        <w:right w:val="none" w:sz="0" w:space="0" w:color="auto"/>
      </w:divBdr>
    </w:div>
    <w:div w:id="258415657">
      <w:bodyDiv w:val="1"/>
      <w:marLeft w:val="0"/>
      <w:marRight w:val="0"/>
      <w:marTop w:val="0"/>
      <w:marBottom w:val="0"/>
      <w:divBdr>
        <w:top w:val="none" w:sz="0" w:space="0" w:color="auto"/>
        <w:left w:val="none" w:sz="0" w:space="0" w:color="auto"/>
        <w:bottom w:val="none" w:sz="0" w:space="0" w:color="auto"/>
        <w:right w:val="none" w:sz="0" w:space="0" w:color="auto"/>
      </w:divBdr>
    </w:div>
    <w:div w:id="267809758">
      <w:bodyDiv w:val="1"/>
      <w:marLeft w:val="0"/>
      <w:marRight w:val="0"/>
      <w:marTop w:val="0"/>
      <w:marBottom w:val="0"/>
      <w:divBdr>
        <w:top w:val="none" w:sz="0" w:space="0" w:color="auto"/>
        <w:left w:val="none" w:sz="0" w:space="0" w:color="auto"/>
        <w:bottom w:val="none" w:sz="0" w:space="0" w:color="auto"/>
        <w:right w:val="none" w:sz="0" w:space="0" w:color="auto"/>
      </w:divBdr>
    </w:div>
    <w:div w:id="280305592">
      <w:bodyDiv w:val="1"/>
      <w:marLeft w:val="0"/>
      <w:marRight w:val="0"/>
      <w:marTop w:val="0"/>
      <w:marBottom w:val="0"/>
      <w:divBdr>
        <w:top w:val="none" w:sz="0" w:space="0" w:color="auto"/>
        <w:left w:val="none" w:sz="0" w:space="0" w:color="auto"/>
        <w:bottom w:val="none" w:sz="0" w:space="0" w:color="auto"/>
        <w:right w:val="none" w:sz="0" w:space="0" w:color="auto"/>
      </w:divBdr>
    </w:div>
    <w:div w:id="284894976">
      <w:bodyDiv w:val="1"/>
      <w:marLeft w:val="0"/>
      <w:marRight w:val="0"/>
      <w:marTop w:val="0"/>
      <w:marBottom w:val="0"/>
      <w:divBdr>
        <w:top w:val="none" w:sz="0" w:space="0" w:color="auto"/>
        <w:left w:val="none" w:sz="0" w:space="0" w:color="auto"/>
        <w:bottom w:val="none" w:sz="0" w:space="0" w:color="auto"/>
        <w:right w:val="none" w:sz="0" w:space="0" w:color="auto"/>
      </w:divBdr>
    </w:div>
    <w:div w:id="288629058">
      <w:bodyDiv w:val="1"/>
      <w:marLeft w:val="0"/>
      <w:marRight w:val="0"/>
      <w:marTop w:val="0"/>
      <w:marBottom w:val="0"/>
      <w:divBdr>
        <w:top w:val="none" w:sz="0" w:space="0" w:color="auto"/>
        <w:left w:val="none" w:sz="0" w:space="0" w:color="auto"/>
        <w:bottom w:val="none" w:sz="0" w:space="0" w:color="auto"/>
        <w:right w:val="none" w:sz="0" w:space="0" w:color="auto"/>
      </w:divBdr>
    </w:div>
    <w:div w:id="315306950">
      <w:bodyDiv w:val="1"/>
      <w:marLeft w:val="0"/>
      <w:marRight w:val="0"/>
      <w:marTop w:val="0"/>
      <w:marBottom w:val="0"/>
      <w:divBdr>
        <w:top w:val="none" w:sz="0" w:space="0" w:color="auto"/>
        <w:left w:val="none" w:sz="0" w:space="0" w:color="auto"/>
        <w:bottom w:val="none" w:sz="0" w:space="0" w:color="auto"/>
        <w:right w:val="none" w:sz="0" w:space="0" w:color="auto"/>
      </w:divBdr>
    </w:div>
    <w:div w:id="322203736">
      <w:bodyDiv w:val="1"/>
      <w:marLeft w:val="0"/>
      <w:marRight w:val="0"/>
      <w:marTop w:val="0"/>
      <w:marBottom w:val="0"/>
      <w:divBdr>
        <w:top w:val="none" w:sz="0" w:space="0" w:color="auto"/>
        <w:left w:val="none" w:sz="0" w:space="0" w:color="auto"/>
        <w:bottom w:val="none" w:sz="0" w:space="0" w:color="auto"/>
        <w:right w:val="none" w:sz="0" w:space="0" w:color="auto"/>
      </w:divBdr>
    </w:div>
    <w:div w:id="325482055">
      <w:bodyDiv w:val="1"/>
      <w:marLeft w:val="0"/>
      <w:marRight w:val="0"/>
      <w:marTop w:val="0"/>
      <w:marBottom w:val="0"/>
      <w:divBdr>
        <w:top w:val="none" w:sz="0" w:space="0" w:color="auto"/>
        <w:left w:val="none" w:sz="0" w:space="0" w:color="auto"/>
        <w:bottom w:val="none" w:sz="0" w:space="0" w:color="auto"/>
        <w:right w:val="none" w:sz="0" w:space="0" w:color="auto"/>
      </w:divBdr>
    </w:div>
    <w:div w:id="333454022">
      <w:bodyDiv w:val="1"/>
      <w:marLeft w:val="0"/>
      <w:marRight w:val="0"/>
      <w:marTop w:val="0"/>
      <w:marBottom w:val="0"/>
      <w:divBdr>
        <w:top w:val="none" w:sz="0" w:space="0" w:color="auto"/>
        <w:left w:val="none" w:sz="0" w:space="0" w:color="auto"/>
        <w:bottom w:val="none" w:sz="0" w:space="0" w:color="auto"/>
        <w:right w:val="none" w:sz="0" w:space="0" w:color="auto"/>
      </w:divBdr>
    </w:div>
    <w:div w:id="337778970">
      <w:bodyDiv w:val="1"/>
      <w:marLeft w:val="0"/>
      <w:marRight w:val="0"/>
      <w:marTop w:val="0"/>
      <w:marBottom w:val="0"/>
      <w:divBdr>
        <w:top w:val="none" w:sz="0" w:space="0" w:color="auto"/>
        <w:left w:val="none" w:sz="0" w:space="0" w:color="auto"/>
        <w:bottom w:val="none" w:sz="0" w:space="0" w:color="auto"/>
        <w:right w:val="none" w:sz="0" w:space="0" w:color="auto"/>
      </w:divBdr>
    </w:div>
    <w:div w:id="339889111">
      <w:bodyDiv w:val="1"/>
      <w:marLeft w:val="0"/>
      <w:marRight w:val="0"/>
      <w:marTop w:val="0"/>
      <w:marBottom w:val="0"/>
      <w:divBdr>
        <w:top w:val="none" w:sz="0" w:space="0" w:color="auto"/>
        <w:left w:val="none" w:sz="0" w:space="0" w:color="auto"/>
        <w:bottom w:val="none" w:sz="0" w:space="0" w:color="auto"/>
        <w:right w:val="none" w:sz="0" w:space="0" w:color="auto"/>
      </w:divBdr>
    </w:div>
    <w:div w:id="343628036">
      <w:bodyDiv w:val="1"/>
      <w:marLeft w:val="0"/>
      <w:marRight w:val="0"/>
      <w:marTop w:val="0"/>
      <w:marBottom w:val="0"/>
      <w:divBdr>
        <w:top w:val="none" w:sz="0" w:space="0" w:color="auto"/>
        <w:left w:val="none" w:sz="0" w:space="0" w:color="auto"/>
        <w:bottom w:val="none" w:sz="0" w:space="0" w:color="auto"/>
        <w:right w:val="none" w:sz="0" w:space="0" w:color="auto"/>
      </w:divBdr>
    </w:div>
    <w:div w:id="349533179">
      <w:bodyDiv w:val="1"/>
      <w:marLeft w:val="0"/>
      <w:marRight w:val="0"/>
      <w:marTop w:val="0"/>
      <w:marBottom w:val="0"/>
      <w:divBdr>
        <w:top w:val="none" w:sz="0" w:space="0" w:color="auto"/>
        <w:left w:val="none" w:sz="0" w:space="0" w:color="auto"/>
        <w:bottom w:val="none" w:sz="0" w:space="0" w:color="auto"/>
        <w:right w:val="none" w:sz="0" w:space="0" w:color="auto"/>
      </w:divBdr>
    </w:div>
    <w:div w:id="350035666">
      <w:bodyDiv w:val="1"/>
      <w:marLeft w:val="0"/>
      <w:marRight w:val="0"/>
      <w:marTop w:val="0"/>
      <w:marBottom w:val="0"/>
      <w:divBdr>
        <w:top w:val="none" w:sz="0" w:space="0" w:color="auto"/>
        <w:left w:val="none" w:sz="0" w:space="0" w:color="auto"/>
        <w:bottom w:val="none" w:sz="0" w:space="0" w:color="auto"/>
        <w:right w:val="none" w:sz="0" w:space="0" w:color="auto"/>
      </w:divBdr>
    </w:div>
    <w:div w:id="361051158">
      <w:bodyDiv w:val="1"/>
      <w:marLeft w:val="0"/>
      <w:marRight w:val="0"/>
      <w:marTop w:val="0"/>
      <w:marBottom w:val="0"/>
      <w:divBdr>
        <w:top w:val="none" w:sz="0" w:space="0" w:color="auto"/>
        <w:left w:val="none" w:sz="0" w:space="0" w:color="auto"/>
        <w:bottom w:val="none" w:sz="0" w:space="0" w:color="auto"/>
        <w:right w:val="none" w:sz="0" w:space="0" w:color="auto"/>
      </w:divBdr>
    </w:div>
    <w:div w:id="364982438">
      <w:bodyDiv w:val="1"/>
      <w:marLeft w:val="0"/>
      <w:marRight w:val="0"/>
      <w:marTop w:val="0"/>
      <w:marBottom w:val="0"/>
      <w:divBdr>
        <w:top w:val="none" w:sz="0" w:space="0" w:color="auto"/>
        <w:left w:val="none" w:sz="0" w:space="0" w:color="auto"/>
        <w:bottom w:val="none" w:sz="0" w:space="0" w:color="auto"/>
        <w:right w:val="none" w:sz="0" w:space="0" w:color="auto"/>
      </w:divBdr>
    </w:div>
    <w:div w:id="369573203">
      <w:bodyDiv w:val="1"/>
      <w:marLeft w:val="0"/>
      <w:marRight w:val="0"/>
      <w:marTop w:val="0"/>
      <w:marBottom w:val="0"/>
      <w:divBdr>
        <w:top w:val="none" w:sz="0" w:space="0" w:color="auto"/>
        <w:left w:val="none" w:sz="0" w:space="0" w:color="auto"/>
        <w:bottom w:val="none" w:sz="0" w:space="0" w:color="auto"/>
        <w:right w:val="none" w:sz="0" w:space="0" w:color="auto"/>
      </w:divBdr>
    </w:div>
    <w:div w:id="372967146">
      <w:bodyDiv w:val="1"/>
      <w:marLeft w:val="0"/>
      <w:marRight w:val="0"/>
      <w:marTop w:val="0"/>
      <w:marBottom w:val="0"/>
      <w:divBdr>
        <w:top w:val="none" w:sz="0" w:space="0" w:color="auto"/>
        <w:left w:val="none" w:sz="0" w:space="0" w:color="auto"/>
        <w:bottom w:val="none" w:sz="0" w:space="0" w:color="auto"/>
        <w:right w:val="none" w:sz="0" w:space="0" w:color="auto"/>
      </w:divBdr>
    </w:div>
    <w:div w:id="392704988">
      <w:bodyDiv w:val="1"/>
      <w:marLeft w:val="0"/>
      <w:marRight w:val="0"/>
      <w:marTop w:val="0"/>
      <w:marBottom w:val="0"/>
      <w:divBdr>
        <w:top w:val="none" w:sz="0" w:space="0" w:color="auto"/>
        <w:left w:val="none" w:sz="0" w:space="0" w:color="auto"/>
        <w:bottom w:val="none" w:sz="0" w:space="0" w:color="auto"/>
        <w:right w:val="none" w:sz="0" w:space="0" w:color="auto"/>
      </w:divBdr>
    </w:div>
    <w:div w:id="392823230">
      <w:bodyDiv w:val="1"/>
      <w:marLeft w:val="0"/>
      <w:marRight w:val="0"/>
      <w:marTop w:val="0"/>
      <w:marBottom w:val="0"/>
      <w:divBdr>
        <w:top w:val="none" w:sz="0" w:space="0" w:color="auto"/>
        <w:left w:val="none" w:sz="0" w:space="0" w:color="auto"/>
        <w:bottom w:val="none" w:sz="0" w:space="0" w:color="auto"/>
        <w:right w:val="none" w:sz="0" w:space="0" w:color="auto"/>
      </w:divBdr>
    </w:div>
    <w:div w:id="392890590">
      <w:bodyDiv w:val="1"/>
      <w:marLeft w:val="0"/>
      <w:marRight w:val="0"/>
      <w:marTop w:val="0"/>
      <w:marBottom w:val="0"/>
      <w:divBdr>
        <w:top w:val="none" w:sz="0" w:space="0" w:color="auto"/>
        <w:left w:val="none" w:sz="0" w:space="0" w:color="auto"/>
        <w:bottom w:val="none" w:sz="0" w:space="0" w:color="auto"/>
        <w:right w:val="none" w:sz="0" w:space="0" w:color="auto"/>
      </w:divBdr>
    </w:div>
    <w:div w:id="395713911">
      <w:bodyDiv w:val="1"/>
      <w:marLeft w:val="0"/>
      <w:marRight w:val="0"/>
      <w:marTop w:val="0"/>
      <w:marBottom w:val="0"/>
      <w:divBdr>
        <w:top w:val="none" w:sz="0" w:space="0" w:color="auto"/>
        <w:left w:val="none" w:sz="0" w:space="0" w:color="auto"/>
        <w:bottom w:val="none" w:sz="0" w:space="0" w:color="auto"/>
        <w:right w:val="none" w:sz="0" w:space="0" w:color="auto"/>
      </w:divBdr>
    </w:div>
    <w:div w:id="400176638">
      <w:bodyDiv w:val="1"/>
      <w:marLeft w:val="0"/>
      <w:marRight w:val="0"/>
      <w:marTop w:val="0"/>
      <w:marBottom w:val="0"/>
      <w:divBdr>
        <w:top w:val="none" w:sz="0" w:space="0" w:color="auto"/>
        <w:left w:val="none" w:sz="0" w:space="0" w:color="auto"/>
        <w:bottom w:val="none" w:sz="0" w:space="0" w:color="auto"/>
        <w:right w:val="none" w:sz="0" w:space="0" w:color="auto"/>
      </w:divBdr>
    </w:div>
    <w:div w:id="403992712">
      <w:bodyDiv w:val="1"/>
      <w:marLeft w:val="0"/>
      <w:marRight w:val="0"/>
      <w:marTop w:val="0"/>
      <w:marBottom w:val="0"/>
      <w:divBdr>
        <w:top w:val="none" w:sz="0" w:space="0" w:color="auto"/>
        <w:left w:val="none" w:sz="0" w:space="0" w:color="auto"/>
        <w:bottom w:val="none" w:sz="0" w:space="0" w:color="auto"/>
        <w:right w:val="none" w:sz="0" w:space="0" w:color="auto"/>
      </w:divBdr>
    </w:div>
    <w:div w:id="406995534">
      <w:bodyDiv w:val="1"/>
      <w:marLeft w:val="0"/>
      <w:marRight w:val="0"/>
      <w:marTop w:val="0"/>
      <w:marBottom w:val="0"/>
      <w:divBdr>
        <w:top w:val="none" w:sz="0" w:space="0" w:color="auto"/>
        <w:left w:val="none" w:sz="0" w:space="0" w:color="auto"/>
        <w:bottom w:val="none" w:sz="0" w:space="0" w:color="auto"/>
        <w:right w:val="none" w:sz="0" w:space="0" w:color="auto"/>
      </w:divBdr>
    </w:div>
    <w:div w:id="417021622">
      <w:bodyDiv w:val="1"/>
      <w:marLeft w:val="0"/>
      <w:marRight w:val="0"/>
      <w:marTop w:val="0"/>
      <w:marBottom w:val="0"/>
      <w:divBdr>
        <w:top w:val="none" w:sz="0" w:space="0" w:color="auto"/>
        <w:left w:val="none" w:sz="0" w:space="0" w:color="auto"/>
        <w:bottom w:val="none" w:sz="0" w:space="0" w:color="auto"/>
        <w:right w:val="none" w:sz="0" w:space="0" w:color="auto"/>
      </w:divBdr>
    </w:div>
    <w:div w:id="422655400">
      <w:bodyDiv w:val="1"/>
      <w:marLeft w:val="0"/>
      <w:marRight w:val="0"/>
      <w:marTop w:val="0"/>
      <w:marBottom w:val="0"/>
      <w:divBdr>
        <w:top w:val="none" w:sz="0" w:space="0" w:color="auto"/>
        <w:left w:val="none" w:sz="0" w:space="0" w:color="auto"/>
        <w:bottom w:val="none" w:sz="0" w:space="0" w:color="auto"/>
        <w:right w:val="none" w:sz="0" w:space="0" w:color="auto"/>
      </w:divBdr>
    </w:div>
    <w:div w:id="436565966">
      <w:bodyDiv w:val="1"/>
      <w:marLeft w:val="0"/>
      <w:marRight w:val="0"/>
      <w:marTop w:val="0"/>
      <w:marBottom w:val="0"/>
      <w:divBdr>
        <w:top w:val="none" w:sz="0" w:space="0" w:color="auto"/>
        <w:left w:val="none" w:sz="0" w:space="0" w:color="auto"/>
        <w:bottom w:val="none" w:sz="0" w:space="0" w:color="auto"/>
        <w:right w:val="none" w:sz="0" w:space="0" w:color="auto"/>
      </w:divBdr>
    </w:div>
    <w:div w:id="439647500">
      <w:bodyDiv w:val="1"/>
      <w:marLeft w:val="0"/>
      <w:marRight w:val="0"/>
      <w:marTop w:val="0"/>
      <w:marBottom w:val="0"/>
      <w:divBdr>
        <w:top w:val="none" w:sz="0" w:space="0" w:color="auto"/>
        <w:left w:val="none" w:sz="0" w:space="0" w:color="auto"/>
        <w:bottom w:val="none" w:sz="0" w:space="0" w:color="auto"/>
        <w:right w:val="none" w:sz="0" w:space="0" w:color="auto"/>
      </w:divBdr>
    </w:div>
    <w:div w:id="440565063">
      <w:bodyDiv w:val="1"/>
      <w:marLeft w:val="0"/>
      <w:marRight w:val="0"/>
      <w:marTop w:val="0"/>
      <w:marBottom w:val="0"/>
      <w:divBdr>
        <w:top w:val="none" w:sz="0" w:space="0" w:color="auto"/>
        <w:left w:val="none" w:sz="0" w:space="0" w:color="auto"/>
        <w:bottom w:val="none" w:sz="0" w:space="0" w:color="auto"/>
        <w:right w:val="none" w:sz="0" w:space="0" w:color="auto"/>
      </w:divBdr>
    </w:div>
    <w:div w:id="443306635">
      <w:bodyDiv w:val="1"/>
      <w:marLeft w:val="0"/>
      <w:marRight w:val="0"/>
      <w:marTop w:val="0"/>
      <w:marBottom w:val="0"/>
      <w:divBdr>
        <w:top w:val="none" w:sz="0" w:space="0" w:color="auto"/>
        <w:left w:val="none" w:sz="0" w:space="0" w:color="auto"/>
        <w:bottom w:val="none" w:sz="0" w:space="0" w:color="auto"/>
        <w:right w:val="none" w:sz="0" w:space="0" w:color="auto"/>
      </w:divBdr>
    </w:div>
    <w:div w:id="448669581">
      <w:bodyDiv w:val="1"/>
      <w:marLeft w:val="0"/>
      <w:marRight w:val="0"/>
      <w:marTop w:val="0"/>
      <w:marBottom w:val="0"/>
      <w:divBdr>
        <w:top w:val="none" w:sz="0" w:space="0" w:color="auto"/>
        <w:left w:val="none" w:sz="0" w:space="0" w:color="auto"/>
        <w:bottom w:val="none" w:sz="0" w:space="0" w:color="auto"/>
        <w:right w:val="none" w:sz="0" w:space="0" w:color="auto"/>
      </w:divBdr>
    </w:div>
    <w:div w:id="451486674">
      <w:bodyDiv w:val="1"/>
      <w:marLeft w:val="0"/>
      <w:marRight w:val="0"/>
      <w:marTop w:val="0"/>
      <w:marBottom w:val="0"/>
      <w:divBdr>
        <w:top w:val="none" w:sz="0" w:space="0" w:color="auto"/>
        <w:left w:val="none" w:sz="0" w:space="0" w:color="auto"/>
        <w:bottom w:val="none" w:sz="0" w:space="0" w:color="auto"/>
        <w:right w:val="none" w:sz="0" w:space="0" w:color="auto"/>
      </w:divBdr>
    </w:div>
    <w:div w:id="475804717">
      <w:bodyDiv w:val="1"/>
      <w:marLeft w:val="0"/>
      <w:marRight w:val="0"/>
      <w:marTop w:val="0"/>
      <w:marBottom w:val="0"/>
      <w:divBdr>
        <w:top w:val="none" w:sz="0" w:space="0" w:color="auto"/>
        <w:left w:val="none" w:sz="0" w:space="0" w:color="auto"/>
        <w:bottom w:val="none" w:sz="0" w:space="0" w:color="auto"/>
        <w:right w:val="none" w:sz="0" w:space="0" w:color="auto"/>
      </w:divBdr>
    </w:div>
    <w:div w:id="479617925">
      <w:bodyDiv w:val="1"/>
      <w:marLeft w:val="0"/>
      <w:marRight w:val="0"/>
      <w:marTop w:val="0"/>
      <w:marBottom w:val="0"/>
      <w:divBdr>
        <w:top w:val="none" w:sz="0" w:space="0" w:color="auto"/>
        <w:left w:val="none" w:sz="0" w:space="0" w:color="auto"/>
        <w:bottom w:val="none" w:sz="0" w:space="0" w:color="auto"/>
        <w:right w:val="none" w:sz="0" w:space="0" w:color="auto"/>
      </w:divBdr>
    </w:div>
    <w:div w:id="481892824">
      <w:bodyDiv w:val="1"/>
      <w:marLeft w:val="0"/>
      <w:marRight w:val="0"/>
      <w:marTop w:val="0"/>
      <w:marBottom w:val="0"/>
      <w:divBdr>
        <w:top w:val="none" w:sz="0" w:space="0" w:color="auto"/>
        <w:left w:val="none" w:sz="0" w:space="0" w:color="auto"/>
        <w:bottom w:val="none" w:sz="0" w:space="0" w:color="auto"/>
        <w:right w:val="none" w:sz="0" w:space="0" w:color="auto"/>
      </w:divBdr>
    </w:div>
    <w:div w:id="492068329">
      <w:bodyDiv w:val="1"/>
      <w:marLeft w:val="0"/>
      <w:marRight w:val="0"/>
      <w:marTop w:val="0"/>
      <w:marBottom w:val="0"/>
      <w:divBdr>
        <w:top w:val="none" w:sz="0" w:space="0" w:color="auto"/>
        <w:left w:val="none" w:sz="0" w:space="0" w:color="auto"/>
        <w:bottom w:val="none" w:sz="0" w:space="0" w:color="auto"/>
        <w:right w:val="none" w:sz="0" w:space="0" w:color="auto"/>
      </w:divBdr>
    </w:div>
    <w:div w:id="492457220">
      <w:bodyDiv w:val="1"/>
      <w:marLeft w:val="0"/>
      <w:marRight w:val="0"/>
      <w:marTop w:val="0"/>
      <w:marBottom w:val="0"/>
      <w:divBdr>
        <w:top w:val="none" w:sz="0" w:space="0" w:color="auto"/>
        <w:left w:val="none" w:sz="0" w:space="0" w:color="auto"/>
        <w:bottom w:val="none" w:sz="0" w:space="0" w:color="auto"/>
        <w:right w:val="none" w:sz="0" w:space="0" w:color="auto"/>
      </w:divBdr>
    </w:div>
    <w:div w:id="495532557">
      <w:bodyDiv w:val="1"/>
      <w:marLeft w:val="0"/>
      <w:marRight w:val="0"/>
      <w:marTop w:val="0"/>
      <w:marBottom w:val="0"/>
      <w:divBdr>
        <w:top w:val="none" w:sz="0" w:space="0" w:color="auto"/>
        <w:left w:val="none" w:sz="0" w:space="0" w:color="auto"/>
        <w:bottom w:val="none" w:sz="0" w:space="0" w:color="auto"/>
        <w:right w:val="none" w:sz="0" w:space="0" w:color="auto"/>
      </w:divBdr>
    </w:div>
    <w:div w:id="501358271">
      <w:bodyDiv w:val="1"/>
      <w:marLeft w:val="0"/>
      <w:marRight w:val="0"/>
      <w:marTop w:val="0"/>
      <w:marBottom w:val="0"/>
      <w:divBdr>
        <w:top w:val="none" w:sz="0" w:space="0" w:color="auto"/>
        <w:left w:val="none" w:sz="0" w:space="0" w:color="auto"/>
        <w:bottom w:val="none" w:sz="0" w:space="0" w:color="auto"/>
        <w:right w:val="none" w:sz="0" w:space="0" w:color="auto"/>
      </w:divBdr>
    </w:div>
    <w:div w:id="508833381">
      <w:bodyDiv w:val="1"/>
      <w:marLeft w:val="0"/>
      <w:marRight w:val="0"/>
      <w:marTop w:val="0"/>
      <w:marBottom w:val="0"/>
      <w:divBdr>
        <w:top w:val="none" w:sz="0" w:space="0" w:color="auto"/>
        <w:left w:val="none" w:sz="0" w:space="0" w:color="auto"/>
        <w:bottom w:val="none" w:sz="0" w:space="0" w:color="auto"/>
        <w:right w:val="none" w:sz="0" w:space="0" w:color="auto"/>
      </w:divBdr>
    </w:div>
    <w:div w:id="519003818">
      <w:bodyDiv w:val="1"/>
      <w:marLeft w:val="0"/>
      <w:marRight w:val="0"/>
      <w:marTop w:val="0"/>
      <w:marBottom w:val="0"/>
      <w:divBdr>
        <w:top w:val="none" w:sz="0" w:space="0" w:color="auto"/>
        <w:left w:val="none" w:sz="0" w:space="0" w:color="auto"/>
        <w:bottom w:val="none" w:sz="0" w:space="0" w:color="auto"/>
        <w:right w:val="none" w:sz="0" w:space="0" w:color="auto"/>
      </w:divBdr>
    </w:div>
    <w:div w:id="519785784">
      <w:bodyDiv w:val="1"/>
      <w:marLeft w:val="0"/>
      <w:marRight w:val="0"/>
      <w:marTop w:val="0"/>
      <w:marBottom w:val="0"/>
      <w:divBdr>
        <w:top w:val="none" w:sz="0" w:space="0" w:color="auto"/>
        <w:left w:val="none" w:sz="0" w:space="0" w:color="auto"/>
        <w:bottom w:val="none" w:sz="0" w:space="0" w:color="auto"/>
        <w:right w:val="none" w:sz="0" w:space="0" w:color="auto"/>
      </w:divBdr>
    </w:div>
    <w:div w:id="526795570">
      <w:bodyDiv w:val="1"/>
      <w:marLeft w:val="0"/>
      <w:marRight w:val="0"/>
      <w:marTop w:val="0"/>
      <w:marBottom w:val="0"/>
      <w:divBdr>
        <w:top w:val="none" w:sz="0" w:space="0" w:color="auto"/>
        <w:left w:val="none" w:sz="0" w:space="0" w:color="auto"/>
        <w:bottom w:val="none" w:sz="0" w:space="0" w:color="auto"/>
        <w:right w:val="none" w:sz="0" w:space="0" w:color="auto"/>
      </w:divBdr>
    </w:div>
    <w:div w:id="526993575">
      <w:bodyDiv w:val="1"/>
      <w:marLeft w:val="0"/>
      <w:marRight w:val="0"/>
      <w:marTop w:val="0"/>
      <w:marBottom w:val="0"/>
      <w:divBdr>
        <w:top w:val="none" w:sz="0" w:space="0" w:color="auto"/>
        <w:left w:val="none" w:sz="0" w:space="0" w:color="auto"/>
        <w:bottom w:val="none" w:sz="0" w:space="0" w:color="auto"/>
        <w:right w:val="none" w:sz="0" w:space="0" w:color="auto"/>
      </w:divBdr>
    </w:div>
    <w:div w:id="528956077">
      <w:bodyDiv w:val="1"/>
      <w:marLeft w:val="0"/>
      <w:marRight w:val="0"/>
      <w:marTop w:val="0"/>
      <w:marBottom w:val="0"/>
      <w:divBdr>
        <w:top w:val="none" w:sz="0" w:space="0" w:color="auto"/>
        <w:left w:val="none" w:sz="0" w:space="0" w:color="auto"/>
        <w:bottom w:val="none" w:sz="0" w:space="0" w:color="auto"/>
        <w:right w:val="none" w:sz="0" w:space="0" w:color="auto"/>
      </w:divBdr>
    </w:div>
    <w:div w:id="529417598">
      <w:bodyDiv w:val="1"/>
      <w:marLeft w:val="0"/>
      <w:marRight w:val="0"/>
      <w:marTop w:val="0"/>
      <w:marBottom w:val="0"/>
      <w:divBdr>
        <w:top w:val="none" w:sz="0" w:space="0" w:color="auto"/>
        <w:left w:val="none" w:sz="0" w:space="0" w:color="auto"/>
        <w:bottom w:val="none" w:sz="0" w:space="0" w:color="auto"/>
        <w:right w:val="none" w:sz="0" w:space="0" w:color="auto"/>
      </w:divBdr>
    </w:div>
    <w:div w:id="536087217">
      <w:bodyDiv w:val="1"/>
      <w:marLeft w:val="0"/>
      <w:marRight w:val="0"/>
      <w:marTop w:val="0"/>
      <w:marBottom w:val="0"/>
      <w:divBdr>
        <w:top w:val="none" w:sz="0" w:space="0" w:color="auto"/>
        <w:left w:val="none" w:sz="0" w:space="0" w:color="auto"/>
        <w:bottom w:val="none" w:sz="0" w:space="0" w:color="auto"/>
        <w:right w:val="none" w:sz="0" w:space="0" w:color="auto"/>
      </w:divBdr>
    </w:div>
    <w:div w:id="536159720">
      <w:bodyDiv w:val="1"/>
      <w:marLeft w:val="0"/>
      <w:marRight w:val="0"/>
      <w:marTop w:val="0"/>
      <w:marBottom w:val="0"/>
      <w:divBdr>
        <w:top w:val="none" w:sz="0" w:space="0" w:color="auto"/>
        <w:left w:val="none" w:sz="0" w:space="0" w:color="auto"/>
        <w:bottom w:val="none" w:sz="0" w:space="0" w:color="auto"/>
        <w:right w:val="none" w:sz="0" w:space="0" w:color="auto"/>
      </w:divBdr>
    </w:div>
    <w:div w:id="563301188">
      <w:bodyDiv w:val="1"/>
      <w:marLeft w:val="0"/>
      <w:marRight w:val="0"/>
      <w:marTop w:val="0"/>
      <w:marBottom w:val="0"/>
      <w:divBdr>
        <w:top w:val="none" w:sz="0" w:space="0" w:color="auto"/>
        <w:left w:val="none" w:sz="0" w:space="0" w:color="auto"/>
        <w:bottom w:val="none" w:sz="0" w:space="0" w:color="auto"/>
        <w:right w:val="none" w:sz="0" w:space="0" w:color="auto"/>
      </w:divBdr>
    </w:div>
    <w:div w:id="569119773">
      <w:bodyDiv w:val="1"/>
      <w:marLeft w:val="0"/>
      <w:marRight w:val="0"/>
      <w:marTop w:val="0"/>
      <w:marBottom w:val="0"/>
      <w:divBdr>
        <w:top w:val="none" w:sz="0" w:space="0" w:color="auto"/>
        <w:left w:val="none" w:sz="0" w:space="0" w:color="auto"/>
        <w:bottom w:val="none" w:sz="0" w:space="0" w:color="auto"/>
        <w:right w:val="none" w:sz="0" w:space="0" w:color="auto"/>
      </w:divBdr>
    </w:div>
    <w:div w:id="576355543">
      <w:bodyDiv w:val="1"/>
      <w:marLeft w:val="0"/>
      <w:marRight w:val="0"/>
      <w:marTop w:val="0"/>
      <w:marBottom w:val="0"/>
      <w:divBdr>
        <w:top w:val="none" w:sz="0" w:space="0" w:color="auto"/>
        <w:left w:val="none" w:sz="0" w:space="0" w:color="auto"/>
        <w:bottom w:val="none" w:sz="0" w:space="0" w:color="auto"/>
        <w:right w:val="none" w:sz="0" w:space="0" w:color="auto"/>
      </w:divBdr>
    </w:div>
    <w:div w:id="580062146">
      <w:bodyDiv w:val="1"/>
      <w:marLeft w:val="0"/>
      <w:marRight w:val="0"/>
      <w:marTop w:val="0"/>
      <w:marBottom w:val="0"/>
      <w:divBdr>
        <w:top w:val="none" w:sz="0" w:space="0" w:color="auto"/>
        <w:left w:val="none" w:sz="0" w:space="0" w:color="auto"/>
        <w:bottom w:val="none" w:sz="0" w:space="0" w:color="auto"/>
        <w:right w:val="none" w:sz="0" w:space="0" w:color="auto"/>
      </w:divBdr>
    </w:div>
    <w:div w:id="581140018">
      <w:bodyDiv w:val="1"/>
      <w:marLeft w:val="0"/>
      <w:marRight w:val="0"/>
      <w:marTop w:val="0"/>
      <w:marBottom w:val="0"/>
      <w:divBdr>
        <w:top w:val="none" w:sz="0" w:space="0" w:color="auto"/>
        <w:left w:val="none" w:sz="0" w:space="0" w:color="auto"/>
        <w:bottom w:val="none" w:sz="0" w:space="0" w:color="auto"/>
        <w:right w:val="none" w:sz="0" w:space="0" w:color="auto"/>
      </w:divBdr>
    </w:div>
    <w:div w:id="582375076">
      <w:bodyDiv w:val="1"/>
      <w:marLeft w:val="0"/>
      <w:marRight w:val="0"/>
      <w:marTop w:val="0"/>
      <w:marBottom w:val="0"/>
      <w:divBdr>
        <w:top w:val="none" w:sz="0" w:space="0" w:color="auto"/>
        <w:left w:val="none" w:sz="0" w:space="0" w:color="auto"/>
        <w:bottom w:val="none" w:sz="0" w:space="0" w:color="auto"/>
        <w:right w:val="none" w:sz="0" w:space="0" w:color="auto"/>
      </w:divBdr>
    </w:div>
    <w:div w:id="587690392">
      <w:bodyDiv w:val="1"/>
      <w:marLeft w:val="0"/>
      <w:marRight w:val="0"/>
      <w:marTop w:val="0"/>
      <w:marBottom w:val="0"/>
      <w:divBdr>
        <w:top w:val="none" w:sz="0" w:space="0" w:color="auto"/>
        <w:left w:val="none" w:sz="0" w:space="0" w:color="auto"/>
        <w:bottom w:val="none" w:sz="0" w:space="0" w:color="auto"/>
        <w:right w:val="none" w:sz="0" w:space="0" w:color="auto"/>
      </w:divBdr>
      <w:divsChild>
        <w:div w:id="2113236103">
          <w:marLeft w:val="0"/>
          <w:marRight w:val="0"/>
          <w:marTop w:val="0"/>
          <w:marBottom w:val="0"/>
          <w:divBdr>
            <w:top w:val="none" w:sz="0" w:space="0" w:color="auto"/>
            <w:left w:val="none" w:sz="0" w:space="0" w:color="auto"/>
            <w:bottom w:val="none" w:sz="0" w:space="0" w:color="auto"/>
            <w:right w:val="none" w:sz="0" w:space="0" w:color="auto"/>
          </w:divBdr>
        </w:div>
      </w:divsChild>
    </w:div>
    <w:div w:id="598299095">
      <w:bodyDiv w:val="1"/>
      <w:marLeft w:val="0"/>
      <w:marRight w:val="0"/>
      <w:marTop w:val="0"/>
      <w:marBottom w:val="0"/>
      <w:divBdr>
        <w:top w:val="none" w:sz="0" w:space="0" w:color="auto"/>
        <w:left w:val="none" w:sz="0" w:space="0" w:color="auto"/>
        <w:bottom w:val="none" w:sz="0" w:space="0" w:color="auto"/>
        <w:right w:val="none" w:sz="0" w:space="0" w:color="auto"/>
      </w:divBdr>
    </w:div>
    <w:div w:id="608320730">
      <w:bodyDiv w:val="1"/>
      <w:marLeft w:val="0"/>
      <w:marRight w:val="0"/>
      <w:marTop w:val="0"/>
      <w:marBottom w:val="0"/>
      <w:divBdr>
        <w:top w:val="none" w:sz="0" w:space="0" w:color="auto"/>
        <w:left w:val="none" w:sz="0" w:space="0" w:color="auto"/>
        <w:bottom w:val="none" w:sz="0" w:space="0" w:color="auto"/>
        <w:right w:val="none" w:sz="0" w:space="0" w:color="auto"/>
      </w:divBdr>
    </w:div>
    <w:div w:id="609699513">
      <w:bodyDiv w:val="1"/>
      <w:marLeft w:val="0"/>
      <w:marRight w:val="0"/>
      <w:marTop w:val="0"/>
      <w:marBottom w:val="0"/>
      <w:divBdr>
        <w:top w:val="none" w:sz="0" w:space="0" w:color="auto"/>
        <w:left w:val="none" w:sz="0" w:space="0" w:color="auto"/>
        <w:bottom w:val="none" w:sz="0" w:space="0" w:color="auto"/>
        <w:right w:val="none" w:sz="0" w:space="0" w:color="auto"/>
      </w:divBdr>
    </w:div>
    <w:div w:id="610741618">
      <w:bodyDiv w:val="1"/>
      <w:marLeft w:val="0"/>
      <w:marRight w:val="0"/>
      <w:marTop w:val="0"/>
      <w:marBottom w:val="0"/>
      <w:divBdr>
        <w:top w:val="none" w:sz="0" w:space="0" w:color="auto"/>
        <w:left w:val="none" w:sz="0" w:space="0" w:color="auto"/>
        <w:bottom w:val="none" w:sz="0" w:space="0" w:color="auto"/>
        <w:right w:val="none" w:sz="0" w:space="0" w:color="auto"/>
      </w:divBdr>
    </w:div>
    <w:div w:id="613250458">
      <w:bodyDiv w:val="1"/>
      <w:marLeft w:val="0"/>
      <w:marRight w:val="0"/>
      <w:marTop w:val="0"/>
      <w:marBottom w:val="0"/>
      <w:divBdr>
        <w:top w:val="none" w:sz="0" w:space="0" w:color="auto"/>
        <w:left w:val="none" w:sz="0" w:space="0" w:color="auto"/>
        <w:bottom w:val="none" w:sz="0" w:space="0" w:color="auto"/>
        <w:right w:val="none" w:sz="0" w:space="0" w:color="auto"/>
      </w:divBdr>
    </w:div>
    <w:div w:id="616523381">
      <w:bodyDiv w:val="1"/>
      <w:marLeft w:val="0"/>
      <w:marRight w:val="0"/>
      <w:marTop w:val="0"/>
      <w:marBottom w:val="0"/>
      <w:divBdr>
        <w:top w:val="none" w:sz="0" w:space="0" w:color="auto"/>
        <w:left w:val="none" w:sz="0" w:space="0" w:color="auto"/>
        <w:bottom w:val="none" w:sz="0" w:space="0" w:color="auto"/>
        <w:right w:val="none" w:sz="0" w:space="0" w:color="auto"/>
      </w:divBdr>
    </w:div>
    <w:div w:id="631447948">
      <w:bodyDiv w:val="1"/>
      <w:marLeft w:val="0"/>
      <w:marRight w:val="0"/>
      <w:marTop w:val="0"/>
      <w:marBottom w:val="0"/>
      <w:divBdr>
        <w:top w:val="none" w:sz="0" w:space="0" w:color="auto"/>
        <w:left w:val="none" w:sz="0" w:space="0" w:color="auto"/>
        <w:bottom w:val="none" w:sz="0" w:space="0" w:color="auto"/>
        <w:right w:val="none" w:sz="0" w:space="0" w:color="auto"/>
      </w:divBdr>
    </w:div>
    <w:div w:id="635986437">
      <w:bodyDiv w:val="1"/>
      <w:marLeft w:val="0"/>
      <w:marRight w:val="0"/>
      <w:marTop w:val="0"/>
      <w:marBottom w:val="0"/>
      <w:divBdr>
        <w:top w:val="none" w:sz="0" w:space="0" w:color="auto"/>
        <w:left w:val="none" w:sz="0" w:space="0" w:color="auto"/>
        <w:bottom w:val="none" w:sz="0" w:space="0" w:color="auto"/>
        <w:right w:val="none" w:sz="0" w:space="0" w:color="auto"/>
      </w:divBdr>
    </w:div>
    <w:div w:id="659843191">
      <w:bodyDiv w:val="1"/>
      <w:marLeft w:val="0"/>
      <w:marRight w:val="0"/>
      <w:marTop w:val="0"/>
      <w:marBottom w:val="0"/>
      <w:divBdr>
        <w:top w:val="none" w:sz="0" w:space="0" w:color="auto"/>
        <w:left w:val="none" w:sz="0" w:space="0" w:color="auto"/>
        <w:bottom w:val="none" w:sz="0" w:space="0" w:color="auto"/>
        <w:right w:val="none" w:sz="0" w:space="0" w:color="auto"/>
      </w:divBdr>
    </w:div>
    <w:div w:id="662972413">
      <w:bodyDiv w:val="1"/>
      <w:marLeft w:val="0"/>
      <w:marRight w:val="0"/>
      <w:marTop w:val="0"/>
      <w:marBottom w:val="0"/>
      <w:divBdr>
        <w:top w:val="none" w:sz="0" w:space="0" w:color="auto"/>
        <w:left w:val="none" w:sz="0" w:space="0" w:color="auto"/>
        <w:bottom w:val="none" w:sz="0" w:space="0" w:color="auto"/>
        <w:right w:val="none" w:sz="0" w:space="0" w:color="auto"/>
      </w:divBdr>
    </w:div>
    <w:div w:id="667515715">
      <w:bodyDiv w:val="1"/>
      <w:marLeft w:val="0"/>
      <w:marRight w:val="0"/>
      <w:marTop w:val="0"/>
      <w:marBottom w:val="0"/>
      <w:divBdr>
        <w:top w:val="none" w:sz="0" w:space="0" w:color="auto"/>
        <w:left w:val="none" w:sz="0" w:space="0" w:color="auto"/>
        <w:bottom w:val="none" w:sz="0" w:space="0" w:color="auto"/>
        <w:right w:val="none" w:sz="0" w:space="0" w:color="auto"/>
      </w:divBdr>
    </w:div>
    <w:div w:id="676805763">
      <w:bodyDiv w:val="1"/>
      <w:marLeft w:val="0"/>
      <w:marRight w:val="0"/>
      <w:marTop w:val="0"/>
      <w:marBottom w:val="0"/>
      <w:divBdr>
        <w:top w:val="none" w:sz="0" w:space="0" w:color="auto"/>
        <w:left w:val="none" w:sz="0" w:space="0" w:color="auto"/>
        <w:bottom w:val="none" w:sz="0" w:space="0" w:color="auto"/>
        <w:right w:val="none" w:sz="0" w:space="0" w:color="auto"/>
      </w:divBdr>
    </w:div>
    <w:div w:id="676925357">
      <w:bodyDiv w:val="1"/>
      <w:marLeft w:val="0"/>
      <w:marRight w:val="0"/>
      <w:marTop w:val="0"/>
      <w:marBottom w:val="0"/>
      <w:divBdr>
        <w:top w:val="none" w:sz="0" w:space="0" w:color="auto"/>
        <w:left w:val="none" w:sz="0" w:space="0" w:color="auto"/>
        <w:bottom w:val="none" w:sz="0" w:space="0" w:color="auto"/>
        <w:right w:val="none" w:sz="0" w:space="0" w:color="auto"/>
      </w:divBdr>
    </w:div>
    <w:div w:id="678239583">
      <w:bodyDiv w:val="1"/>
      <w:marLeft w:val="0"/>
      <w:marRight w:val="0"/>
      <w:marTop w:val="0"/>
      <w:marBottom w:val="0"/>
      <w:divBdr>
        <w:top w:val="none" w:sz="0" w:space="0" w:color="auto"/>
        <w:left w:val="none" w:sz="0" w:space="0" w:color="auto"/>
        <w:bottom w:val="none" w:sz="0" w:space="0" w:color="auto"/>
        <w:right w:val="none" w:sz="0" w:space="0" w:color="auto"/>
      </w:divBdr>
    </w:div>
    <w:div w:id="684289991">
      <w:bodyDiv w:val="1"/>
      <w:marLeft w:val="0"/>
      <w:marRight w:val="0"/>
      <w:marTop w:val="0"/>
      <w:marBottom w:val="0"/>
      <w:divBdr>
        <w:top w:val="none" w:sz="0" w:space="0" w:color="auto"/>
        <w:left w:val="none" w:sz="0" w:space="0" w:color="auto"/>
        <w:bottom w:val="none" w:sz="0" w:space="0" w:color="auto"/>
        <w:right w:val="none" w:sz="0" w:space="0" w:color="auto"/>
      </w:divBdr>
    </w:div>
    <w:div w:id="687608231">
      <w:bodyDiv w:val="1"/>
      <w:marLeft w:val="0"/>
      <w:marRight w:val="0"/>
      <w:marTop w:val="0"/>
      <w:marBottom w:val="0"/>
      <w:divBdr>
        <w:top w:val="none" w:sz="0" w:space="0" w:color="auto"/>
        <w:left w:val="none" w:sz="0" w:space="0" w:color="auto"/>
        <w:bottom w:val="none" w:sz="0" w:space="0" w:color="auto"/>
        <w:right w:val="none" w:sz="0" w:space="0" w:color="auto"/>
      </w:divBdr>
    </w:div>
    <w:div w:id="691608883">
      <w:bodyDiv w:val="1"/>
      <w:marLeft w:val="0"/>
      <w:marRight w:val="0"/>
      <w:marTop w:val="0"/>
      <w:marBottom w:val="0"/>
      <w:divBdr>
        <w:top w:val="none" w:sz="0" w:space="0" w:color="auto"/>
        <w:left w:val="none" w:sz="0" w:space="0" w:color="auto"/>
        <w:bottom w:val="none" w:sz="0" w:space="0" w:color="auto"/>
        <w:right w:val="none" w:sz="0" w:space="0" w:color="auto"/>
      </w:divBdr>
    </w:div>
    <w:div w:id="698776505">
      <w:bodyDiv w:val="1"/>
      <w:marLeft w:val="0"/>
      <w:marRight w:val="0"/>
      <w:marTop w:val="0"/>
      <w:marBottom w:val="0"/>
      <w:divBdr>
        <w:top w:val="none" w:sz="0" w:space="0" w:color="auto"/>
        <w:left w:val="none" w:sz="0" w:space="0" w:color="auto"/>
        <w:bottom w:val="none" w:sz="0" w:space="0" w:color="auto"/>
        <w:right w:val="none" w:sz="0" w:space="0" w:color="auto"/>
      </w:divBdr>
    </w:div>
    <w:div w:id="700056242">
      <w:bodyDiv w:val="1"/>
      <w:marLeft w:val="0"/>
      <w:marRight w:val="0"/>
      <w:marTop w:val="0"/>
      <w:marBottom w:val="0"/>
      <w:divBdr>
        <w:top w:val="none" w:sz="0" w:space="0" w:color="auto"/>
        <w:left w:val="none" w:sz="0" w:space="0" w:color="auto"/>
        <w:bottom w:val="none" w:sz="0" w:space="0" w:color="auto"/>
        <w:right w:val="none" w:sz="0" w:space="0" w:color="auto"/>
      </w:divBdr>
    </w:div>
    <w:div w:id="714699996">
      <w:bodyDiv w:val="1"/>
      <w:marLeft w:val="0"/>
      <w:marRight w:val="0"/>
      <w:marTop w:val="0"/>
      <w:marBottom w:val="0"/>
      <w:divBdr>
        <w:top w:val="none" w:sz="0" w:space="0" w:color="auto"/>
        <w:left w:val="none" w:sz="0" w:space="0" w:color="auto"/>
        <w:bottom w:val="none" w:sz="0" w:space="0" w:color="auto"/>
        <w:right w:val="none" w:sz="0" w:space="0" w:color="auto"/>
      </w:divBdr>
    </w:div>
    <w:div w:id="717437988">
      <w:bodyDiv w:val="1"/>
      <w:marLeft w:val="0"/>
      <w:marRight w:val="0"/>
      <w:marTop w:val="0"/>
      <w:marBottom w:val="0"/>
      <w:divBdr>
        <w:top w:val="none" w:sz="0" w:space="0" w:color="auto"/>
        <w:left w:val="none" w:sz="0" w:space="0" w:color="auto"/>
        <w:bottom w:val="none" w:sz="0" w:space="0" w:color="auto"/>
        <w:right w:val="none" w:sz="0" w:space="0" w:color="auto"/>
      </w:divBdr>
    </w:div>
    <w:div w:id="739213144">
      <w:bodyDiv w:val="1"/>
      <w:marLeft w:val="0"/>
      <w:marRight w:val="0"/>
      <w:marTop w:val="0"/>
      <w:marBottom w:val="0"/>
      <w:divBdr>
        <w:top w:val="none" w:sz="0" w:space="0" w:color="auto"/>
        <w:left w:val="none" w:sz="0" w:space="0" w:color="auto"/>
        <w:bottom w:val="none" w:sz="0" w:space="0" w:color="auto"/>
        <w:right w:val="none" w:sz="0" w:space="0" w:color="auto"/>
      </w:divBdr>
    </w:div>
    <w:div w:id="754669870">
      <w:bodyDiv w:val="1"/>
      <w:marLeft w:val="0"/>
      <w:marRight w:val="0"/>
      <w:marTop w:val="0"/>
      <w:marBottom w:val="0"/>
      <w:divBdr>
        <w:top w:val="none" w:sz="0" w:space="0" w:color="auto"/>
        <w:left w:val="none" w:sz="0" w:space="0" w:color="auto"/>
        <w:bottom w:val="none" w:sz="0" w:space="0" w:color="auto"/>
        <w:right w:val="none" w:sz="0" w:space="0" w:color="auto"/>
      </w:divBdr>
    </w:div>
    <w:div w:id="761682273">
      <w:bodyDiv w:val="1"/>
      <w:marLeft w:val="0"/>
      <w:marRight w:val="0"/>
      <w:marTop w:val="0"/>
      <w:marBottom w:val="0"/>
      <w:divBdr>
        <w:top w:val="none" w:sz="0" w:space="0" w:color="auto"/>
        <w:left w:val="none" w:sz="0" w:space="0" w:color="auto"/>
        <w:bottom w:val="none" w:sz="0" w:space="0" w:color="auto"/>
        <w:right w:val="none" w:sz="0" w:space="0" w:color="auto"/>
      </w:divBdr>
    </w:div>
    <w:div w:id="762796921">
      <w:bodyDiv w:val="1"/>
      <w:marLeft w:val="0"/>
      <w:marRight w:val="0"/>
      <w:marTop w:val="0"/>
      <w:marBottom w:val="0"/>
      <w:divBdr>
        <w:top w:val="none" w:sz="0" w:space="0" w:color="auto"/>
        <w:left w:val="none" w:sz="0" w:space="0" w:color="auto"/>
        <w:bottom w:val="none" w:sz="0" w:space="0" w:color="auto"/>
        <w:right w:val="none" w:sz="0" w:space="0" w:color="auto"/>
      </w:divBdr>
    </w:div>
    <w:div w:id="764114742">
      <w:bodyDiv w:val="1"/>
      <w:marLeft w:val="0"/>
      <w:marRight w:val="0"/>
      <w:marTop w:val="0"/>
      <w:marBottom w:val="0"/>
      <w:divBdr>
        <w:top w:val="none" w:sz="0" w:space="0" w:color="auto"/>
        <w:left w:val="none" w:sz="0" w:space="0" w:color="auto"/>
        <w:bottom w:val="none" w:sz="0" w:space="0" w:color="auto"/>
        <w:right w:val="none" w:sz="0" w:space="0" w:color="auto"/>
      </w:divBdr>
    </w:div>
    <w:div w:id="767315259">
      <w:bodyDiv w:val="1"/>
      <w:marLeft w:val="0"/>
      <w:marRight w:val="0"/>
      <w:marTop w:val="0"/>
      <w:marBottom w:val="0"/>
      <w:divBdr>
        <w:top w:val="none" w:sz="0" w:space="0" w:color="auto"/>
        <w:left w:val="none" w:sz="0" w:space="0" w:color="auto"/>
        <w:bottom w:val="none" w:sz="0" w:space="0" w:color="auto"/>
        <w:right w:val="none" w:sz="0" w:space="0" w:color="auto"/>
      </w:divBdr>
    </w:div>
    <w:div w:id="769549793">
      <w:bodyDiv w:val="1"/>
      <w:marLeft w:val="0"/>
      <w:marRight w:val="0"/>
      <w:marTop w:val="0"/>
      <w:marBottom w:val="0"/>
      <w:divBdr>
        <w:top w:val="none" w:sz="0" w:space="0" w:color="auto"/>
        <w:left w:val="none" w:sz="0" w:space="0" w:color="auto"/>
        <w:bottom w:val="none" w:sz="0" w:space="0" w:color="auto"/>
        <w:right w:val="none" w:sz="0" w:space="0" w:color="auto"/>
      </w:divBdr>
    </w:div>
    <w:div w:id="776682611">
      <w:bodyDiv w:val="1"/>
      <w:marLeft w:val="0"/>
      <w:marRight w:val="0"/>
      <w:marTop w:val="0"/>
      <w:marBottom w:val="0"/>
      <w:divBdr>
        <w:top w:val="none" w:sz="0" w:space="0" w:color="auto"/>
        <w:left w:val="none" w:sz="0" w:space="0" w:color="auto"/>
        <w:bottom w:val="none" w:sz="0" w:space="0" w:color="auto"/>
        <w:right w:val="none" w:sz="0" w:space="0" w:color="auto"/>
      </w:divBdr>
    </w:div>
    <w:div w:id="790636223">
      <w:bodyDiv w:val="1"/>
      <w:marLeft w:val="0"/>
      <w:marRight w:val="0"/>
      <w:marTop w:val="0"/>
      <w:marBottom w:val="0"/>
      <w:divBdr>
        <w:top w:val="none" w:sz="0" w:space="0" w:color="auto"/>
        <w:left w:val="none" w:sz="0" w:space="0" w:color="auto"/>
        <w:bottom w:val="none" w:sz="0" w:space="0" w:color="auto"/>
        <w:right w:val="none" w:sz="0" w:space="0" w:color="auto"/>
      </w:divBdr>
    </w:div>
    <w:div w:id="793333299">
      <w:bodyDiv w:val="1"/>
      <w:marLeft w:val="0"/>
      <w:marRight w:val="0"/>
      <w:marTop w:val="0"/>
      <w:marBottom w:val="0"/>
      <w:divBdr>
        <w:top w:val="none" w:sz="0" w:space="0" w:color="auto"/>
        <w:left w:val="none" w:sz="0" w:space="0" w:color="auto"/>
        <w:bottom w:val="none" w:sz="0" w:space="0" w:color="auto"/>
        <w:right w:val="none" w:sz="0" w:space="0" w:color="auto"/>
      </w:divBdr>
    </w:div>
    <w:div w:id="797574322">
      <w:bodyDiv w:val="1"/>
      <w:marLeft w:val="0"/>
      <w:marRight w:val="0"/>
      <w:marTop w:val="0"/>
      <w:marBottom w:val="0"/>
      <w:divBdr>
        <w:top w:val="none" w:sz="0" w:space="0" w:color="auto"/>
        <w:left w:val="none" w:sz="0" w:space="0" w:color="auto"/>
        <w:bottom w:val="none" w:sz="0" w:space="0" w:color="auto"/>
        <w:right w:val="none" w:sz="0" w:space="0" w:color="auto"/>
      </w:divBdr>
    </w:div>
    <w:div w:id="802118567">
      <w:bodyDiv w:val="1"/>
      <w:marLeft w:val="0"/>
      <w:marRight w:val="0"/>
      <w:marTop w:val="0"/>
      <w:marBottom w:val="0"/>
      <w:divBdr>
        <w:top w:val="none" w:sz="0" w:space="0" w:color="auto"/>
        <w:left w:val="none" w:sz="0" w:space="0" w:color="auto"/>
        <w:bottom w:val="none" w:sz="0" w:space="0" w:color="auto"/>
        <w:right w:val="none" w:sz="0" w:space="0" w:color="auto"/>
      </w:divBdr>
    </w:div>
    <w:div w:id="802692909">
      <w:bodyDiv w:val="1"/>
      <w:marLeft w:val="0"/>
      <w:marRight w:val="0"/>
      <w:marTop w:val="0"/>
      <w:marBottom w:val="0"/>
      <w:divBdr>
        <w:top w:val="none" w:sz="0" w:space="0" w:color="auto"/>
        <w:left w:val="none" w:sz="0" w:space="0" w:color="auto"/>
        <w:bottom w:val="none" w:sz="0" w:space="0" w:color="auto"/>
        <w:right w:val="none" w:sz="0" w:space="0" w:color="auto"/>
      </w:divBdr>
    </w:div>
    <w:div w:id="829980262">
      <w:bodyDiv w:val="1"/>
      <w:marLeft w:val="0"/>
      <w:marRight w:val="0"/>
      <w:marTop w:val="0"/>
      <w:marBottom w:val="0"/>
      <w:divBdr>
        <w:top w:val="none" w:sz="0" w:space="0" w:color="auto"/>
        <w:left w:val="none" w:sz="0" w:space="0" w:color="auto"/>
        <w:bottom w:val="none" w:sz="0" w:space="0" w:color="auto"/>
        <w:right w:val="none" w:sz="0" w:space="0" w:color="auto"/>
      </w:divBdr>
    </w:div>
    <w:div w:id="839587979">
      <w:bodyDiv w:val="1"/>
      <w:marLeft w:val="0"/>
      <w:marRight w:val="0"/>
      <w:marTop w:val="0"/>
      <w:marBottom w:val="0"/>
      <w:divBdr>
        <w:top w:val="none" w:sz="0" w:space="0" w:color="auto"/>
        <w:left w:val="none" w:sz="0" w:space="0" w:color="auto"/>
        <w:bottom w:val="none" w:sz="0" w:space="0" w:color="auto"/>
        <w:right w:val="none" w:sz="0" w:space="0" w:color="auto"/>
      </w:divBdr>
    </w:div>
    <w:div w:id="851839569">
      <w:bodyDiv w:val="1"/>
      <w:marLeft w:val="0"/>
      <w:marRight w:val="0"/>
      <w:marTop w:val="0"/>
      <w:marBottom w:val="0"/>
      <w:divBdr>
        <w:top w:val="none" w:sz="0" w:space="0" w:color="auto"/>
        <w:left w:val="none" w:sz="0" w:space="0" w:color="auto"/>
        <w:bottom w:val="none" w:sz="0" w:space="0" w:color="auto"/>
        <w:right w:val="none" w:sz="0" w:space="0" w:color="auto"/>
      </w:divBdr>
    </w:div>
    <w:div w:id="860632542">
      <w:bodyDiv w:val="1"/>
      <w:marLeft w:val="0"/>
      <w:marRight w:val="0"/>
      <w:marTop w:val="0"/>
      <w:marBottom w:val="0"/>
      <w:divBdr>
        <w:top w:val="none" w:sz="0" w:space="0" w:color="auto"/>
        <w:left w:val="none" w:sz="0" w:space="0" w:color="auto"/>
        <w:bottom w:val="none" w:sz="0" w:space="0" w:color="auto"/>
        <w:right w:val="none" w:sz="0" w:space="0" w:color="auto"/>
      </w:divBdr>
    </w:div>
    <w:div w:id="871578578">
      <w:bodyDiv w:val="1"/>
      <w:marLeft w:val="0"/>
      <w:marRight w:val="0"/>
      <w:marTop w:val="0"/>
      <w:marBottom w:val="0"/>
      <w:divBdr>
        <w:top w:val="none" w:sz="0" w:space="0" w:color="auto"/>
        <w:left w:val="none" w:sz="0" w:space="0" w:color="auto"/>
        <w:bottom w:val="none" w:sz="0" w:space="0" w:color="auto"/>
        <w:right w:val="none" w:sz="0" w:space="0" w:color="auto"/>
      </w:divBdr>
    </w:div>
    <w:div w:id="879824535">
      <w:bodyDiv w:val="1"/>
      <w:marLeft w:val="0"/>
      <w:marRight w:val="0"/>
      <w:marTop w:val="0"/>
      <w:marBottom w:val="0"/>
      <w:divBdr>
        <w:top w:val="none" w:sz="0" w:space="0" w:color="auto"/>
        <w:left w:val="none" w:sz="0" w:space="0" w:color="auto"/>
        <w:bottom w:val="none" w:sz="0" w:space="0" w:color="auto"/>
        <w:right w:val="none" w:sz="0" w:space="0" w:color="auto"/>
      </w:divBdr>
    </w:div>
    <w:div w:id="880871105">
      <w:bodyDiv w:val="1"/>
      <w:marLeft w:val="0"/>
      <w:marRight w:val="0"/>
      <w:marTop w:val="0"/>
      <w:marBottom w:val="0"/>
      <w:divBdr>
        <w:top w:val="none" w:sz="0" w:space="0" w:color="auto"/>
        <w:left w:val="none" w:sz="0" w:space="0" w:color="auto"/>
        <w:bottom w:val="none" w:sz="0" w:space="0" w:color="auto"/>
        <w:right w:val="none" w:sz="0" w:space="0" w:color="auto"/>
      </w:divBdr>
    </w:div>
    <w:div w:id="882408404">
      <w:bodyDiv w:val="1"/>
      <w:marLeft w:val="0"/>
      <w:marRight w:val="0"/>
      <w:marTop w:val="0"/>
      <w:marBottom w:val="0"/>
      <w:divBdr>
        <w:top w:val="none" w:sz="0" w:space="0" w:color="auto"/>
        <w:left w:val="none" w:sz="0" w:space="0" w:color="auto"/>
        <w:bottom w:val="none" w:sz="0" w:space="0" w:color="auto"/>
        <w:right w:val="none" w:sz="0" w:space="0" w:color="auto"/>
      </w:divBdr>
    </w:div>
    <w:div w:id="882526065">
      <w:bodyDiv w:val="1"/>
      <w:marLeft w:val="0"/>
      <w:marRight w:val="0"/>
      <w:marTop w:val="0"/>
      <w:marBottom w:val="0"/>
      <w:divBdr>
        <w:top w:val="none" w:sz="0" w:space="0" w:color="auto"/>
        <w:left w:val="none" w:sz="0" w:space="0" w:color="auto"/>
        <w:bottom w:val="none" w:sz="0" w:space="0" w:color="auto"/>
        <w:right w:val="none" w:sz="0" w:space="0" w:color="auto"/>
      </w:divBdr>
    </w:div>
    <w:div w:id="884174678">
      <w:bodyDiv w:val="1"/>
      <w:marLeft w:val="0"/>
      <w:marRight w:val="0"/>
      <w:marTop w:val="0"/>
      <w:marBottom w:val="0"/>
      <w:divBdr>
        <w:top w:val="none" w:sz="0" w:space="0" w:color="auto"/>
        <w:left w:val="none" w:sz="0" w:space="0" w:color="auto"/>
        <w:bottom w:val="none" w:sz="0" w:space="0" w:color="auto"/>
        <w:right w:val="none" w:sz="0" w:space="0" w:color="auto"/>
      </w:divBdr>
    </w:div>
    <w:div w:id="899555707">
      <w:bodyDiv w:val="1"/>
      <w:marLeft w:val="0"/>
      <w:marRight w:val="0"/>
      <w:marTop w:val="0"/>
      <w:marBottom w:val="0"/>
      <w:divBdr>
        <w:top w:val="none" w:sz="0" w:space="0" w:color="auto"/>
        <w:left w:val="none" w:sz="0" w:space="0" w:color="auto"/>
        <w:bottom w:val="none" w:sz="0" w:space="0" w:color="auto"/>
        <w:right w:val="none" w:sz="0" w:space="0" w:color="auto"/>
      </w:divBdr>
    </w:div>
    <w:div w:id="909735709">
      <w:bodyDiv w:val="1"/>
      <w:marLeft w:val="0"/>
      <w:marRight w:val="0"/>
      <w:marTop w:val="0"/>
      <w:marBottom w:val="0"/>
      <w:divBdr>
        <w:top w:val="none" w:sz="0" w:space="0" w:color="auto"/>
        <w:left w:val="none" w:sz="0" w:space="0" w:color="auto"/>
        <w:bottom w:val="none" w:sz="0" w:space="0" w:color="auto"/>
        <w:right w:val="none" w:sz="0" w:space="0" w:color="auto"/>
      </w:divBdr>
    </w:div>
    <w:div w:id="910309768">
      <w:bodyDiv w:val="1"/>
      <w:marLeft w:val="0"/>
      <w:marRight w:val="0"/>
      <w:marTop w:val="0"/>
      <w:marBottom w:val="0"/>
      <w:divBdr>
        <w:top w:val="none" w:sz="0" w:space="0" w:color="auto"/>
        <w:left w:val="none" w:sz="0" w:space="0" w:color="auto"/>
        <w:bottom w:val="none" w:sz="0" w:space="0" w:color="auto"/>
        <w:right w:val="none" w:sz="0" w:space="0" w:color="auto"/>
      </w:divBdr>
    </w:div>
    <w:div w:id="915477774">
      <w:bodyDiv w:val="1"/>
      <w:marLeft w:val="0"/>
      <w:marRight w:val="0"/>
      <w:marTop w:val="0"/>
      <w:marBottom w:val="0"/>
      <w:divBdr>
        <w:top w:val="none" w:sz="0" w:space="0" w:color="auto"/>
        <w:left w:val="none" w:sz="0" w:space="0" w:color="auto"/>
        <w:bottom w:val="none" w:sz="0" w:space="0" w:color="auto"/>
        <w:right w:val="none" w:sz="0" w:space="0" w:color="auto"/>
      </w:divBdr>
    </w:div>
    <w:div w:id="918320919">
      <w:bodyDiv w:val="1"/>
      <w:marLeft w:val="0"/>
      <w:marRight w:val="0"/>
      <w:marTop w:val="0"/>
      <w:marBottom w:val="0"/>
      <w:divBdr>
        <w:top w:val="none" w:sz="0" w:space="0" w:color="auto"/>
        <w:left w:val="none" w:sz="0" w:space="0" w:color="auto"/>
        <w:bottom w:val="none" w:sz="0" w:space="0" w:color="auto"/>
        <w:right w:val="none" w:sz="0" w:space="0" w:color="auto"/>
      </w:divBdr>
    </w:div>
    <w:div w:id="918636918">
      <w:bodyDiv w:val="1"/>
      <w:marLeft w:val="0"/>
      <w:marRight w:val="0"/>
      <w:marTop w:val="0"/>
      <w:marBottom w:val="0"/>
      <w:divBdr>
        <w:top w:val="none" w:sz="0" w:space="0" w:color="auto"/>
        <w:left w:val="none" w:sz="0" w:space="0" w:color="auto"/>
        <w:bottom w:val="none" w:sz="0" w:space="0" w:color="auto"/>
        <w:right w:val="none" w:sz="0" w:space="0" w:color="auto"/>
      </w:divBdr>
    </w:div>
    <w:div w:id="919800037">
      <w:bodyDiv w:val="1"/>
      <w:marLeft w:val="0"/>
      <w:marRight w:val="0"/>
      <w:marTop w:val="0"/>
      <w:marBottom w:val="0"/>
      <w:divBdr>
        <w:top w:val="none" w:sz="0" w:space="0" w:color="auto"/>
        <w:left w:val="none" w:sz="0" w:space="0" w:color="auto"/>
        <w:bottom w:val="none" w:sz="0" w:space="0" w:color="auto"/>
        <w:right w:val="none" w:sz="0" w:space="0" w:color="auto"/>
      </w:divBdr>
    </w:div>
    <w:div w:id="921833994">
      <w:bodyDiv w:val="1"/>
      <w:marLeft w:val="0"/>
      <w:marRight w:val="0"/>
      <w:marTop w:val="0"/>
      <w:marBottom w:val="0"/>
      <w:divBdr>
        <w:top w:val="none" w:sz="0" w:space="0" w:color="auto"/>
        <w:left w:val="none" w:sz="0" w:space="0" w:color="auto"/>
        <w:bottom w:val="none" w:sz="0" w:space="0" w:color="auto"/>
        <w:right w:val="none" w:sz="0" w:space="0" w:color="auto"/>
      </w:divBdr>
    </w:div>
    <w:div w:id="942803643">
      <w:bodyDiv w:val="1"/>
      <w:marLeft w:val="0"/>
      <w:marRight w:val="0"/>
      <w:marTop w:val="0"/>
      <w:marBottom w:val="0"/>
      <w:divBdr>
        <w:top w:val="none" w:sz="0" w:space="0" w:color="auto"/>
        <w:left w:val="none" w:sz="0" w:space="0" w:color="auto"/>
        <w:bottom w:val="none" w:sz="0" w:space="0" w:color="auto"/>
        <w:right w:val="none" w:sz="0" w:space="0" w:color="auto"/>
      </w:divBdr>
    </w:div>
    <w:div w:id="965545236">
      <w:bodyDiv w:val="1"/>
      <w:marLeft w:val="0"/>
      <w:marRight w:val="0"/>
      <w:marTop w:val="0"/>
      <w:marBottom w:val="0"/>
      <w:divBdr>
        <w:top w:val="none" w:sz="0" w:space="0" w:color="auto"/>
        <w:left w:val="none" w:sz="0" w:space="0" w:color="auto"/>
        <w:bottom w:val="none" w:sz="0" w:space="0" w:color="auto"/>
        <w:right w:val="none" w:sz="0" w:space="0" w:color="auto"/>
      </w:divBdr>
    </w:div>
    <w:div w:id="979919124">
      <w:bodyDiv w:val="1"/>
      <w:marLeft w:val="0"/>
      <w:marRight w:val="0"/>
      <w:marTop w:val="0"/>
      <w:marBottom w:val="0"/>
      <w:divBdr>
        <w:top w:val="none" w:sz="0" w:space="0" w:color="auto"/>
        <w:left w:val="none" w:sz="0" w:space="0" w:color="auto"/>
        <w:bottom w:val="none" w:sz="0" w:space="0" w:color="auto"/>
        <w:right w:val="none" w:sz="0" w:space="0" w:color="auto"/>
      </w:divBdr>
    </w:div>
    <w:div w:id="988482059">
      <w:bodyDiv w:val="1"/>
      <w:marLeft w:val="0"/>
      <w:marRight w:val="0"/>
      <w:marTop w:val="0"/>
      <w:marBottom w:val="0"/>
      <w:divBdr>
        <w:top w:val="none" w:sz="0" w:space="0" w:color="auto"/>
        <w:left w:val="none" w:sz="0" w:space="0" w:color="auto"/>
        <w:bottom w:val="none" w:sz="0" w:space="0" w:color="auto"/>
        <w:right w:val="none" w:sz="0" w:space="0" w:color="auto"/>
      </w:divBdr>
    </w:div>
    <w:div w:id="994528230">
      <w:bodyDiv w:val="1"/>
      <w:marLeft w:val="0"/>
      <w:marRight w:val="0"/>
      <w:marTop w:val="0"/>
      <w:marBottom w:val="0"/>
      <w:divBdr>
        <w:top w:val="none" w:sz="0" w:space="0" w:color="auto"/>
        <w:left w:val="none" w:sz="0" w:space="0" w:color="auto"/>
        <w:bottom w:val="none" w:sz="0" w:space="0" w:color="auto"/>
        <w:right w:val="none" w:sz="0" w:space="0" w:color="auto"/>
      </w:divBdr>
    </w:div>
    <w:div w:id="1011108222">
      <w:bodyDiv w:val="1"/>
      <w:marLeft w:val="0"/>
      <w:marRight w:val="0"/>
      <w:marTop w:val="0"/>
      <w:marBottom w:val="0"/>
      <w:divBdr>
        <w:top w:val="none" w:sz="0" w:space="0" w:color="auto"/>
        <w:left w:val="none" w:sz="0" w:space="0" w:color="auto"/>
        <w:bottom w:val="none" w:sz="0" w:space="0" w:color="auto"/>
        <w:right w:val="none" w:sz="0" w:space="0" w:color="auto"/>
      </w:divBdr>
    </w:div>
    <w:div w:id="1015110473">
      <w:bodyDiv w:val="1"/>
      <w:marLeft w:val="0"/>
      <w:marRight w:val="0"/>
      <w:marTop w:val="0"/>
      <w:marBottom w:val="0"/>
      <w:divBdr>
        <w:top w:val="none" w:sz="0" w:space="0" w:color="auto"/>
        <w:left w:val="none" w:sz="0" w:space="0" w:color="auto"/>
        <w:bottom w:val="none" w:sz="0" w:space="0" w:color="auto"/>
        <w:right w:val="none" w:sz="0" w:space="0" w:color="auto"/>
      </w:divBdr>
    </w:div>
    <w:div w:id="1032078108">
      <w:bodyDiv w:val="1"/>
      <w:marLeft w:val="0"/>
      <w:marRight w:val="0"/>
      <w:marTop w:val="0"/>
      <w:marBottom w:val="0"/>
      <w:divBdr>
        <w:top w:val="none" w:sz="0" w:space="0" w:color="auto"/>
        <w:left w:val="none" w:sz="0" w:space="0" w:color="auto"/>
        <w:bottom w:val="none" w:sz="0" w:space="0" w:color="auto"/>
        <w:right w:val="none" w:sz="0" w:space="0" w:color="auto"/>
      </w:divBdr>
    </w:div>
    <w:div w:id="1033579338">
      <w:bodyDiv w:val="1"/>
      <w:marLeft w:val="0"/>
      <w:marRight w:val="0"/>
      <w:marTop w:val="0"/>
      <w:marBottom w:val="0"/>
      <w:divBdr>
        <w:top w:val="none" w:sz="0" w:space="0" w:color="auto"/>
        <w:left w:val="none" w:sz="0" w:space="0" w:color="auto"/>
        <w:bottom w:val="none" w:sz="0" w:space="0" w:color="auto"/>
        <w:right w:val="none" w:sz="0" w:space="0" w:color="auto"/>
      </w:divBdr>
    </w:div>
    <w:div w:id="1041175587">
      <w:bodyDiv w:val="1"/>
      <w:marLeft w:val="0"/>
      <w:marRight w:val="0"/>
      <w:marTop w:val="0"/>
      <w:marBottom w:val="0"/>
      <w:divBdr>
        <w:top w:val="none" w:sz="0" w:space="0" w:color="auto"/>
        <w:left w:val="none" w:sz="0" w:space="0" w:color="auto"/>
        <w:bottom w:val="none" w:sz="0" w:space="0" w:color="auto"/>
        <w:right w:val="none" w:sz="0" w:space="0" w:color="auto"/>
      </w:divBdr>
    </w:div>
    <w:div w:id="1045108562">
      <w:bodyDiv w:val="1"/>
      <w:marLeft w:val="0"/>
      <w:marRight w:val="0"/>
      <w:marTop w:val="0"/>
      <w:marBottom w:val="0"/>
      <w:divBdr>
        <w:top w:val="none" w:sz="0" w:space="0" w:color="auto"/>
        <w:left w:val="none" w:sz="0" w:space="0" w:color="auto"/>
        <w:bottom w:val="none" w:sz="0" w:space="0" w:color="auto"/>
        <w:right w:val="none" w:sz="0" w:space="0" w:color="auto"/>
      </w:divBdr>
    </w:div>
    <w:div w:id="1045520370">
      <w:bodyDiv w:val="1"/>
      <w:marLeft w:val="0"/>
      <w:marRight w:val="0"/>
      <w:marTop w:val="0"/>
      <w:marBottom w:val="0"/>
      <w:divBdr>
        <w:top w:val="none" w:sz="0" w:space="0" w:color="auto"/>
        <w:left w:val="none" w:sz="0" w:space="0" w:color="auto"/>
        <w:bottom w:val="none" w:sz="0" w:space="0" w:color="auto"/>
        <w:right w:val="none" w:sz="0" w:space="0" w:color="auto"/>
      </w:divBdr>
    </w:div>
    <w:div w:id="1046681899">
      <w:bodyDiv w:val="1"/>
      <w:marLeft w:val="0"/>
      <w:marRight w:val="0"/>
      <w:marTop w:val="0"/>
      <w:marBottom w:val="0"/>
      <w:divBdr>
        <w:top w:val="none" w:sz="0" w:space="0" w:color="auto"/>
        <w:left w:val="none" w:sz="0" w:space="0" w:color="auto"/>
        <w:bottom w:val="none" w:sz="0" w:space="0" w:color="auto"/>
        <w:right w:val="none" w:sz="0" w:space="0" w:color="auto"/>
      </w:divBdr>
    </w:div>
    <w:div w:id="1059014022">
      <w:bodyDiv w:val="1"/>
      <w:marLeft w:val="0"/>
      <w:marRight w:val="0"/>
      <w:marTop w:val="0"/>
      <w:marBottom w:val="0"/>
      <w:divBdr>
        <w:top w:val="none" w:sz="0" w:space="0" w:color="auto"/>
        <w:left w:val="none" w:sz="0" w:space="0" w:color="auto"/>
        <w:bottom w:val="none" w:sz="0" w:space="0" w:color="auto"/>
        <w:right w:val="none" w:sz="0" w:space="0" w:color="auto"/>
      </w:divBdr>
    </w:div>
    <w:div w:id="1065297957">
      <w:bodyDiv w:val="1"/>
      <w:marLeft w:val="0"/>
      <w:marRight w:val="0"/>
      <w:marTop w:val="0"/>
      <w:marBottom w:val="0"/>
      <w:divBdr>
        <w:top w:val="none" w:sz="0" w:space="0" w:color="auto"/>
        <w:left w:val="none" w:sz="0" w:space="0" w:color="auto"/>
        <w:bottom w:val="none" w:sz="0" w:space="0" w:color="auto"/>
        <w:right w:val="none" w:sz="0" w:space="0" w:color="auto"/>
      </w:divBdr>
    </w:div>
    <w:div w:id="1068767171">
      <w:bodyDiv w:val="1"/>
      <w:marLeft w:val="0"/>
      <w:marRight w:val="0"/>
      <w:marTop w:val="0"/>
      <w:marBottom w:val="0"/>
      <w:divBdr>
        <w:top w:val="none" w:sz="0" w:space="0" w:color="auto"/>
        <w:left w:val="none" w:sz="0" w:space="0" w:color="auto"/>
        <w:bottom w:val="none" w:sz="0" w:space="0" w:color="auto"/>
        <w:right w:val="none" w:sz="0" w:space="0" w:color="auto"/>
      </w:divBdr>
    </w:div>
    <w:div w:id="1072772445">
      <w:bodyDiv w:val="1"/>
      <w:marLeft w:val="0"/>
      <w:marRight w:val="0"/>
      <w:marTop w:val="0"/>
      <w:marBottom w:val="0"/>
      <w:divBdr>
        <w:top w:val="none" w:sz="0" w:space="0" w:color="auto"/>
        <w:left w:val="none" w:sz="0" w:space="0" w:color="auto"/>
        <w:bottom w:val="none" w:sz="0" w:space="0" w:color="auto"/>
        <w:right w:val="none" w:sz="0" w:space="0" w:color="auto"/>
      </w:divBdr>
    </w:div>
    <w:div w:id="1074398170">
      <w:bodyDiv w:val="1"/>
      <w:marLeft w:val="0"/>
      <w:marRight w:val="0"/>
      <w:marTop w:val="0"/>
      <w:marBottom w:val="0"/>
      <w:divBdr>
        <w:top w:val="none" w:sz="0" w:space="0" w:color="auto"/>
        <w:left w:val="none" w:sz="0" w:space="0" w:color="auto"/>
        <w:bottom w:val="none" w:sz="0" w:space="0" w:color="auto"/>
        <w:right w:val="none" w:sz="0" w:space="0" w:color="auto"/>
      </w:divBdr>
    </w:div>
    <w:div w:id="1077898399">
      <w:bodyDiv w:val="1"/>
      <w:marLeft w:val="0"/>
      <w:marRight w:val="0"/>
      <w:marTop w:val="0"/>
      <w:marBottom w:val="0"/>
      <w:divBdr>
        <w:top w:val="none" w:sz="0" w:space="0" w:color="auto"/>
        <w:left w:val="none" w:sz="0" w:space="0" w:color="auto"/>
        <w:bottom w:val="none" w:sz="0" w:space="0" w:color="auto"/>
        <w:right w:val="none" w:sz="0" w:space="0" w:color="auto"/>
      </w:divBdr>
    </w:div>
    <w:div w:id="1086422487">
      <w:bodyDiv w:val="1"/>
      <w:marLeft w:val="0"/>
      <w:marRight w:val="0"/>
      <w:marTop w:val="0"/>
      <w:marBottom w:val="0"/>
      <w:divBdr>
        <w:top w:val="none" w:sz="0" w:space="0" w:color="auto"/>
        <w:left w:val="none" w:sz="0" w:space="0" w:color="auto"/>
        <w:bottom w:val="none" w:sz="0" w:space="0" w:color="auto"/>
        <w:right w:val="none" w:sz="0" w:space="0" w:color="auto"/>
      </w:divBdr>
    </w:div>
    <w:div w:id="1088818071">
      <w:bodyDiv w:val="1"/>
      <w:marLeft w:val="0"/>
      <w:marRight w:val="0"/>
      <w:marTop w:val="0"/>
      <w:marBottom w:val="0"/>
      <w:divBdr>
        <w:top w:val="none" w:sz="0" w:space="0" w:color="auto"/>
        <w:left w:val="none" w:sz="0" w:space="0" w:color="auto"/>
        <w:bottom w:val="none" w:sz="0" w:space="0" w:color="auto"/>
        <w:right w:val="none" w:sz="0" w:space="0" w:color="auto"/>
      </w:divBdr>
    </w:div>
    <w:div w:id="1097210971">
      <w:bodyDiv w:val="1"/>
      <w:marLeft w:val="0"/>
      <w:marRight w:val="0"/>
      <w:marTop w:val="0"/>
      <w:marBottom w:val="0"/>
      <w:divBdr>
        <w:top w:val="none" w:sz="0" w:space="0" w:color="auto"/>
        <w:left w:val="none" w:sz="0" w:space="0" w:color="auto"/>
        <w:bottom w:val="none" w:sz="0" w:space="0" w:color="auto"/>
        <w:right w:val="none" w:sz="0" w:space="0" w:color="auto"/>
      </w:divBdr>
    </w:div>
    <w:div w:id="1102184625">
      <w:bodyDiv w:val="1"/>
      <w:marLeft w:val="0"/>
      <w:marRight w:val="0"/>
      <w:marTop w:val="0"/>
      <w:marBottom w:val="0"/>
      <w:divBdr>
        <w:top w:val="none" w:sz="0" w:space="0" w:color="auto"/>
        <w:left w:val="none" w:sz="0" w:space="0" w:color="auto"/>
        <w:bottom w:val="none" w:sz="0" w:space="0" w:color="auto"/>
        <w:right w:val="none" w:sz="0" w:space="0" w:color="auto"/>
      </w:divBdr>
    </w:div>
    <w:div w:id="1107624293">
      <w:bodyDiv w:val="1"/>
      <w:marLeft w:val="0"/>
      <w:marRight w:val="0"/>
      <w:marTop w:val="0"/>
      <w:marBottom w:val="0"/>
      <w:divBdr>
        <w:top w:val="none" w:sz="0" w:space="0" w:color="auto"/>
        <w:left w:val="none" w:sz="0" w:space="0" w:color="auto"/>
        <w:bottom w:val="none" w:sz="0" w:space="0" w:color="auto"/>
        <w:right w:val="none" w:sz="0" w:space="0" w:color="auto"/>
      </w:divBdr>
    </w:div>
    <w:div w:id="1123959132">
      <w:bodyDiv w:val="1"/>
      <w:marLeft w:val="0"/>
      <w:marRight w:val="0"/>
      <w:marTop w:val="0"/>
      <w:marBottom w:val="0"/>
      <w:divBdr>
        <w:top w:val="none" w:sz="0" w:space="0" w:color="auto"/>
        <w:left w:val="none" w:sz="0" w:space="0" w:color="auto"/>
        <w:bottom w:val="none" w:sz="0" w:space="0" w:color="auto"/>
        <w:right w:val="none" w:sz="0" w:space="0" w:color="auto"/>
      </w:divBdr>
    </w:div>
    <w:div w:id="1129326855">
      <w:bodyDiv w:val="1"/>
      <w:marLeft w:val="0"/>
      <w:marRight w:val="0"/>
      <w:marTop w:val="0"/>
      <w:marBottom w:val="0"/>
      <w:divBdr>
        <w:top w:val="none" w:sz="0" w:space="0" w:color="auto"/>
        <w:left w:val="none" w:sz="0" w:space="0" w:color="auto"/>
        <w:bottom w:val="none" w:sz="0" w:space="0" w:color="auto"/>
        <w:right w:val="none" w:sz="0" w:space="0" w:color="auto"/>
      </w:divBdr>
      <w:divsChild>
        <w:div w:id="224225899">
          <w:marLeft w:val="0"/>
          <w:marRight w:val="0"/>
          <w:marTop w:val="0"/>
          <w:marBottom w:val="0"/>
          <w:divBdr>
            <w:top w:val="none" w:sz="0" w:space="0" w:color="auto"/>
            <w:left w:val="none" w:sz="0" w:space="0" w:color="auto"/>
            <w:bottom w:val="none" w:sz="0" w:space="0" w:color="auto"/>
            <w:right w:val="none" w:sz="0" w:space="0" w:color="auto"/>
          </w:divBdr>
        </w:div>
      </w:divsChild>
    </w:div>
    <w:div w:id="1133016224">
      <w:bodyDiv w:val="1"/>
      <w:marLeft w:val="0"/>
      <w:marRight w:val="0"/>
      <w:marTop w:val="0"/>
      <w:marBottom w:val="0"/>
      <w:divBdr>
        <w:top w:val="none" w:sz="0" w:space="0" w:color="auto"/>
        <w:left w:val="none" w:sz="0" w:space="0" w:color="auto"/>
        <w:bottom w:val="none" w:sz="0" w:space="0" w:color="auto"/>
        <w:right w:val="none" w:sz="0" w:space="0" w:color="auto"/>
      </w:divBdr>
    </w:div>
    <w:div w:id="1136407436">
      <w:bodyDiv w:val="1"/>
      <w:marLeft w:val="0"/>
      <w:marRight w:val="0"/>
      <w:marTop w:val="0"/>
      <w:marBottom w:val="0"/>
      <w:divBdr>
        <w:top w:val="none" w:sz="0" w:space="0" w:color="auto"/>
        <w:left w:val="none" w:sz="0" w:space="0" w:color="auto"/>
        <w:bottom w:val="none" w:sz="0" w:space="0" w:color="auto"/>
        <w:right w:val="none" w:sz="0" w:space="0" w:color="auto"/>
      </w:divBdr>
    </w:div>
    <w:div w:id="1146118515">
      <w:bodyDiv w:val="1"/>
      <w:marLeft w:val="0"/>
      <w:marRight w:val="0"/>
      <w:marTop w:val="0"/>
      <w:marBottom w:val="0"/>
      <w:divBdr>
        <w:top w:val="none" w:sz="0" w:space="0" w:color="auto"/>
        <w:left w:val="none" w:sz="0" w:space="0" w:color="auto"/>
        <w:bottom w:val="none" w:sz="0" w:space="0" w:color="auto"/>
        <w:right w:val="none" w:sz="0" w:space="0" w:color="auto"/>
      </w:divBdr>
    </w:div>
    <w:div w:id="1151480710">
      <w:bodyDiv w:val="1"/>
      <w:marLeft w:val="0"/>
      <w:marRight w:val="0"/>
      <w:marTop w:val="0"/>
      <w:marBottom w:val="0"/>
      <w:divBdr>
        <w:top w:val="none" w:sz="0" w:space="0" w:color="auto"/>
        <w:left w:val="none" w:sz="0" w:space="0" w:color="auto"/>
        <w:bottom w:val="none" w:sz="0" w:space="0" w:color="auto"/>
        <w:right w:val="none" w:sz="0" w:space="0" w:color="auto"/>
      </w:divBdr>
    </w:div>
    <w:div w:id="1155411549">
      <w:bodyDiv w:val="1"/>
      <w:marLeft w:val="0"/>
      <w:marRight w:val="0"/>
      <w:marTop w:val="0"/>
      <w:marBottom w:val="0"/>
      <w:divBdr>
        <w:top w:val="none" w:sz="0" w:space="0" w:color="auto"/>
        <w:left w:val="none" w:sz="0" w:space="0" w:color="auto"/>
        <w:bottom w:val="none" w:sz="0" w:space="0" w:color="auto"/>
        <w:right w:val="none" w:sz="0" w:space="0" w:color="auto"/>
      </w:divBdr>
    </w:div>
    <w:div w:id="1174419743">
      <w:bodyDiv w:val="1"/>
      <w:marLeft w:val="0"/>
      <w:marRight w:val="0"/>
      <w:marTop w:val="0"/>
      <w:marBottom w:val="0"/>
      <w:divBdr>
        <w:top w:val="none" w:sz="0" w:space="0" w:color="auto"/>
        <w:left w:val="none" w:sz="0" w:space="0" w:color="auto"/>
        <w:bottom w:val="none" w:sz="0" w:space="0" w:color="auto"/>
        <w:right w:val="none" w:sz="0" w:space="0" w:color="auto"/>
      </w:divBdr>
    </w:div>
    <w:div w:id="1177160046">
      <w:bodyDiv w:val="1"/>
      <w:marLeft w:val="0"/>
      <w:marRight w:val="0"/>
      <w:marTop w:val="0"/>
      <w:marBottom w:val="0"/>
      <w:divBdr>
        <w:top w:val="none" w:sz="0" w:space="0" w:color="auto"/>
        <w:left w:val="none" w:sz="0" w:space="0" w:color="auto"/>
        <w:bottom w:val="none" w:sz="0" w:space="0" w:color="auto"/>
        <w:right w:val="none" w:sz="0" w:space="0" w:color="auto"/>
      </w:divBdr>
    </w:div>
    <w:div w:id="1185944731">
      <w:bodyDiv w:val="1"/>
      <w:marLeft w:val="0"/>
      <w:marRight w:val="0"/>
      <w:marTop w:val="0"/>
      <w:marBottom w:val="0"/>
      <w:divBdr>
        <w:top w:val="none" w:sz="0" w:space="0" w:color="auto"/>
        <w:left w:val="none" w:sz="0" w:space="0" w:color="auto"/>
        <w:bottom w:val="none" w:sz="0" w:space="0" w:color="auto"/>
        <w:right w:val="none" w:sz="0" w:space="0" w:color="auto"/>
      </w:divBdr>
    </w:div>
    <w:div w:id="1206140611">
      <w:bodyDiv w:val="1"/>
      <w:marLeft w:val="0"/>
      <w:marRight w:val="0"/>
      <w:marTop w:val="0"/>
      <w:marBottom w:val="0"/>
      <w:divBdr>
        <w:top w:val="none" w:sz="0" w:space="0" w:color="auto"/>
        <w:left w:val="none" w:sz="0" w:space="0" w:color="auto"/>
        <w:bottom w:val="none" w:sz="0" w:space="0" w:color="auto"/>
        <w:right w:val="none" w:sz="0" w:space="0" w:color="auto"/>
      </w:divBdr>
    </w:div>
    <w:div w:id="1216938711">
      <w:bodyDiv w:val="1"/>
      <w:marLeft w:val="0"/>
      <w:marRight w:val="0"/>
      <w:marTop w:val="0"/>
      <w:marBottom w:val="0"/>
      <w:divBdr>
        <w:top w:val="none" w:sz="0" w:space="0" w:color="auto"/>
        <w:left w:val="none" w:sz="0" w:space="0" w:color="auto"/>
        <w:bottom w:val="none" w:sz="0" w:space="0" w:color="auto"/>
        <w:right w:val="none" w:sz="0" w:space="0" w:color="auto"/>
      </w:divBdr>
    </w:div>
    <w:div w:id="1222255951">
      <w:bodyDiv w:val="1"/>
      <w:marLeft w:val="0"/>
      <w:marRight w:val="0"/>
      <w:marTop w:val="0"/>
      <w:marBottom w:val="0"/>
      <w:divBdr>
        <w:top w:val="none" w:sz="0" w:space="0" w:color="auto"/>
        <w:left w:val="none" w:sz="0" w:space="0" w:color="auto"/>
        <w:bottom w:val="none" w:sz="0" w:space="0" w:color="auto"/>
        <w:right w:val="none" w:sz="0" w:space="0" w:color="auto"/>
      </w:divBdr>
    </w:div>
    <w:div w:id="1223633881">
      <w:bodyDiv w:val="1"/>
      <w:marLeft w:val="0"/>
      <w:marRight w:val="0"/>
      <w:marTop w:val="0"/>
      <w:marBottom w:val="0"/>
      <w:divBdr>
        <w:top w:val="none" w:sz="0" w:space="0" w:color="auto"/>
        <w:left w:val="none" w:sz="0" w:space="0" w:color="auto"/>
        <w:bottom w:val="none" w:sz="0" w:space="0" w:color="auto"/>
        <w:right w:val="none" w:sz="0" w:space="0" w:color="auto"/>
      </w:divBdr>
    </w:div>
    <w:div w:id="1230075809">
      <w:bodyDiv w:val="1"/>
      <w:marLeft w:val="0"/>
      <w:marRight w:val="0"/>
      <w:marTop w:val="0"/>
      <w:marBottom w:val="0"/>
      <w:divBdr>
        <w:top w:val="none" w:sz="0" w:space="0" w:color="auto"/>
        <w:left w:val="none" w:sz="0" w:space="0" w:color="auto"/>
        <w:bottom w:val="none" w:sz="0" w:space="0" w:color="auto"/>
        <w:right w:val="none" w:sz="0" w:space="0" w:color="auto"/>
      </w:divBdr>
    </w:div>
    <w:div w:id="1255625827">
      <w:bodyDiv w:val="1"/>
      <w:marLeft w:val="0"/>
      <w:marRight w:val="0"/>
      <w:marTop w:val="0"/>
      <w:marBottom w:val="0"/>
      <w:divBdr>
        <w:top w:val="none" w:sz="0" w:space="0" w:color="auto"/>
        <w:left w:val="none" w:sz="0" w:space="0" w:color="auto"/>
        <w:bottom w:val="none" w:sz="0" w:space="0" w:color="auto"/>
        <w:right w:val="none" w:sz="0" w:space="0" w:color="auto"/>
      </w:divBdr>
    </w:div>
    <w:div w:id="1260866878">
      <w:bodyDiv w:val="1"/>
      <w:marLeft w:val="0"/>
      <w:marRight w:val="0"/>
      <w:marTop w:val="0"/>
      <w:marBottom w:val="0"/>
      <w:divBdr>
        <w:top w:val="none" w:sz="0" w:space="0" w:color="auto"/>
        <w:left w:val="none" w:sz="0" w:space="0" w:color="auto"/>
        <w:bottom w:val="none" w:sz="0" w:space="0" w:color="auto"/>
        <w:right w:val="none" w:sz="0" w:space="0" w:color="auto"/>
      </w:divBdr>
    </w:div>
    <w:div w:id="1268074423">
      <w:bodyDiv w:val="1"/>
      <w:marLeft w:val="0"/>
      <w:marRight w:val="0"/>
      <w:marTop w:val="0"/>
      <w:marBottom w:val="0"/>
      <w:divBdr>
        <w:top w:val="none" w:sz="0" w:space="0" w:color="auto"/>
        <w:left w:val="none" w:sz="0" w:space="0" w:color="auto"/>
        <w:bottom w:val="none" w:sz="0" w:space="0" w:color="auto"/>
        <w:right w:val="none" w:sz="0" w:space="0" w:color="auto"/>
      </w:divBdr>
    </w:div>
    <w:div w:id="1269000547">
      <w:bodyDiv w:val="1"/>
      <w:marLeft w:val="0"/>
      <w:marRight w:val="0"/>
      <w:marTop w:val="0"/>
      <w:marBottom w:val="0"/>
      <w:divBdr>
        <w:top w:val="none" w:sz="0" w:space="0" w:color="auto"/>
        <w:left w:val="none" w:sz="0" w:space="0" w:color="auto"/>
        <w:bottom w:val="none" w:sz="0" w:space="0" w:color="auto"/>
        <w:right w:val="none" w:sz="0" w:space="0" w:color="auto"/>
      </w:divBdr>
    </w:div>
    <w:div w:id="1271817926">
      <w:bodyDiv w:val="1"/>
      <w:marLeft w:val="0"/>
      <w:marRight w:val="0"/>
      <w:marTop w:val="0"/>
      <w:marBottom w:val="0"/>
      <w:divBdr>
        <w:top w:val="none" w:sz="0" w:space="0" w:color="auto"/>
        <w:left w:val="none" w:sz="0" w:space="0" w:color="auto"/>
        <w:bottom w:val="none" w:sz="0" w:space="0" w:color="auto"/>
        <w:right w:val="none" w:sz="0" w:space="0" w:color="auto"/>
      </w:divBdr>
    </w:div>
    <w:div w:id="1271933202">
      <w:bodyDiv w:val="1"/>
      <w:marLeft w:val="0"/>
      <w:marRight w:val="0"/>
      <w:marTop w:val="0"/>
      <w:marBottom w:val="0"/>
      <w:divBdr>
        <w:top w:val="none" w:sz="0" w:space="0" w:color="auto"/>
        <w:left w:val="none" w:sz="0" w:space="0" w:color="auto"/>
        <w:bottom w:val="none" w:sz="0" w:space="0" w:color="auto"/>
        <w:right w:val="none" w:sz="0" w:space="0" w:color="auto"/>
      </w:divBdr>
    </w:div>
    <w:div w:id="1275866639">
      <w:bodyDiv w:val="1"/>
      <w:marLeft w:val="0"/>
      <w:marRight w:val="0"/>
      <w:marTop w:val="0"/>
      <w:marBottom w:val="0"/>
      <w:divBdr>
        <w:top w:val="none" w:sz="0" w:space="0" w:color="auto"/>
        <w:left w:val="none" w:sz="0" w:space="0" w:color="auto"/>
        <w:bottom w:val="none" w:sz="0" w:space="0" w:color="auto"/>
        <w:right w:val="none" w:sz="0" w:space="0" w:color="auto"/>
      </w:divBdr>
    </w:div>
    <w:div w:id="1281646607">
      <w:bodyDiv w:val="1"/>
      <w:marLeft w:val="0"/>
      <w:marRight w:val="0"/>
      <w:marTop w:val="0"/>
      <w:marBottom w:val="0"/>
      <w:divBdr>
        <w:top w:val="none" w:sz="0" w:space="0" w:color="auto"/>
        <w:left w:val="none" w:sz="0" w:space="0" w:color="auto"/>
        <w:bottom w:val="none" w:sz="0" w:space="0" w:color="auto"/>
        <w:right w:val="none" w:sz="0" w:space="0" w:color="auto"/>
      </w:divBdr>
    </w:div>
    <w:div w:id="1283221823">
      <w:bodyDiv w:val="1"/>
      <w:marLeft w:val="0"/>
      <w:marRight w:val="0"/>
      <w:marTop w:val="0"/>
      <w:marBottom w:val="0"/>
      <w:divBdr>
        <w:top w:val="none" w:sz="0" w:space="0" w:color="auto"/>
        <w:left w:val="none" w:sz="0" w:space="0" w:color="auto"/>
        <w:bottom w:val="none" w:sz="0" w:space="0" w:color="auto"/>
        <w:right w:val="none" w:sz="0" w:space="0" w:color="auto"/>
      </w:divBdr>
    </w:div>
    <w:div w:id="1284729996">
      <w:bodyDiv w:val="1"/>
      <w:marLeft w:val="0"/>
      <w:marRight w:val="0"/>
      <w:marTop w:val="0"/>
      <w:marBottom w:val="0"/>
      <w:divBdr>
        <w:top w:val="none" w:sz="0" w:space="0" w:color="auto"/>
        <w:left w:val="none" w:sz="0" w:space="0" w:color="auto"/>
        <w:bottom w:val="none" w:sz="0" w:space="0" w:color="auto"/>
        <w:right w:val="none" w:sz="0" w:space="0" w:color="auto"/>
      </w:divBdr>
    </w:div>
    <w:div w:id="1286935238">
      <w:bodyDiv w:val="1"/>
      <w:marLeft w:val="0"/>
      <w:marRight w:val="0"/>
      <w:marTop w:val="0"/>
      <w:marBottom w:val="0"/>
      <w:divBdr>
        <w:top w:val="none" w:sz="0" w:space="0" w:color="auto"/>
        <w:left w:val="none" w:sz="0" w:space="0" w:color="auto"/>
        <w:bottom w:val="none" w:sz="0" w:space="0" w:color="auto"/>
        <w:right w:val="none" w:sz="0" w:space="0" w:color="auto"/>
      </w:divBdr>
    </w:div>
    <w:div w:id="1287391542">
      <w:bodyDiv w:val="1"/>
      <w:marLeft w:val="0"/>
      <w:marRight w:val="0"/>
      <w:marTop w:val="0"/>
      <w:marBottom w:val="0"/>
      <w:divBdr>
        <w:top w:val="none" w:sz="0" w:space="0" w:color="auto"/>
        <w:left w:val="none" w:sz="0" w:space="0" w:color="auto"/>
        <w:bottom w:val="none" w:sz="0" w:space="0" w:color="auto"/>
        <w:right w:val="none" w:sz="0" w:space="0" w:color="auto"/>
      </w:divBdr>
    </w:div>
    <w:div w:id="1289624742">
      <w:bodyDiv w:val="1"/>
      <w:marLeft w:val="0"/>
      <w:marRight w:val="0"/>
      <w:marTop w:val="0"/>
      <w:marBottom w:val="0"/>
      <w:divBdr>
        <w:top w:val="none" w:sz="0" w:space="0" w:color="auto"/>
        <w:left w:val="none" w:sz="0" w:space="0" w:color="auto"/>
        <w:bottom w:val="none" w:sz="0" w:space="0" w:color="auto"/>
        <w:right w:val="none" w:sz="0" w:space="0" w:color="auto"/>
      </w:divBdr>
    </w:div>
    <w:div w:id="1293365993">
      <w:bodyDiv w:val="1"/>
      <w:marLeft w:val="0"/>
      <w:marRight w:val="0"/>
      <w:marTop w:val="0"/>
      <w:marBottom w:val="0"/>
      <w:divBdr>
        <w:top w:val="none" w:sz="0" w:space="0" w:color="auto"/>
        <w:left w:val="none" w:sz="0" w:space="0" w:color="auto"/>
        <w:bottom w:val="none" w:sz="0" w:space="0" w:color="auto"/>
        <w:right w:val="none" w:sz="0" w:space="0" w:color="auto"/>
      </w:divBdr>
    </w:div>
    <w:div w:id="1299383738">
      <w:bodyDiv w:val="1"/>
      <w:marLeft w:val="0"/>
      <w:marRight w:val="0"/>
      <w:marTop w:val="0"/>
      <w:marBottom w:val="0"/>
      <w:divBdr>
        <w:top w:val="none" w:sz="0" w:space="0" w:color="auto"/>
        <w:left w:val="none" w:sz="0" w:space="0" w:color="auto"/>
        <w:bottom w:val="none" w:sz="0" w:space="0" w:color="auto"/>
        <w:right w:val="none" w:sz="0" w:space="0" w:color="auto"/>
      </w:divBdr>
    </w:div>
    <w:div w:id="1302537440">
      <w:bodyDiv w:val="1"/>
      <w:marLeft w:val="0"/>
      <w:marRight w:val="0"/>
      <w:marTop w:val="0"/>
      <w:marBottom w:val="0"/>
      <w:divBdr>
        <w:top w:val="none" w:sz="0" w:space="0" w:color="auto"/>
        <w:left w:val="none" w:sz="0" w:space="0" w:color="auto"/>
        <w:bottom w:val="none" w:sz="0" w:space="0" w:color="auto"/>
        <w:right w:val="none" w:sz="0" w:space="0" w:color="auto"/>
      </w:divBdr>
    </w:div>
    <w:div w:id="1306885993">
      <w:bodyDiv w:val="1"/>
      <w:marLeft w:val="0"/>
      <w:marRight w:val="0"/>
      <w:marTop w:val="0"/>
      <w:marBottom w:val="0"/>
      <w:divBdr>
        <w:top w:val="none" w:sz="0" w:space="0" w:color="auto"/>
        <w:left w:val="none" w:sz="0" w:space="0" w:color="auto"/>
        <w:bottom w:val="none" w:sz="0" w:space="0" w:color="auto"/>
        <w:right w:val="none" w:sz="0" w:space="0" w:color="auto"/>
      </w:divBdr>
    </w:div>
    <w:div w:id="1314797297">
      <w:bodyDiv w:val="1"/>
      <w:marLeft w:val="0"/>
      <w:marRight w:val="0"/>
      <w:marTop w:val="0"/>
      <w:marBottom w:val="0"/>
      <w:divBdr>
        <w:top w:val="none" w:sz="0" w:space="0" w:color="auto"/>
        <w:left w:val="none" w:sz="0" w:space="0" w:color="auto"/>
        <w:bottom w:val="none" w:sz="0" w:space="0" w:color="auto"/>
        <w:right w:val="none" w:sz="0" w:space="0" w:color="auto"/>
      </w:divBdr>
    </w:div>
    <w:div w:id="1317495088">
      <w:bodyDiv w:val="1"/>
      <w:marLeft w:val="0"/>
      <w:marRight w:val="0"/>
      <w:marTop w:val="0"/>
      <w:marBottom w:val="0"/>
      <w:divBdr>
        <w:top w:val="none" w:sz="0" w:space="0" w:color="auto"/>
        <w:left w:val="none" w:sz="0" w:space="0" w:color="auto"/>
        <w:bottom w:val="none" w:sz="0" w:space="0" w:color="auto"/>
        <w:right w:val="none" w:sz="0" w:space="0" w:color="auto"/>
      </w:divBdr>
    </w:div>
    <w:div w:id="1317687027">
      <w:bodyDiv w:val="1"/>
      <w:marLeft w:val="0"/>
      <w:marRight w:val="0"/>
      <w:marTop w:val="0"/>
      <w:marBottom w:val="0"/>
      <w:divBdr>
        <w:top w:val="none" w:sz="0" w:space="0" w:color="auto"/>
        <w:left w:val="none" w:sz="0" w:space="0" w:color="auto"/>
        <w:bottom w:val="none" w:sz="0" w:space="0" w:color="auto"/>
        <w:right w:val="none" w:sz="0" w:space="0" w:color="auto"/>
      </w:divBdr>
    </w:div>
    <w:div w:id="1318265499">
      <w:bodyDiv w:val="1"/>
      <w:marLeft w:val="0"/>
      <w:marRight w:val="0"/>
      <w:marTop w:val="0"/>
      <w:marBottom w:val="0"/>
      <w:divBdr>
        <w:top w:val="none" w:sz="0" w:space="0" w:color="auto"/>
        <w:left w:val="none" w:sz="0" w:space="0" w:color="auto"/>
        <w:bottom w:val="none" w:sz="0" w:space="0" w:color="auto"/>
        <w:right w:val="none" w:sz="0" w:space="0" w:color="auto"/>
      </w:divBdr>
    </w:div>
    <w:div w:id="1318997237">
      <w:bodyDiv w:val="1"/>
      <w:marLeft w:val="0"/>
      <w:marRight w:val="0"/>
      <w:marTop w:val="0"/>
      <w:marBottom w:val="0"/>
      <w:divBdr>
        <w:top w:val="none" w:sz="0" w:space="0" w:color="auto"/>
        <w:left w:val="none" w:sz="0" w:space="0" w:color="auto"/>
        <w:bottom w:val="none" w:sz="0" w:space="0" w:color="auto"/>
        <w:right w:val="none" w:sz="0" w:space="0" w:color="auto"/>
      </w:divBdr>
    </w:div>
    <w:div w:id="1330136268">
      <w:bodyDiv w:val="1"/>
      <w:marLeft w:val="0"/>
      <w:marRight w:val="0"/>
      <w:marTop w:val="0"/>
      <w:marBottom w:val="0"/>
      <w:divBdr>
        <w:top w:val="none" w:sz="0" w:space="0" w:color="auto"/>
        <w:left w:val="none" w:sz="0" w:space="0" w:color="auto"/>
        <w:bottom w:val="none" w:sz="0" w:space="0" w:color="auto"/>
        <w:right w:val="none" w:sz="0" w:space="0" w:color="auto"/>
      </w:divBdr>
    </w:div>
    <w:div w:id="1330476322">
      <w:bodyDiv w:val="1"/>
      <w:marLeft w:val="0"/>
      <w:marRight w:val="0"/>
      <w:marTop w:val="0"/>
      <w:marBottom w:val="0"/>
      <w:divBdr>
        <w:top w:val="none" w:sz="0" w:space="0" w:color="auto"/>
        <w:left w:val="none" w:sz="0" w:space="0" w:color="auto"/>
        <w:bottom w:val="none" w:sz="0" w:space="0" w:color="auto"/>
        <w:right w:val="none" w:sz="0" w:space="0" w:color="auto"/>
      </w:divBdr>
    </w:div>
    <w:div w:id="1332294687">
      <w:bodyDiv w:val="1"/>
      <w:marLeft w:val="0"/>
      <w:marRight w:val="0"/>
      <w:marTop w:val="0"/>
      <w:marBottom w:val="0"/>
      <w:divBdr>
        <w:top w:val="none" w:sz="0" w:space="0" w:color="auto"/>
        <w:left w:val="none" w:sz="0" w:space="0" w:color="auto"/>
        <w:bottom w:val="none" w:sz="0" w:space="0" w:color="auto"/>
        <w:right w:val="none" w:sz="0" w:space="0" w:color="auto"/>
      </w:divBdr>
    </w:div>
    <w:div w:id="1332636601">
      <w:bodyDiv w:val="1"/>
      <w:marLeft w:val="0"/>
      <w:marRight w:val="0"/>
      <w:marTop w:val="0"/>
      <w:marBottom w:val="0"/>
      <w:divBdr>
        <w:top w:val="none" w:sz="0" w:space="0" w:color="auto"/>
        <w:left w:val="none" w:sz="0" w:space="0" w:color="auto"/>
        <w:bottom w:val="none" w:sz="0" w:space="0" w:color="auto"/>
        <w:right w:val="none" w:sz="0" w:space="0" w:color="auto"/>
      </w:divBdr>
    </w:div>
    <w:div w:id="1337226240">
      <w:bodyDiv w:val="1"/>
      <w:marLeft w:val="0"/>
      <w:marRight w:val="0"/>
      <w:marTop w:val="0"/>
      <w:marBottom w:val="0"/>
      <w:divBdr>
        <w:top w:val="none" w:sz="0" w:space="0" w:color="auto"/>
        <w:left w:val="none" w:sz="0" w:space="0" w:color="auto"/>
        <w:bottom w:val="none" w:sz="0" w:space="0" w:color="auto"/>
        <w:right w:val="none" w:sz="0" w:space="0" w:color="auto"/>
      </w:divBdr>
    </w:div>
    <w:div w:id="1345202637">
      <w:bodyDiv w:val="1"/>
      <w:marLeft w:val="0"/>
      <w:marRight w:val="0"/>
      <w:marTop w:val="0"/>
      <w:marBottom w:val="0"/>
      <w:divBdr>
        <w:top w:val="none" w:sz="0" w:space="0" w:color="auto"/>
        <w:left w:val="none" w:sz="0" w:space="0" w:color="auto"/>
        <w:bottom w:val="none" w:sz="0" w:space="0" w:color="auto"/>
        <w:right w:val="none" w:sz="0" w:space="0" w:color="auto"/>
      </w:divBdr>
    </w:div>
    <w:div w:id="1349675885">
      <w:bodyDiv w:val="1"/>
      <w:marLeft w:val="0"/>
      <w:marRight w:val="0"/>
      <w:marTop w:val="0"/>
      <w:marBottom w:val="0"/>
      <w:divBdr>
        <w:top w:val="none" w:sz="0" w:space="0" w:color="auto"/>
        <w:left w:val="none" w:sz="0" w:space="0" w:color="auto"/>
        <w:bottom w:val="none" w:sz="0" w:space="0" w:color="auto"/>
        <w:right w:val="none" w:sz="0" w:space="0" w:color="auto"/>
      </w:divBdr>
    </w:div>
    <w:div w:id="1356610503">
      <w:bodyDiv w:val="1"/>
      <w:marLeft w:val="0"/>
      <w:marRight w:val="0"/>
      <w:marTop w:val="0"/>
      <w:marBottom w:val="0"/>
      <w:divBdr>
        <w:top w:val="none" w:sz="0" w:space="0" w:color="auto"/>
        <w:left w:val="none" w:sz="0" w:space="0" w:color="auto"/>
        <w:bottom w:val="none" w:sz="0" w:space="0" w:color="auto"/>
        <w:right w:val="none" w:sz="0" w:space="0" w:color="auto"/>
      </w:divBdr>
    </w:div>
    <w:div w:id="1362439832">
      <w:bodyDiv w:val="1"/>
      <w:marLeft w:val="0"/>
      <w:marRight w:val="0"/>
      <w:marTop w:val="0"/>
      <w:marBottom w:val="0"/>
      <w:divBdr>
        <w:top w:val="none" w:sz="0" w:space="0" w:color="auto"/>
        <w:left w:val="none" w:sz="0" w:space="0" w:color="auto"/>
        <w:bottom w:val="none" w:sz="0" w:space="0" w:color="auto"/>
        <w:right w:val="none" w:sz="0" w:space="0" w:color="auto"/>
      </w:divBdr>
    </w:div>
    <w:div w:id="1363705595">
      <w:bodyDiv w:val="1"/>
      <w:marLeft w:val="0"/>
      <w:marRight w:val="0"/>
      <w:marTop w:val="0"/>
      <w:marBottom w:val="0"/>
      <w:divBdr>
        <w:top w:val="none" w:sz="0" w:space="0" w:color="auto"/>
        <w:left w:val="none" w:sz="0" w:space="0" w:color="auto"/>
        <w:bottom w:val="none" w:sz="0" w:space="0" w:color="auto"/>
        <w:right w:val="none" w:sz="0" w:space="0" w:color="auto"/>
      </w:divBdr>
    </w:div>
    <w:div w:id="1367409517">
      <w:bodyDiv w:val="1"/>
      <w:marLeft w:val="0"/>
      <w:marRight w:val="0"/>
      <w:marTop w:val="0"/>
      <w:marBottom w:val="0"/>
      <w:divBdr>
        <w:top w:val="none" w:sz="0" w:space="0" w:color="auto"/>
        <w:left w:val="none" w:sz="0" w:space="0" w:color="auto"/>
        <w:bottom w:val="none" w:sz="0" w:space="0" w:color="auto"/>
        <w:right w:val="none" w:sz="0" w:space="0" w:color="auto"/>
      </w:divBdr>
    </w:div>
    <w:div w:id="1378161307">
      <w:bodyDiv w:val="1"/>
      <w:marLeft w:val="0"/>
      <w:marRight w:val="0"/>
      <w:marTop w:val="0"/>
      <w:marBottom w:val="0"/>
      <w:divBdr>
        <w:top w:val="none" w:sz="0" w:space="0" w:color="auto"/>
        <w:left w:val="none" w:sz="0" w:space="0" w:color="auto"/>
        <w:bottom w:val="none" w:sz="0" w:space="0" w:color="auto"/>
        <w:right w:val="none" w:sz="0" w:space="0" w:color="auto"/>
      </w:divBdr>
    </w:div>
    <w:div w:id="1381591969">
      <w:bodyDiv w:val="1"/>
      <w:marLeft w:val="0"/>
      <w:marRight w:val="0"/>
      <w:marTop w:val="0"/>
      <w:marBottom w:val="0"/>
      <w:divBdr>
        <w:top w:val="none" w:sz="0" w:space="0" w:color="auto"/>
        <w:left w:val="none" w:sz="0" w:space="0" w:color="auto"/>
        <w:bottom w:val="none" w:sz="0" w:space="0" w:color="auto"/>
        <w:right w:val="none" w:sz="0" w:space="0" w:color="auto"/>
      </w:divBdr>
    </w:div>
    <w:div w:id="1385300474">
      <w:bodyDiv w:val="1"/>
      <w:marLeft w:val="0"/>
      <w:marRight w:val="0"/>
      <w:marTop w:val="0"/>
      <w:marBottom w:val="0"/>
      <w:divBdr>
        <w:top w:val="none" w:sz="0" w:space="0" w:color="auto"/>
        <w:left w:val="none" w:sz="0" w:space="0" w:color="auto"/>
        <w:bottom w:val="none" w:sz="0" w:space="0" w:color="auto"/>
        <w:right w:val="none" w:sz="0" w:space="0" w:color="auto"/>
      </w:divBdr>
    </w:div>
    <w:div w:id="1389840456">
      <w:bodyDiv w:val="1"/>
      <w:marLeft w:val="0"/>
      <w:marRight w:val="0"/>
      <w:marTop w:val="0"/>
      <w:marBottom w:val="0"/>
      <w:divBdr>
        <w:top w:val="none" w:sz="0" w:space="0" w:color="auto"/>
        <w:left w:val="none" w:sz="0" w:space="0" w:color="auto"/>
        <w:bottom w:val="none" w:sz="0" w:space="0" w:color="auto"/>
        <w:right w:val="none" w:sz="0" w:space="0" w:color="auto"/>
      </w:divBdr>
    </w:div>
    <w:div w:id="1392925216">
      <w:bodyDiv w:val="1"/>
      <w:marLeft w:val="0"/>
      <w:marRight w:val="0"/>
      <w:marTop w:val="0"/>
      <w:marBottom w:val="0"/>
      <w:divBdr>
        <w:top w:val="none" w:sz="0" w:space="0" w:color="auto"/>
        <w:left w:val="none" w:sz="0" w:space="0" w:color="auto"/>
        <w:bottom w:val="none" w:sz="0" w:space="0" w:color="auto"/>
        <w:right w:val="none" w:sz="0" w:space="0" w:color="auto"/>
      </w:divBdr>
    </w:div>
    <w:div w:id="1397817748">
      <w:bodyDiv w:val="1"/>
      <w:marLeft w:val="0"/>
      <w:marRight w:val="0"/>
      <w:marTop w:val="0"/>
      <w:marBottom w:val="0"/>
      <w:divBdr>
        <w:top w:val="none" w:sz="0" w:space="0" w:color="auto"/>
        <w:left w:val="none" w:sz="0" w:space="0" w:color="auto"/>
        <w:bottom w:val="none" w:sz="0" w:space="0" w:color="auto"/>
        <w:right w:val="none" w:sz="0" w:space="0" w:color="auto"/>
      </w:divBdr>
    </w:div>
    <w:div w:id="1400133638">
      <w:bodyDiv w:val="1"/>
      <w:marLeft w:val="0"/>
      <w:marRight w:val="0"/>
      <w:marTop w:val="0"/>
      <w:marBottom w:val="0"/>
      <w:divBdr>
        <w:top w:val="none" w:sz="0" w:space="0" w:color="auto"/>
        <w:left w:val="none" w:sz="0" w:space="0" w:color="auto"/>
        <w:bottom w:val="none" w:sz="0" w:space="0" w:color="auto"/>
        <w:right w:val="none" w:sz="0" w:space="0" w:color="auto"/>
      </w:divBdr>
    </w:div>
    <w:div w:id="1400861923">
      <w:bodyDiv w:val="1"/>
      <w:marLeft w:val="0"/>
      <w:marRight w:val="0"/>
      <w:marTop w:val="0"/>
      <w:marBottom w:val="0"/>
      <w:divBdr>
        <w:top w:val="none" w:sz="0" w:space="0" w:color="auto"/>
        <w:left w:val="none" w:sz="0" w:space="0" w:color="auto"/>
        <w:bottom w:val="none" w:sz="0" w:space="0" w:color="auto"/>
        <w:right w:val="none" w:sz="0" w:space="0" w:color="auto"/>
      </w:divBdr>
    </w:div>
    <w:div w:id="1406686626">
      <w:bodyDiv w:val="1"/>
      <w:marLeft w:val="0"/>
      <w:marRight w:val="0"/>
      <w:marTop w:val="0"/>
      <w:marBottom w:val="0"/>
      <w:divBdr>
        <w:top w:val="none" w:sz="0" w:space="0" w:color="auto"/>
        <w:left w:val="none" w:sz="0" w:space="0" w:color="auto"/>
        <w:bottom w:val="none" w:sz="0" w:space="0" w:color="auto"/>
        <w:right w:val="none" w:sz="0" w:space="0" w:color="auto"/>
      </w:divBdr>
    </w:div>
    <w:div w:id="1408069791">
      <w:bodyDiv w:val="1"/>
      <w:marLeft w:val="0"/>
      <w:marRight w:val="0"/>
      <w:marTop w:val="0"/>
      <w:marBottom w:val="0"/>
      <w:divBdr>
        <w:top w:val="none" w:sz="0" w:space="0" w:color="auto"/>
        <w:left w:val="none" w:sz="0" w:space="0" w:color="auto"/>
        <w:bottom w:val="none" w:sz="0" w:space="0" w:color="auto"/>
        <w:right w:val="none" w:sz="0" w:space="0" w:color="auto"/>
      </w:divBdr>
    </w:div>
    <w:div w:id="1408648970">
      <w:bodyDiv w:val="1"/>
      <w:marLeft w:val="0"/>
      <w:marRight w:val="0"/>
      <w:marTop w:val="0"/>
      <w:marBottom w:val="0"/>
      <w:divBdr>
        <w:top w:val="none" w:sz="0" w:space="0" w:color="auto"/>
        <w:left w:val="none" w:sz="0" w:space="0" w:color="auto"/>
        <w:bottom w:val="none" w:sz="0" w:space="0" w:color="auto"/>
        <w:right w:val="none" w:sz="0" w:space="0" w:color="auto"/>
      </w:divBdr>
    </w:div>
    <w:div w:id="1421752434">
      <w:bodyDiv w:val="1"/>
      <w:marLeft w:val="0"/>
      <w:marRight w:val="0"/>
      <w:marTop w:val="0"/>
      <w:marBottom w:val="0"/>
      <w:divBdr>
        <w:top w:val="none" w:sz="0" w:space="0" w:color="auto"/>
        <w:left w:val="none" w:sz="0" w:space="0" w:color="auto"/>
        <w:bottom w:val="none" w:sz="0" w:space="0" w:color="auto"/>
        <w:right w:val="none" w:sz="0" w:space="0" w:color="auto"/>
      </w:divBdr>
    </w:div>
    <w:div w:id="1431580337">
      <w:bodyDiv w:val="1"/>
      <w:marLeft w:val="0"/>
      <w:marRight w:val="0"/>
      <w:marTop w:val="0"/>
      <w:marBottom w:val="0"/>
      <w:divBdr>
        <w:top w:val="none" w:sz="0" w:space="0" w:color="auto"/>
        <w:left w:val="none" w:sz="0" w:space="0" w:color="auto"/>
        <w:bottom w:val="none" w:sz="0" w:space="0" w:color="auto"/>
        <w:right w:val="none" w:sz="0" w:space="0" w:color="auto"/>
      </w:divBdr>
    </w:div>
    <w:div w:id="1438208389">
      <w:bodyDiv w:val="1"/>
      <w:marLeft w:val="0"/>
      <w:marRight w:val="0"/>
      <w:marTop w:val="0"/>
      <w:marBottom w:val="0"/>
      <w:divBdr>
        <w:top w:val="none" w:sz="0" w:space="0" w:color="auto"/>
        <w:left w:val="none" w:sz="0" w:space="0" w:color="auto"/>
        <w:bottom w:val="none" w:sz="0" w:space="0" w:color="auto"/>
        <w:right w:val="none" w:sz="0" w:space="0" w:color="auto"/>
      </w:divBdr>
    </w:div>
    <w:div w:id="1438476550">
      <w:bodyDiv w:val="1"/>
      <w:marLeft w:val="0"/>
      <w:marRight w:val="0"/>
      <w:marTop w:val="0"/>
      <w:marBottom w:val="0"/>
      <w:divBdr>
        <w:top w:val="none" w:sz="0" w:space="0" w:color="auto"/>
        <w:left w:val="none" w:sz="0" w:space="0" w:color="auto"/>
        <w:bottom w:val="none" w:sz="0" w:space="0" w:color="auto"/>
        <w:right w:val="none" w:sz="0" w:space="0" w:color="auto"/>
      </w:divBdr>
    </w:div>
    <w:div w:id="1440291658">
      <w:bodyDiv w:val="1"/>
      <w:marLeft w:val="0"/>
      <w:marRight w:val="0"/>
      <w:marTop w:val="0"/>
      <w:marBottom w:val="0"/>
      <w:divBdr>
        <w:top w:val="none" w:sz="0" w:space="0" w:color="auto"/>
        <w:left w:val="none" w:sz="0" w:space="0" w:color="auto"/>
        <w:bottom w:val="none" w:sz="0" w:space="0" w:color="auto"/>
        <w:right w:val="none" w:sz="0" w:space="0" w:color="auto"/>
      </w:divBdr>
    </w:div>
    <w:div w:id="1448428325">
      <w:bodyDiv w:val="1"/>
      <w:marLeft w:val="0"/>
      <w:marRight w:val="0"/>
      <w:marTop w:val="0"/>
      <w:marBottom w:val="0"/>
      <w:divBdr>
        <w:top w:val="none" w:sz="0" w:space="0" w:color="auto"/>
        <w:left w:val="none" w:sz="0" w:space="0" w:color="auto"/>
        <w:bottom w:val="none" w:sz="0" w:space="0" w:color="auto"/>
        <w:right w:val="none" w:sz="0" w:space="0" w:color="auto"/>
      </w:divBdr>
    </w:div>
    <w:div w:id="1450658915">
      <w:bodyDiv w:val="1"/>
      <w:marLeft w:val="0"/>
      <w:marRight w:val="0"/>
      <w:marTop w:val="0"/>
      <w:marBottom w:val="0"/>
      <w:divBdr>
        <w:top w:val="none" w:sz="0" w:space="0" w:color="auto"/>
        <w:left w:val="none" w:sz="0" w:space="0" w:color="auto"/>
        <w:bottom w:val="none" w:sz="0" w:space="0" w:color="auto"/>
        <w:right w:val="none" w:sz="0" w:space="0" w:color="auto"/>
      </w:divBdr>
    </w:div>
    <w:div w:id="1460681984">
      <w:bodyDiv w:val="1"/>
      <w:marLeft w:val="0"/>
      <w:marRight w:val="0"/>
      <w:marTop w:val="0"/>
      <w:marBottom w:val="0"/>
      <w:divBdr>
        <w:top w:val="none" w:sz="0" w:space="0" w:color="auto"/>
        <w:left w:val="none" w:sz="0" w:space="0" w:color="auto"/>
        <w:bottom w:val="none" w:sz="0" w:space="0" w:color="auto"/>
        <w:right w:val="none" w:sz="0" w:space="0" w:color="auto"/>
      </w:divBdr>
    </w:div>
    <w:div w:id="1471708197">
      <w:bodyDiv w:val="1"/>
      <w:marLeft w:val="0"/>
      <w:marRight w:val="0"/>
      <w:marTop w:val="0"/>
      <w:marBottom w:val="0"/>
      <w:divBdr>
        <w:top w:val="none" w:sz="0" w:space="0" w:color="auto"/>
        <w:left w:val="none" w:sz="0" w:space="0" w:color="auto"/>
        <w:bottom w:val="none" w:sz="0" w:space="0" w:color="auto"/>
        <w:right w:val="none" w:sz="0" w:space="0" w:color="auto"/>
      </w:divBdr>
    </w:div>
    <w:div w:id="1477187286">
      <w:bodyDiv w:val="1"/>
      <w:marLeft w:val="0"/>
      <w:marRight w:val="0"/>
      <w:marTop w:val="0"/>
      <w:marBottom w:val="0"/>
      <w:divBdr>
        <w:top w:val="none" w:sz="0" w:space="0" w:color="auto"/>
        <w:left w:val="none" w:sz="0" w:space="0" w:color="auto"/>
        <w:bottom w:val="none" w:sz="0" w:space="0" w:color="auto"/>
        <w:right w:val="none" w:sz="0" w:space="0" w:color="auto"/>
      </w:divBdr>
    </w:div>
    <w:div w:id="1492984786">
      <w:bodyDiv w:val="1"/>
      <w:marLeft w:val="0"/>
      <w:marRight w:val="0"/>
      <w:marTop w:val="0"/>
      <w:marBottom w:val="0"/>
      <w:divBdr>
        <w:top w:val="none" w:sz="0" w:space="0" w:color="auto"/>
        <w:left w:val="none" w:sz="0" w:space="0" w:color="auto"/>
        <w:bottom w:val="none" w:sz="0" w:space="0" w:color="auto"/>
        <w:right w:val="none" w:sz="0" w:space="0" w:color="auto"/>
      </w:divBdr>
    </w:div>
    <w:div w:id="1497190258">
      <w:bodyDiv w:val="1"/>
      <w:marLeft w:val="0"/>
      <w:marRight w:val="0"/>
      <w:marTop w:val="0"/>
      <w:marBottom w:val="0"/>
      <w:divBdr>
        <w:top w:val="none" w:sz="0" w:space="0" w:color="auto"/>
        <w:left w:val="none" w:sz="0" w:space="0" w:color="auto"/>
        <w:bottom w:val="none" w:sz="0" w:space="0" w:color="auto"/>
        <w:right w:val="none" w:sz="0" w:space="0" w:color="auto"/>
      </w:divBdr>
    </w:div>
    <w:div w:id="1503010975">
      <w:bodyDiv w:val="1"/>
      <w:marLeft w:val="0"/>
      <w:marRight w:val="0"/>
      <w:marTop w:val="0"/>
      <w:marBottom w:val="0"/>
      <w:divBdr>
        <w:top w:val="none" w:sz="0" w:space="0" w:color="auto"/>
        <w:left w:val="none" w:sz="0" w:space="0" w:color="auto"/>
        <w:bottom w:val="none" w:sz="0" w:space="0" w:color="auto"/>
        <w:right w:val="none" w:sz="0" w:space="0" w:color="auto"/>
      </w:divBdr>
    </w:div>
    <w:div w:id="1505243073">
      <w:bodyDiv w:val="1"/>
      <w:marLeft w:val="0"/>
      <w:marRight w:val="0"/>
      <w:marTop w:val="0"/>
      <w:marBottom w:val="0"/>
      <w:divBdr>
        <w:top w:val="none" w:sz="0" w:space="0" w:color="auto"/>
        <w:left w:val="none" w:sz="0" w:space="0" w:color="auto"/>
        <w:bottom w:val="none" w:sz="0" w:space="0" w:color="auto"/>
        <w:right w:val="none" w:sz="0" w:space="0" w:color="auto"/>
      </w:divBdr>
    </w:div>
    <w:div w:id="1505438607">
      <w:bodyDiv w:val="1"/>
      <w:marLeft w:val="0"/>
      <w:marRight w:val="0"/>
      <w:marTop w:val="0"/>
      <w:marBottom w:val="0"/>
      <w:divBdr>
        <w:top w:val="none" w:sz="0" w:space="0" w:color="auto"/>
        <w:left w:val="none" w:sz="0" w:space="0" w:color="auto"/>
        <w:bottom w:val="none" w:sz="0" w:space="0" w:color="auto"/>
        <w:right w:val="none" w:sz="0" w:space="0" w:color="auto"/>
      </w:divBdr>
    </w:div>
    <w:div w:id="1505778363">
      <w:bodyDiv w:val="1"/>
      <w:marLeft w:val="0"/>
      <w:marRight w:val="0"/>
      <w:marTop w:val="0"/>
      <w:marBottom w:val="0"/>
      <w:divBdr>
        <w:top w:val="none" w:sz="0" w:space="0" w:color="auto"/>
        <w:left w:val="none" w:sz="0" w:space="0" w:color="auto"/>
        <w:bottom w:val="none" w:sz="0" w:space="0" w:color="auto"/>
        <w:right w:val="none" w:sz="0" w:space="0" w:color="auto"/>
      </w:divBdr>
    </w:div>
    <w:div w:id="1508056226">
      <w:bodyDiv w:val="1"/>
      <w:marLeft w:val="0"/>
      <w:marRight w:val="0"/>
      <w:marTop w:val="0"/>
      <w:marBottom w:val="0"/>
      <w:divBdr>
        <w:top w:val="none" w:sz="0" w:space="0" w:color="auto"/>
        <w:left w:val="none" w:sz="0" w:space="0" w:color="auto"/>
        <w:bottom w:val="none" w:sz="0" w:space="0" w:color="auto"/>
        <w:right w:val="none" w:sz="0" w:space="0" w:color="auto"/>
      </w:divBdr>
    </w:div>
    <w:div w:id="1512253240">
      <w:bodyDiv w:val="1"/>
      <w:marLeft w:val="0"/>
      <w:marRight w:val="0"/>
      <w:marTop w:val="0"/>
      <w:marBottom w:val="0"/>
      <w:divBdr>
        <w:top w:val="none" w:sz="0" w:space="0" w:color="auto"/>
        <w:left w:val="none" w:sz="0" w:space="0" w:color="auto"/>
        <w:bottom w:val="none" w:sz="0" w:space="0" w:color="auto"/>
        <w:right w:val="none" w:sz="0" w:space="0" w:color="auto"/>
      </w:divBdr>
    </w:div>
    <w:div w:id="1513186274">
      <w:bodyDiv w:val="1"/>
      <w:marLeft w:val="0"/>
      <w:marRight w:val="0"/>
      <w:marTop w:val="0"/>
      <w:marBottom w:val="0"/>
      <w:divBdr>
        <w:top w:val="none" w:sz="0" w:space="0" w:color="auto"/>
        <w:left w:val="none" w:sz="0" w:space="0" w:color="auto"/>
        <w:bottom w:val="none" w:sz="0" w:space="0" w:color="auto"/>
        <w:right w:val="none" w:sz="0" w:space="0" w:color="auto"/>
      </w:divBdr>
    </w:div>
    <w:div w:id="1524399744">
      <w:bodyDiv w:val="1"/>
      <w:marLeft w:val="0"/>
      <w:marRight w:val="0"/>
      <w:marTop w:val="0"/>
      <w:marBottom w:val="0"/>
      <w:divBdr>
        <w:top w:val="none" w:sz="0" w:space="0" w:color="auto"/>
        <w:left w:val="none" w:sz="0" w:space="0" w:color="auto"/>
        <w:bottom w:val="none" w:sz="0" w:space="0" w:color="auto"/>
        <w:right w:val="none" w:sz="0" w:space="0" w:color="auto"/>
      </w:divBdr>
    </w:div>
    <w:div w:id="1533834892">
      <w:bodyDiv w:val="1"/>
      <w:marLeft w:val="0"/>
      <w:marRight w:val="0"/>
      <w:marTop w:val="0"/>
      <w:marBottom w:val="0"/>
      <w:divBdr>
        <w:top w:val="none" w:sz="0" w:space="0" w:color="auto"/>
        <w:left w:val="none" w:sz="0" w:space="0" w:color="auto"/>
        <w:bottom w:val="none" w:sz="0" w:space="0" w:color="auto"/>
        <w:right w:val="none" w:sz="0" w:space="0" w:color="auto"/>
      </w:divBdr>
    </w:div>
    <w:div w:id="1537082318">
      <w:bodyDiv w:val="1"/>
      <w:marLeft w:val="0"/>
      <w:marRight w:val="0"/>
      <w:marTop w:val="0"/>
      <w:marBottom w:val="0"/>
      <w:divBdr>
        <w:top w:val="none" w:sz="0" w:space="0" w:color="auto"/>
        <w:left w:val="none" w:sz="0" w:space="0" w:color="auto"/>
        <w:bottom w:val="none" w:sz="0" w:space="0" w:color="auto"/>
        <w:right w:val="none" w:sz="0" w:space="0" w:color="auto"/>
      </w:divBdr>
    </w:div>
    <w:div w:id="1545362146">
      <w:bodyDiv w:val="1"/>
      <w:marLeft w:val="0"/>
      <w:marRight w:val="0"/>
      <w:marTop w:val="0"/>
      <w:marBottom w:val="0"/>
      <w:divBdr>
        <w:top w:val="none" w:sz="0" w:space="0" w:color="auto"/>
        <w:left w:val="none" w:sz="0" w:space="0" w:color="auto"/>
        <w:bottom w:val="none" w:sz="0" w:space="0" w:color="auto"/>
        <w:right w:val="none" w:sz="0" w:space="0" w:color="auto"/>
      </w:divBdr>
    </w:div>
    <w:div w:id="1546210964">
      <w:bodyDiv w:val="1"/>
      <w:marLeft w:val="0"/>
      <w:marRight w:val="0"/>
      <w:marTop w:val="0"/>
      <w:marBottom w:val="0"/>
      <w:divBdr>
        <w:top w:val="none" w:sz="0" w:space="0" w:color="auto"/>
        <w:left w:val="none" w:sz="0" w:space="0" w:color="auto"/>
        <w:bottom w:val="none" w:sz="0" w:space="0" w:color="auto"/>
        <w:right w:val="none" w:sz="0" w:space="0" w:color="auto"/>
      </w:divBdr>
    </w:div>
    <w:div w:id="155912939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67521931">
      <w:bodyDiv w:val="1"/>
      <w:marLeft w:val="0"/>
      <w:marRight w:val="0"/>
      <w:marTop w:val="0"/>
      <w:marBottom w:val="0"/>
      <w:divBdr>
        <w:top w:val="none" w:sz="0" w:space="0" w:color="auto"/>
        <w:left w:val="none" w:sz="0" w:space="0" w:color="auto"/>
        <w:bottom w:val="none" w:sz="0" w:space="0" w:color="auto"/>
        <w:right w:val="none" w:sz="0" w:space="0" w:color="auto"/>
      </w:divBdr>
    </w:div>
    <w:div w:id="1575778152">
      <w:bodyDiv w:val="1"/>
      <w:marLeft w:val="0"/>
      <w:marRight w:val="0"/>
      <w:marTop w:val="0"/>
      <w:marBottom w:val="0"/>
      <w:divBdr>
        <w:top w:val="none" w:sz="0" w:space="0" w:color="auto"/>
        <w:left w:val="none" w:sz="0" w:space="0" w:color="auto"/>
        <w:bottom w:val="none" w:sz="0" w:space="0" w:color="auto"/>
        <w:right w:val="none" w:sz="0" w:space="0" w:color="auto"/>
      </w:divBdr>
    </w:div>
    <w:div w:id="1579096917">
      <w:bodyDiv w:val="1"/>
      <w:marLeft w:val="0"/>
      <w:marRight w:val="0"/>
      <w:marTop w:val="0"/>
      <w:marBottom w:val="0"/>
      <w:divBdr>
        <w:top w:val="none" w:sz="0" w:space="0" w:color="auto"/>
        <w:left w:val="none" w:sz="0" w:space="0" w:color="auto"/>
        <w:bottom w:val="none" w:sz="0" w:space="0" w:color="auto"/>
        <w:right w:val="none" w:sz="0" w:space="0" w:color="auto"/>
      </w:divBdr>
    </w:div>
    <w:div w:id="1592277067">
      <w:bodyDiv w:val="1"/>
      <w:marLeft w:val="0"/>
      <w:marRight w:val="0"/>
      <w:marTop w:val="0"/>
      <w:marBottom w:val="0"/>
      <w:divBdr>
        <w:top w:val="none" w:sz="0" w:space="0" w:color="auto"/>
        <w:left w:val="none" w:sz="0" w:space="0" w:color="auto"/>
        <w:bottom w:val="none" w:sz="0" w:space="0" w:color="auto"/>
        <w:right w:val="none" w:sz="0" w:space="0" w:color="auto"/>
      </w:divBdr>
    </w:div>
    <w:div w:id="1595625063">
      <w:bodyDiv w:val="1"/>
      <w:marLeft w:val="0"/>
      <w:marRight w:val="0"/>
      <w:marTop w:val="0"/>
      <w:marBottom w:val="0"/>
      <w:divBdr>
        <w:top w:val="none" w:sz="0" w:space="0" w:color="auto"/>
        <w:left w:val="none" w:sz="0" w:space="0" w:color="auto"/>
        <w:bottom w:val="none" w:sz="0" w:space="0" w:color="auto"/>
        <w:right w:val="none" w:sz="0" w:space="0" w:color="auto"/>
      </w:divBdr>
    </w:div>
    <w:div w:id="1597401565">
      <w:bodyDiv w:val="1"/>
      <w:marLeft w:val="0"/>
      <w:marRight w:val="0"/>
      <w:marTop w:val="0"/>
      <w:marBottom w:val="0"/>
      <w:divBdr>
        <w:top w:val="none" w:sz="0" w:space="0" w:color="auto"/>
        <w:left w:val="none" w:sz="0" w:space="0" w:color="auto"/>
        <w:bottom w:val="none" w:sz="0" w:space="0" w:color="auto"/>
        <w:right w:val="none" w:sz="0" w:space="0" w:color="auto"/>
      </w:divBdr>
    </w:div>
    <w:div w:id="1599023852">
      <w:bodyDiv w:val="1"/>
      <w:marLeft w:val="0"/>
      <w:marRight w:val="0"/>
      <w:marTop w:val="0"/>
      <w:marBottom w:val="0"/>
      <w:divBdr>
        <w:top w:val="none" w:sz="0" w:space="0" w:color="auto"/>
        <w:left w:val="none" w:sz="0" w:space="0" w:color="auto"/>
        <w:bottom w:val="none" w:sz="0" w:space="0" w:color="auto"/>
        <w:right w:val="none" w:sz="0" w:space="0" w:color="auto"/>
      </w:divBdr>
    </w:div>
    <w:div w:id="1611276219">
      <w:bodyDiv w:val="1"/>
      <w:marLeft w:val="0"/>
      <w:marRight w:val="0"/>
      <w:marTop w:val="0"/>
      <w:marBottom w:val="0"/>
      <w:divBdr>
        <w:top w:val="none" w:sz="0" w:space="0" w:color="auto"/>
        <w:left w:val="none" w:sz="0" w:space="0" w:color="auto"/>
        <w:bottom w:val="none" w:sz="0" w:space="0" w:color="auto"/>
        <w:right w:val="none" w:sz="0" w:space="0" w:color="auto"/>
      </w:divBdr>
    </w:div>
    <w:div w:id="1612198363">
      <w:bodyDiv w:val="1"/>
      <w:marLeft w:val="0"/>
      <w:marRight w:val="0"/>
      <w:marTop w:val="0"/>
      <w:marBottom w:val="0"/>
      <w:divBdr>
        <w:top w:val="none" w:sz="0" w:space="0" w:color="auto"/>
        <w:left w:val="none" w:sz="0" w:space="0" w:color="auto"/>
        <w:bottom w:val="none" w:sz="0" w:space="0" w:color="auto"/>
        <w:right w:val="none" w:sz="0" w:space="0" w:color="auto"/>
      </w:divBdr>
    </w:div>
    <w:div w:id="1616404848">
      <w:bodyDiv w:val="1"/>
      <w:marLeft w:val="0"/>
      <w:marRight w:val="0"/>
      <w:marTop w:val="0"/>
      <w:marBottom w:val="0"/>
      <w:divBdr>
        <w:top w:val="none" w:sz="0" w:space="0" w:color="auto"/>
        <w:left w:val="none" w:sz="0" w:space="0" w:color="auto"/>
        <w:bottom w:val="none" w:sz="0" w:space="0" w:color="auto"/>
        <w:right w:val="none" w:sz="0" w:space="0" w:color="auto"/>
      </w:divBdr>
    </w:div>
    <w:div w:id="1616718527">
      <w:bodyDiv w:val="1"/>
      <w:marLeft w:val="0"/>
      <w:marRight w:val="0"/>
      <w:marTop w:val="0"/>
      <w:marBottom w:val="0"/>
      <w:divBdr>
        <w:top w:val="none" w:sz="0" w:space="0" w:color="auto"/>
        <w:left w:val="none" w:sz="0" w:space="0" w:color="auto"/>
        <w:bottom w:val="none" w:sz="0" w:space="0" w:color="auto"/>
        <w:right w:val="none" w:sz="0" w:space="0" w:color="auto"/>
      </w:divBdr>
    </w:div>
    <w:div w:id="1632511806">
      <w:bodyDiv w:val="1"/>
      <w:marLeft w:val="0"/>
      <w:marRight w:val="0"/>
      <w:marTop w:val="0"/>
      <w:marBottom w:val="0"/>
      <w:divBdr>
        <w:top w:val="none" w:sz="0" w:space="0" w:color="auto"/>
        <w:left w:val="none" w:sz="0" w:space="0" w:color="auto"/>
        <w:bottom w:val="none" w:sz="0" w:space="0" w:color="auto"/>
        <w:right w:val="none" w:sz="0" w:space="0" w:color="auto"/>
      </w:divBdr>
    </w:div>
    <w:div w:id="1638295673">
      <w:bodyDiv w:val="1"/>
      <w:marLeft w:val="0"/>
      <w:marRight w:val="0"/>
      <w:marTop w:val="0"/>
      <w:marBottom w:val="0"/>
      <w:divBdr>
        <w:top w:val="none" w:sz="0" w:space="0" w:color="auto"/>
        <w:left w:val="none" w:sz="0" w:space="0" w:color="auto"/>
        <w:bottom w:val="none" w:sz="0" w:space="0" w:color="auto"/>
        <w:right w:val="none" w:sz="0" w:space="0" w:color="auto"/>
      </w:divBdr>
    </w:div>
    <w:div w:id="1638804738">
      <w:bodyDiv w:val="1"/>
      <w:marLeft w:val="0"/>
      <w:marRight w:val="0"/>
      <w:marTop w:val="0"/>
      <w:marBottom w:val="0"/>
      <w:divBdr>
        <w:top w:val="none" w:sz="0" w:space="0" w:color="auto"/>
        <w:left w:val="none" w:sz="0" w:space="0" w:color="auto"/>
        <w:bottom w:val="none" w:sz="0" w:space="0" w:color="auto"/>
        <w:right w:val="none" w:sz="0" w:space="0" w:color="auto"/>
      </w:divBdr>
    </w:div>
    <w:div w:id="1640068141">
      <w:bodyDiv w:val="1"/>
      <w:marLeft w:val="0"/>
      <w:marRight w:val="0"/>
      <w:marTop w:val="0"/>
      <w:marBottom w:val="0"/>
      <w:divBdr>
        <w:top w:val="none" w:sz="0" w:space="0" w:color="auto"/>
        <w:left w:val="none" w:sz="0" w:space="0" w:color="auto"/>
        <w:bottom w:val="none" w:sz="0" w:space="0" w:color="auto"/>
        <w:right w:val="none" w:sz="0" w:space="0" w:color="auto"/>
      </w:divBdr>
    </w:div>
    <w:div w:id="1651132089">
      <w:bodyDiv w:val="1"/>
      <w:marLeft w:val="0"/>
      <w:marRight w:val="0"/>
      <w:marTop w:val="0"/>
      <w:marBottom w:val="0"/>
      <w:divBdr>
        <w:top w:val="none" w:sz="0" w:space="0" w:color="auto"/>
        <w:left w:val="none" w:sz="0" w:space="0" w:color="auto"/>
        <w:bottom w:val="none" w:sz="0" w:space="0" w:color="auto"/>
        <w:right w:val="none" w:sz="0" w:space="0" w:color="auto"/>
      </w:divBdr>
    </w:div>
    <w:div w:id="1653022577">
      <w:bodyDiv w:val="1"/>
      <w:marLeft w:val="0"/>
      <w:marRight w:val="0"/>
      <w:marTop w:val="0"/>
      <w:marBottom w:val="0"/>
      <w:divBdr>
        <w:top w:val="none" w:sz="0" w:space="0" w:color="auto"/>
        <w:left w:val="none" w:sz="0" w:space="0" w:color="auto"/>
        <w:bottom w:val="none" w:sz="0" w:space="0" w:color="auto"/>
        <w:right w:val="none" w:sz="0" w:space="0" w:color="auto"/>
      </w:divBdr>
    </w:div>
    <w:div w:id="1653213449">
      <w:bodyDiv w:val="1"/>
      <w:marLeft w:val="0"/>
      <w:marRight w:val="0"/>
      <w:marTop w:val="0"/>
      <w:marBottom w:val="0"/>
      <w:divBdr>
        <w:top w:val="none" w:sz="0" w:space="0" w:color="auto"/>
        <w:left w:val="none" w:sz="0" w:space="0" w:color="auto"/>
        <w:bottom w:val="none" w:sz="0" w:space="0" w:color="auto"/>
        <w:right w:val="none" w:sz="0" w:space="0" w:color="auto"/>
      </w:divBdr>
    </w:div>
    <w:div w:id="1653755049">
      <w:bodyDiv w:val="1"/>
      <w:marLeft w:val="0"/>
      <w:marRight w:val="0"/>
      <w:marTop w:val="0"/>
      <w:marBottom w:val="0"/>
      <w:divBdr>
        <w:top w:val="none" w:sz="0" w:space="0" w:color="auto"/>
        <w:left w:val="none" w:sz="0" w:space="0" w:color="auto"/>
        <w:bottom w:val="none" w:sz="0" w:space="0" w:color="auto"/>
        <w:right w:val="none" w:sz="0" w:space="0" w:color="auto"/>
      </w:divBdr>
    </w:div>
    <w:div w:id="1654139841">
      <w:bodyDiv w:val="1"/>
      <w:marLeft w:val="0"/>
      <w:marRight w:val="0"/>
      <w:marTop w:val="0"/>
      <w:marBottom w:val="0"/>
      <w:divBdr>
        <w:top w:val="none" w:sz="0" w:space="0" w:color="auto"/>
        <w:left w:val="none" w:sz="0" w:space="0" w:color="auto"/>
        <w:bottom w:val="none" w:sz="0" w:space="0" w:color="auto"/>
        <w:right w:val="none" w:sz="0" w:space="0" w:color="auto"/>
      </w:divBdr>
    </w:div>
    <w:div w:id="1659262661">
      <w:bodyDiv w:val="1"/>
      <w:marLeft w:val="0"/>
      <w:marRight w:val="0"/>
      <w:marTop w:val="0"/>
      <w:marBottom w:val="0"/>
      <w:divBdr>
        <w:top w:val="none" w:sz="0" w:space="0" w:color="auto"/>
        <w:left w:val="none" w:sz="0" w:space="0" w:color="auto"/>
        <w:bottom w:val="none" w:sz="0" w:space="0" w:color="auto"/>
        <w:right w:val="none" w:sz="0" w:space="0" w:color="auto"/>
      </w:divBdr>
    </w:div>
    <w:div w:id="1659922638">
      <w:bodyDiv w:val="1"/>
      <w:marLeft w:val="0"/>
      <w:marRight w:val="0"/>
      <w:marTop w:val="0"/>
      <w:marBottom w:val="0"/>
      <w:divBdr>
        <w:top w:val="none" w:sz="0" w:space="0" w:color="auto"/>
        <w:left w:val="none" w:sz="0" w:space="0" w:color="auto"/>
        <w:bottom w:val="none" w:sz="0" w:space="0" w:color="auto"/>
        <w:right w:val="none" w:sz="0" w:space="0" w:color="auto"/>
      </w:divBdr>
    </w:div>
    <w:div w:id="1670525227">
      <w:bodyDiv w:val="1"/>
      <w:marLeft w:val="0"/>
      <w:marRight w:val="0"/>
      <w:marTop w:val="0"/>
      <w:marBottom w:val="0"/>
      <w:divBdr>
        <w:top w:val="none" w:sz="0" w:space="0" w:color="auto"/>
        <w:left w:val="none" w:sz="0" w:space="0" w:color="auto"/>
        <w:bottom w:val="none" w:sz="0" w:space="0" w:color="auto"/>
        <w:right w:val="none" w:sz="0" w:space="0" w:color="auto"/>
      </w:divBdr>
    </w:div>
    <w:div w:id="1673223038">
      <w:bodyDiv w:val="1"/>
      <w:marLeft w:val="0"/>
      <w:marRight w:val="0"/>
      <w:marTop w:val="0"/>
      <w:marBottom w:val="0"/>
      <w:divBdr>
        <w:top w:val="none" w:sz="0" w:space="0" w:color="auto"/>
        <w:left w:val="none" w:sz="0" w:space="0" w:color="auto"/>
        <w:bottom w:val="none" w:sz="0" w:space="0" w:color="auto"/>
        <w:right w:val="none" w:sz="0" w:space="0" w:color="auto"/>
      </w:divBdr>
    </w:div>
    <w:div w:id="1679699082">
      <w:bodyDiv w:val="1"/>
      <w:marLeft w:val="0"/>
      <w:marRight w:val="0"/>
      <w:marTop w:val="0"/>
      <w:marBottom w:val="0"/>
      <w:divBdr>
        <w:top w:val="none" w:sz="0" w:space="0" w:color="auto"/>
        <w:left w:val="none" w:sz="0" w:space="0" w:color="auto"/>
        <w:bottom w:val="none" w:sz="0" w:space="0" w:color="auto"/>
        <w:right w:val="none" w:sz="0" w:space="0" w:color="auto"/>
      </w:divBdr>
    </w:div>
    <w:div w:id="1683120527">
      <w:bodyDiv w:val="1"/>
      <w:marLeft w:val="0"/>
      <w:marRight w:val="0"/>
      <w:marTop w:val="0"/>
      <w:marBottom w:val="0"/>
      <w:divBdr>
        <w:top w:val="none" w:sz="0" w:space="0" w:color="auto"/>
        <w:left w:val="none" w:sz="0" w:space="0" w:color="auto"/>
        <w:bottom w:val="none" w:sz="0" w:space="0" w:color="auto"/>
        <w:right w:val="none" w:sz="0" w:space="0" w:color="auto"/>
      </w:divBdr>
    </w:div>
    <w:div w:id="1683243343">
      <w:bodyDiv w:val="1"/>
      <w:marLeft w:val="0"/>
      <w:marRight w:val="0"/>
      <w:marTop w:val="0"/>
      <w:marBottom w:val="0"/>
      <w:divBdr>
        <w:top w:val="none" w:sz="0" w:space="0" w:color="auto"/>
        <w:left w:val="none" w:sz="0" w:space="0" w:color="auto"/>
        <w:bottom w:val="none" w:sz="0" w:space="0" w:color="auto"/>
        <w:right w:val="none" w:sz="0" w:space="0" w:color="auto"/>
      </w:divBdr>
    </w:div>
    <w:div w:id="1684937353">
      <w:bodyDiv w:val="1"/>
      <w:marLeft w:val="0"/>
      <w:marRight w:val="0"/>
      <w:marTop w:val="0"/>
      <w:marBottom w:val="0"/>
      <w:divBdr>
        <w:top w:val="none" w:sz="0" w:space="0" w:color="auto"/>
        <w:left w:val="none" w:sz="0" w:space="0" w:color="auto"/>
        <w:bottom w:val="none" w:sz="0" w:space="0" w:color="auto"/>
        <w:right w:val="none" w:sz="0" w:space="0" w:color="auto"/>
      </w:divBdr>
    </w:div>
    <w:div w:id="1691183574">
      <w:bodyDiv w:val="1"/>
      <w:marLeft w:val="0"/>
      <w:marRight w:val="0"/>
      <w:marTop w:val="0"/>
      <w:marBottom w:val="0"/>
      <w:divBdr>
        <w:top w:val="none" w:sz="0" w:space="0" w:color="auto"/>
        <w:left w:val="none" w:sz="0" w:space="0" w:color="auto"/>
        <w:bottom w:val="none" w:sz="0" w:space="0" w:color="auto"/>
        <w:right w:val="none" w:sz="0" w:space="0" w:color="auto"/>
      </w:divBdr>
    </w:div>
    <w:div w:id="1704092392">
      <w:bodyDiv w:val="1"/>
      <w:marLeft w:val="0"/>
      <w:marRight w:val="0"/>
      <w:marTop w:val="0"/>
      <w:marBottom w:val="0"/>
      <w:divBdr>
        <w:top w:val="none" w:sz="0" w:space="0" w:color="auto"/>
        <w:left w:val="none" w:sz="0" w:space="0" w:color="auto"/>
        <w:bottom w:val="none" w:sz="0" w:space="0" w:color="auto"/>
        <w:right w:val="none" w:sz="0" w:space="0" w:color="auto"/>
      </w:divBdr>
    </w:div>
    <w:div w:id="1708600812">
      <w:bodyDiv w:val="1"/>
      <w:marLeft w:val="0"/>
      <w:marRight w:val="0"/>
      <w:marTop w:val="0"/>
      <w:marBottom w:val="0"/>
      <w:divBdr>
        <w:top w:val="none" w:sz="0" w:space="0" w:color="auto"/>
        <w:left w:val="none" w:sz="0" w:space="0" w:color="auto"/>
        <w:bottom w:val="none" w:sz="0" w:space="0" w:color="auto"/>
        <w:right w:val="none" w:sz="0" w:space="0" w:color="auto"/>
      </w:divBdr>
    </w:div>
    <w:div w:id="1736315104">
      <w:bodyDiv w:val="1"/>
      <w:marLeft w:val="0"/>
      <w:marRight w:val="0"/>
      <w:marTop w:val="0"/>
      <w:marBottom w:val="0"/>
      <w:divBdr>
        <w:top w:val="none" w:sz="0" w:space="0" w:color="auto"/>
        <w:left w:val="none" w:sz="0" w:space="0" w:color="auto"/>
        <w:bottom w:val="none" w:sz="0" w:space="0" w:color="auto"/>
        <w:right w:val="none" w:sz="0" w:space="0" w:color="auto"/>
      </w:divBdr>
    </w:div>
    <w:div w:id="1766145450">
      <w:bodyDiv w:val="1"/>
      <w:marLeft w:val="0"/>
      <w:marRight w:val="0"/>
      <w:marTop w:val="0"/>
      <w:marBottom w:val="0"/>
      <w:divBdr>
        <w:top w:val="none" w:sz="0" w:space="0" w:color="auto"/>
        <w:left w:val="none" w:sz="0" w:space="0" w:color="auto"/>
        <w:bottom w:val="none" w:sz="0" w:space="0" w:color="auto"/>
        <w:right w:val="none" w:sz="0" w:space="0" w:color="auto"/>
      </w:divBdr>
    </w:div>
    <w:div w:id="1769813005">
      <w:bodyDiv w:val="1"/>
      <w:marLeft w:val="0"/>
      <w:marRight w:val="0"/>
      <w:marTop w:val="0"/>
      <w:marBottom w:val="0"/>
      <w:divBdr>
        <w:top w:val="none" w:sz="0" w:space="0" w:color="auto"/>
        <w:left w:val="none" w:sz="0" w:space="0" w:color="auto"/>
        <w:bottom w:val="none" w:sz="0" w:space="0" w:color="auto"/>
        <w:right w:val="none" w:sz="0" w:space="0" w:color="auto"/>
      </w:divBdr>
    </w:div>
    <w:div w:id="1773671214">
      <w:bodyDiv w:val="1"/>
      <w:marLeft w:val="0"/>
      <w:marRight w:val="0"/>
      <w:marTop w:val="0"/>
      <w:marBottom w:val="0"/>
      <w:divBdr>
        <w:top w:val="none" w:sz="0" w:space="0" w:color="auto"/>
        <w:left w:val="none" w:sz="0" w:space="0" w:color="auto"/>
        <w:bottom w:val="none" w:sz="0" w:space="0" w:color="auto"/>
        <w:right w:val="none" w:sz="0" w:space="0" w:color="auto"/>
      </w:divBdr>
    </w:div>
    <w:div w:id="1775860290">
      <w:bodyDiv w:val="1"/>
      <w:marLeft w:val="0"/>
      <w:marRight w:val="0"/>
      <w:marTop w:val="0"/>
      <w:marBottom w:val="0"/>
      <w:divBdr>
        <w:top w:val="none" w:sz="0" w:space="0" w:color="auto"/>
        <w:left w:val="none" w:sz="0" w:space="0" w:color="auto"/>
        <w:bottom w:val="none" w:sz="0" w:space="0" w:color="auto"/>
        <w:right w:val="none" w:sz="0" w:space="0" w:color="auto"/>
      </w:divBdr>
    </w:div>
    <w:div w:id="1783720412">
      <w:bodyDiv w:val="1"/>
      <w:marLeft w:val="0"/>
      <w:marRight w:val="0"/>
      <w:marTop w:val="0"/>
      <w:marBottom w:val="0"/>
      <w:divBdr>
        <w:top w:val="none" w:sz="0" w:space="0" w:color="auto"/>
        <w:left w:val="none" w:sz="0" w:space="0" w:color="auto"/>
        <w:bottom w:val="none" w:sz="0" w:space="0" w:color="auto"/>
        <w:right w:val="none" w:sz="0" w:space="0" w:color="auto"/>
      </w:divBdr>
    </w:div>
    <w:div w:id="1786268140">
      <w:bodyDiv w:val="1"/>
      <w:marLeft w:val="0"/>
      <w:marRight w:val="0"/>
      <w:marTop w:val="0"/>
      <w:marBottom w:val="0"/>
      <w:divBdr>
        <w:top w:val="none" w:sz="0" w:space="0" w:color="auto"/>
        <w:left w:val="none" w:sz="0" w:space="0" w:color="auto"/>
        <w:bottom w:val="none" w:sz="0" w:space="0" w:color="auto"/>
        <w:right w:val="none" w:sz="0" w:space="0" w:color="auto"/>
      </w:divBdr>
    </w:div>
    <w:div w:id="1793555417">
      <w:bodyDiv w:val="1"/>
      <w:marLeft w:val="0"/>
      <w:marRight w:val="0"/>
      <w:marTop w:val="0"/>
      <w:marBottom w:val="0"/>
      <w:divBdr>
        <w:top w:val="none" w:sz="0" w:space="0" w:color="auto"/>
        <w:left w:val="none" w:sz="0" w:space="0" w:color="auto"/>
        <w:bottom w:val="none" w:sz="0" w:space="0" w:color="auto"/>
        <w:right w:val="none" w:sz="0" w:space="0" w:color="auto"/>
      </w:divBdr>
    </w:div>
    <w:div w:id="1813447145">
      <w:bodyDiv w:val="1"/>
      <w:marLeft w:val="0"/>
      <w:marRight w:val="0"/>
      <w:marTop w:val="0"/>
      <w:marBottom w:val="0"/>
      <w:divBdr>
        <w:top w:val="none" w:sz="0" w:space="0" w:color="auto"/>
        <w:left w:val="none" w:sz="0" w:space="0" w:color="auto"/>
        <w:bottom w:val="none" w:sz="0" w:space="0" w:color="auto"/>
        <w:right w:val="none" w:sz="0" w:space="0" w:color="auto"/>
      </w:divBdr>
    </w:div>
    <w:div w:id="1817919214">
      <w:bodyDiv w:val="1"/>
      <w:marLeft w:val="0"/>
      <w:marRight w:val="0"/>
      <w:marTop w:val="0"/>
      <w:marBottom w:val="0"/>
      <w:divBdr>
        <w:top w:val="none" w:sz="0" w:space="0" w:color="auto"/>
        <w:left w:val="none" w:sz="0" w:space="0" w:color="auto"/>
        <w:bottom w:val="none" w:sz="0" w:space="0" w:color="auto"/>
        <w:right w:val="none" w:sz="0" w:space="0" w:color="auto"/>
      </w:divBdr>
    </w:div>
    <w:div w:id="1825001478">
      <w:bodyDiv w:val="1"/>
      <w:marLeft w:val="0"/>
      <w:marRight w:val="0"/>
      <w:marTop w:val="0"/>
      <w:marBottom w:val="0"/>
      <w:divBdr>
        <w:top w:val="none" w:sz="0" w:space="0" w:color="auto"/>
        <w:left w:val="none" w:sz="0" w:space="0" w:color="auto"/>
        <w:bottom w:val="none" w:sz="0" w:space="0" w:color="auto"/>
        <w:right w:val="none" w:sz="0" w:space="0" w:color="auto"/>
      </w:divBdr>
    </w:div>
    <w:div w:id="1825702741">
      <w:bodyDiv w:val="1"/>
      <w:marLeft w:val="0"/>
      <w:marRight w:val="0"/>
      <w:marTop w:val="0"/>
      <w:marBottom w:val="0"/>
      <w:divBdr>
        <w:top w:val="none" w:sz="0" w:space="0" w:color="auto"/>
        <w:left w:val="none" w:sz="0" w:space="0" w:color="auto"/>
        <w:bottom w:val="none" w:sz="0" w:space="0" w:color="auto"/>
        <w:right w:val="none" w:sz="0" w:space="0" w:color="auto"/>
      </w:divBdr>
    </w:div>
    <w:div w:id="1832401948">
      <w:bodyDiv w:val="1"/>
      <w:marLeft w:val="0"/>
      <w:marRight w:val="0"/>
      <w:marTop w:val="0"/>
      <w:marBottom w:val="0"/>
      <w:divBdr>
        <w:top w:val="none" w:sz="0" w:space="0" w:color="auto"/>
        <w:left w:val="none" w:sz="0" w:space="0" w:color="auto"/>
        <w:bottom w:val="none" w:sz="0" w:space="0" w:color="auto"/>
        <w:right w:val="none" w:sz="0" w:space="0" w:color="auto"/>
      </w:divBdr>
    </w:div>
    <w:div w:id="1842349040">
      <w:bodyDiv w:val="1"/>
      <w:marLeft w:val="0"/>
      <w:marRight w:val="0"/>
      <w:marTop w:val="0"/>
      <w:marBottom w:val="0"/>
      <w:divBdr>
        <w:top w:val="none" w:sz="0" w:space="0" w:color="auto"/>
        <w:left w:val="none" w:sz="0" w:space="0" w:color="auto"/>
        <w:bottom w:val="none" w:sz="0" w:space="0" w:color="auto"/>
        <w:right w:val="none" w:sz="0" w:space="0" w:color="auto"/>
      </w:divBdr>
    </w:div>
    <w:div w:id="1852987675">
      <w:bodyDiv w:val="1"/>
      <w:marLeft w:val="0"/>
      <w:marRight w:val="0"/>
      <w:marTop w:val="0"/>
      <w:marBottom w:val="0"/>
      <w:divBdr>
        <w:top w:val="none" w:sz="0" w:space="0" w:color="auto"/>
        <w:left w:val="none" w:sz="0" w:space="0" w:color="auto"/>
        <w:bottom w:val="none" w:sz="0" w:space="0" w:color="auto"/>
        <w:right w:val="none" w:sz="0" w:space="0" w:color="auto"/>
      </w:divBdr>
    </w:div>
    <w:div w:id="1867675962">
      <w:bodyDiv w:val="1"/>
      <w:marLeft w:val="0"/>
      <w:marRight w:val="0"/>
      <w:marTop w:val="0"/>
      <w:marBottom w:val="0"/>
      <w:divBdr>
        <w:top w:val="none" w:sz="0" w:space="0" w:color="auto"/>
        <w:left w:val="none" w:sz="0" w:space="0" w:color="auto"/>
        <w:bottom w:val="none" w:sz="0" w:space="0" w:color="auto"/>
        <w:right w:val="none" w:sz="0" w:space="0" w:color="auto"/>
      </w:divBdr>
    </w:div>
    <w:div w:id="1874002043">
      <w:bodyDiv w:val="1"/>
      <w:marLeft w:val="0"/>
      <w:marRight w:val="0"/>
      <w:marTop w:val="0"/>
      <w:marBottom w:val="0"/>
      <w:divBdr>
        <w:top w:val="none" w:sz="0" w:space="0" w:color="auto"/>
        <w:left w:val="none" w:sz="0" w:space="0" w:color="auto"/>
        <w:bottom w:val="none" w:sz="0" w:space="0" w:color="auto"/>
        <w:right w:val="none" w:sz="0" w:space="0" w:color="auto"/>
      </w:divBdr>
    </w:div>
    <w:div w:id="1876573871">
      <w:bodyDiv w:val="1"/>
      <w:marLeft w:val="0"/>
      <w:marRight w:val="0"/>
      <w:marTop w:val="0"/>
      <w:marBottom w:val="0"/>
      <w:divBdr>
        <w:top w:val="none" w:sz="0" w:space="0" w:color="auto"/>
        <w:left w:val="none" w:sz="0" w:space="0" w:color="auto"/>
        <w:bottom w:val="none" w:sz="0" w:space="0" w:color="auto"/>
        <w:right w:val="none" w:sz="0" w:space="0" w:color="auto"/>
      </w:divBdr>
    </w:div>
    <w:div w:id="1900941727">
      <w:bodyDiv w:val="1"/>
      <w:marLeft w:val="0"/>
      <w:marRight w:val="0"/>
      <w:marTop w:val="0"/>
      <w:marBottom w:val="0"/>
      <w:divBdr>
        <w:top w:val="none" w:sz="0" w:space="0" w:color="auto"/>
        <w:left w:val="none" w:sz="0" w:space="0" w:color="auto"/>
        <w:bottom w:val="none" w:sz="0" w:space="0" w:color="auto"/>
        <w:right w:val="none" w:sz="0" w:space="0" w:color="auto"/>
      </w:divBdr>
    </w:div>
    <w:div w:id="1910919086">
      <w:bodyDiv w:val="1"/>
      <w:marLeft w:val="0"/>
      <w:marRight w:val="0"/>
      <w:marTop w:val="0"/>
      <w:marBottom w:val="0"/>
      <w:divBdr>
        <w:top w:val="none" w:sz="0" w:space="0" w:color="auto"/>
        <w:left w:val="none" w:sz="0" w:space="0" w:color="auto"/>
        <w:bottom w:val="none" w:sz="0" w:space="0" w:color="auto"/>
        <w:right w:val="none" w:sz="0" w:space="0" w:color="auto"/>
      </w:divBdr>
    </w:div>
    <w:div w:id="1924604976">
      <w:bodyDiv w:val="1"/>
      <w:marLeft w:val="0"/>
      <w:marRight w:val="0"/>
      <w:marTop w:val="0"/>
      <w:marBottom w:val="0"/>
      <w:divBdr>
        <w:top w:val="none" w:sz="0" w:space="0" w:color="auto"/>
        <w:left w:val="none" w:sz="0" w:space="0" w:color="auto"/>
        <w:bottom w:val="none" w:sz="0" w:space="0" w:color="auto"/>
        <w:right w:val="none" w:sz="0" w:space="0" w:color="auto"/>
      </w:divBdr>
    </w:div>
    <w:div w:id="1928539958">
      <w:bodyDiv w:val="1"/>
      <w:marLeft w:val="0"/>
      <w:marRight w:val="0"/>
      <w:marTop w:val="0"/>
      <w:marBottom w:val="0"/>
      <w:divBdr>
        <w:top w:val="none" w:sz="0" w:space="0" w:color="auto"/>
        <w:left w:val="none" w:sz="0" w:space="0" w:color="auto"/>
        <w:bottom w:val="none" w:sz="0" w:space="0" w:color="auto"/>
        <w:right w:val="none" w:sz="0" w:space="0" w:color="auto"/>
      </w:divBdr>
    </w:div>
    <w:div w:id="1929729795">
      <w:bodyDiv w:val="1"/>
      <w:marLeft w:val="0"/>
      <w:marRight w:val="0"/>
      <w:marTop w:val="0"/>
      <w:marBottom w:val="0"/>
      <w:divBdr>
        <w:top w:val="none" w:sz="0" w:space="0" w:color="auto"/>
        <w:left w:val="none" w:sz="0" w:space="0" w:color="auto"/>
        <w:bottom w:val="none" w:sz="0" w:space="0" w:color="auto"/>
        <w:right w:val="none" w:sz="0" w:space="0" w:color="auto"/>
      </w:divBdr>
    </w:div>
    <w:div w:id="1941063346">
      <w:bodyDiv w:val="1"/>
      <w:marLeft w:val="0"/>
      <w:marRight w:val="0"/>
      <w:marTop w:val="0"/>
      <w:marBottom w:val="0"/>
      <w:divBdr>
        <w:top w:val="none" w:sz="0" w:space="0" w:color="auto"/>
        <w:left w:val="none" w:sz="0" w:space="0" w:color="auto"/>
        <w:bottom w:val="none" w:sz="0" w:space="0" w:color="auto"/>
        <w:right w:val="none" w:sz="0" w:space="0" w:color="auto"/>
      </w:divBdr>
    </w:div>
    <w:div w:id="1948853600">
      <w:bodyDiv w:val="1"/>
      <w:marLeft w:val="0"/>
      <w:marRight w:val="0"/>
      <w:marTop w:val="0"/>
      <w:marBottom w:val="0"/>
      <w:divBdr>
        <w:top w:val="none" w:sz="0" w:space="0" w:color="auto"/>
        <w:left w:val="none" w:sz="0" w:space="0" w:color="auto"/>
        <w:bottom w:val="none" w:sz="0" w:space="0" w:color="auto"/>
        <w:right w:val="none" w:sz="0" w:space="0" w:color="auto"/>
      </w:divBdr>
    </w:div>
    <w:div w:id="1961644192">
      <w:bodyDiv w:val="1"/>
      <w:marLeft w:val="0"/>
      <w:marRight w:val="0"/>
      <w:marTop w:val="0"/>
      <w:marBottom w:val="0"/>
      <w:divBdr>
        <w:top w:val="none" w:sz="0" w:space="0" w:color="auto"/>
        <w:left w:val="none" w:sz="0" w:space="0" w:color="auto"/>
        <w:bottom w:val="none" w:sz="0" w:space="0" w:color="auto"/>
        <w:right w:val="none" w:sz="0" w:space="0" w:color="auto"/>
      </w:divBdr>
    </w:div>
    <w:div w:id="1963338360">
      <w:bodyDiv w:val="1"/>
      <w:marLeft w:val="0"/>
      <w:marRight w:val="0"/>
      <w:marTop w:val="0"/>
      <w:marBottom w:val="0"/>
      <w:divBdr>
        <w:top w:val="none" w:sz="0" w:space="0" w:color="auto"/>
        <w:left w:val="none" w:sz="0" w:space="0" w:color="auto"/>
        <w:bottom w:val="none" w:sz="0" w:space="0" w:color="auto"/>
        <w:right w:val="none" w:sz="0" w:space="0" w:color="auto"/>
      </w:divBdr>
    </w:div>
    <w:div w:id="1966811914">
      <w:bodyDiv w:val="1"/>
      <w:marLeft w:val="0"/>
      <w:marRight w:val="0"/>
      <w:marTop w:val="0"/>
      <w:marBottom w:val="0"/>
      <w:divBdr>
        <w:top w:val="none" w:sz="0" w:space="0" w:color="auto"/>
        <w:left w:val="none" w:sz="0" w:space="0" w:color="auto"/>
        <w:bottom w:val="none" w:sz="0" w:space="0" w:color="auto"/>
        <w:right w:val="none" w:sz="0" w:space="0" w:color="auto"/>
      </w:divBdr>
    </w:div>
    <w:div w:id="1968199549">
      <w:bodyDiv w:val="1"/>
      <w:marLeft w:val="0"/>
      <w:marRight w:val="0"/>
      <w:marTop w:val="0"/>
      <w:marBottom w:val="0"/>
      <w:divBdr>
        <w:top w:val="none" w:sz="0" w:space="0" w:color="auto"/>
        <w:left w:val="none" w:sz="0" w:space="0" w:color="auto"/>
        <w:bottom w:val="none" w:sz="0" w:space="0" w:color="auto"/>
        <w:right w:val="none" w:sz="0" w:space="0" w:color="auto"/>
      </w:divBdr>
    </w:div>
    <w:div w:id="1972203228">
      <w:bodyDiv w:val="1"/>
      <w:marLeft w:val="0"/>
      <w:marRight w:val="0"/>
      <w:marTop w:val="0"/>
      <w:marBottom w:val="0"/>
      <w:divBdr>
        <w:top w:val="none" w:sz="0" w:space="0" w:color="auto"/>
        <w:left w:val="none" w:sz="0" w:space="0" w:color="auto"/>
        <w:bottom w:val="none" w:sz="0" w:space="0" w:color="auto"/>
        <w:right w:val="none" w:sz="0" w:space="0" w:color="auto"/>
      </w:divBdr>
    </w:div>
    <w:div w:id="1974209588">
      <w:bodyDiv w:val="1"/>
      <w:marLeft w:val="0"/>
      <w:marRight w:val="0"/>
      <w:marTop w:val="0"/>
      <w:marBottom w:val="0"/>
      <w:divBdr>
        <w:top w:val="none" w:sz="0" w:space="0" w:color="auto"/>
        <w:left w:val="none" w:sz="0" w:space="0" w:color="auto"/>
        <w:bottom w:val="none" w:sz="0" w:space="0" w:color="auto"/>
        <w:right w:val="none" w:sz="0" w:space="0" w:color="auto"/>
      </w:divBdr>
    </w:div>
    <w:div w:id="1975793364">
      <w:bodyDiv w:val="1"/>
      <w:marLeft w:val="0"/>
      <w:marRight w:val="0"/>
      <w:marTop w:val="0"/>
      <w:marBottom w:val="0"/>
      <w:divBdr>
        <w:top w:val="none" w:sz="0" w:space="0" w:color="auto"/>
        <w:left w:val="none" w:sz="0" w:space="0" w:color="auto"/>
        <w:bottom w:val="none" w:sz="0" w:space="0" w:color="auto"/>
        <w:right w:val="none" w:sz="0" w:space="0" w:color="auto"/>
      </w:divBdr>
    </w:div>
    <w:div w:id="1982807916">
      <w:bodyDiv w:val="1"/>
      <w:marLeft w:val="0"/>
      <w:marRight w:val="0"/>
      <w:marTop w:val="0"/>
      <w:marBottom w:val="0"/>
      <w:divBdr>
        <w:top w:val="none" w:sz="0" w:space="0" w:color="auto"/>
        <w:left w:val="none" w:sz="0" w:space="0" w:color="auto"/>
        <w:bottom w:val="none" w:sz="0" w:space="0" w:color="auto"/>
        <w:right w:val="none" w:sz="0" w:space="0" w:color="auto"/>
      </w:divBdr>
    </w:div>
    <w:div w:id="1984503578">
      <w:bodyDiv w:val="1"/>
      <w:marLeft w:val="0"/>
      <w:marRight w:val="0"/>
      <w:marTop w:val="0"/>
      <w:marBottom w:val="0"/>
      <w:divBdr>
        <w:top w:val="none" w:sz="0" w:space="0" w:color="auto"/>
        <w:left w:val="none" w:sz="0" w:space="0" w:color="auto"/>
        <w:bottom w:val="none" w:sz="0" w:space="0" w:color="auto"/>
        <w:right w:val="none" w:sz="0" w:space="0" w:color="auto"/>
      </w:divBdr>
    </w:div>
    <w:div w:id="1991859420">
      <w:bodyDiv w:val="1"/>
      <w:marLeft w:val="0"/>
      <w:marRight w:val="0"/>
      <w:marTop w:val="0"/>
      <w:marBottom w:val="0"/>
      <w:divBdr>
        <w:top w:val="none" w:sz="0" w:space="0" w:color="auto"/>
        <w:left w:val="none" w:sz="0" w:space="0" w:color="auto"/>
        <w:bottom w:val="none" w:sz="0" w:space="0" w:color="auto"/>
        <w:right w:val="none" w:sz="0" w:space="0" w:color="auto"/>
      </w:divBdr>
    </w:div>
    <w:div w:id="2002193277">
      <w:bodyDiv w:val="1"/>
      <w:marLeft w:val="0"/>
      <w:marRight w:val="0"/>
      <w:marTop w:val="0"/>
      <w:marBottom w:val="0"/>
      <w:divBdr>
        <w:top w:val="none" w:sz="0" w:space="0" w:color="auto"/>
        <w:left w:val="none" w:sz="0" w:space="0" w:color="auto"/>
        <w:bottom w:val="none" w:sz="0" w:space="0" w:color="auto"/>
        <w:right w:val="none" w:sz="0" w:space="0" w:color="auto"/>
      </w:divBdr>
    </w:div>
    <w:div w:id="2007130611">
      <w:bodyDiv w:val="1"/>
      <w:marLeft w:val="0"/>
      <w:marRight w:val="0"/>
      <w:marTop w:val="0"/>
      <w:marBottom w:val="0"/>
      <w:divBdr>
        <w:top w:val="none" w:sz="0" w:space="0" w:color="auto"/>
        <w:left w:val="none" w:sz="0" w:space="0" w:color="auto"/>
        <w:bottom w:val="none" w:sz="0" w:space="0" w:color="auto"/>
        <w:right w:val="none" w:sz="0" w:space="0" w:color="auto"/>
      </w:divBdr>
    </w:div>
    <w:div w:id="201618166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21618921">
      <w:bodyDiv w:val="1"/>
      <w:marLeft w:val="0"/>
      <w:marRight w:val="0"/>
      <w:marTop w:val="0"/>
      <w:marBottom w:val="0"/>
      <w:divBdr>
        <w:top w:val="none" w:sz="0" w:space="0" w:color="auto"/>
        <w:left w:val="none" w:sz="0" w:space="0" w:color="auto"/>
        <w:bottom w:val="none" w:sz="0" w:space="0" w:color="auto"/>
        <w:right w:val="none" w:sz="0" w:space="0" w:color="auto"/>
      </w:divBdr>
    </w:div>
    <w:div w:id="2032995798">
      <w:bodyDiv w:val="1"/>
      <w:marLeft w:val="0"/>
      <w:marRight w:val="0"/>
      <w:marTop w:val="0"/>
      <w:marBottom w:val="0"/>
      <w:divBdr>
        <w:top w:val="none" w:sz="0" w:space="0" w:color="auto"/>
        <w:left w:val="none" w:sz="0" w:space="0" w:color="auto"/>
        <w:bottom w:val="none" w:sz="0" w:space="0" w:color="auto"/>
        <w:right w:val="none" w:sz="0" w:space="0" w:color="auto"/>
      </w:divBdr>
    </w:div>
    <w:div w:id="2034261983">
      <w:bodyDiv w:val="1"/>
      <w:marLeft w:val="0"/>
      <w:marRight w:val="0"/>
      <w:marTop w:val="0"/>
      <w:marBottom w:val="0"/>
      <w:divBdr>
        <w:top w:val="none" w:sz="0" w:space="0" w:color="auto"/>
        <w:left w:val="none" w:sz="0" w:space="0" w:color="auto"/>
        <w:bottom w:val="none" w:sz="0" w:space="0" w:color="auto"/>
        <w:right w:val="none" w:sz="0" w:space="0" w:color="auto"/>
      </w:divBdr>
    </w:div>
    <w:div w:id="2054041528">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62366586">
      <w:bodyDiv w:val="1"/>
      <w:marLeft w:val="0"/>
      <w:marRight w:val="0"/>
      <w:marTop w:val="0"/>
      <w:marBottom w:val="0"/>
      <w:divBdr>
        <w:top w:val="none" w:sz="0" w:space="0" w:color="auto"/>
        <w:left w:val="none" w:sz="0" w:space="0" w:color="auto"/>
        <w:bottom w:val="none" w:sz="0" w:space="0" w:color="auto"/>
        <w:right w:val="none" w:sz="0" w:space="0" w:color="auto"/>
      </w:divBdr>
    </w:div>
    <w:div w:id="2066022590">
      <w:bodyDiv w:val="1"/>
      <w:marLeft w:val="0"/>
      <w:marRight w:val="0"/>
      <w:marTop w:val="0"/>
      <w:marBottom w:val="0"/>
      <w:divBdr>
        <w:top w:val="none" w:sz="0" w:space="0" w:color="auto"/>
        <w:left w:val="none" w:sz="0" w:space="0" w:color="auto"/>
        <w:bottom w:val="none" w:sz="0" w:space="0" w:color="auto"/>
        <w:right w:val="none" w:sz="0" w:space="0" w:color="auto"/>
      </w:divBdr>
    </w:div>
    <w:div w:id="2076511018">
      <w:bodyDiv w:val="1"/>
      <w:marLeft w:val="0"/>
      <w:marRight w:val="0"/>
      <w:marTop w:val="0"/>
      <w:marBottom w:val="0"/>
      <w:divBdr>
        <w:top w:val="none" w:sz="0" w:space="0" w:color="auto"/>
        <w:left w:val="none" w:sz="0" w:space="0" w:color="auto"/>
        <w:bottom w:val="none" w:sz="0" w:space="0" w:color="auto"/>
        <w:right w:val="none" w:sz="0" w:space="0" w:color="auto"/>
      </w:divBdr>
    </w:div>
    <w:div w:id="2077361129">
      <w:bodyDiv w:val="1"/>
      <w:marLeft w:val="0"/>
      <w:marRight w:val="0"/>
      <w:marTop w:val="0"/>
      <w:marBottom w:val="0"/>
      <w:divBdr>
        <w:top w:val="none" w:sz="0" w:space="0" w:color="auto"/>
        <w:left w:val="none" w:sz="0" w:space="0" w:color="auto"/>
        <w:bottom w:val="none" w:sz="0" w:space="0" w:color="auto"/>
        <w:right w:val="none" w:sz="0" w:space="0" w:color="auto"/>
      </w:divBdr>
    </w:div>
    <w:div w:id="2084251836">
      <w:bodyDiv w:val="1"/>
      <w:marLeft w:val="0"/>
      <w:marRight w:val="0"/>
      <w:marTop w:val="0"/>
      <w:marBottom w:val="0"/>
      <w:divBdr>
        <w:top w:val="none" w:sz="0" w:space="0" w:color="auto"/>
        <w:left w:val="none" w:sz="0" w:space="0" w:color="auto"/>
        <w:bottom w:val="none" w:sz="0" w:space="0" w:color="auto"/>
        <w:right w:val="none" w:sz="0" w:space="0" w:color="auto"/>
      </w:divBdr>
    </w:div>
    <w:div w:id="2091348892">
      <w:bodyDiv w:val="1"/>
      <w:marLeft w:val="0"/>
      <w:marRight w:val="0"/>
      <w:marTop w:val="0"/>
      <w:marBottom w:val="0"/>
      <w:divBdr>
        <w:top w:val="none" w:sz="0" w:space="0" w:color="auto"/>
        <w:left w:val="none" w:sz="0" w:space="0" w:color="auto"/>
        <w:bottom w:val="none" w:sz="0" w:space="0" w:color="auto"/>
        <w:right w:val="none" w:sz="0" w:space="0" w:color="auto"/>
      </w:divBdr>
    </w:div>
    <w:div w:id="2105420371">
      <w:bodyDiv w:val="1"/>
      <w:marLeft w:val="0"/>
      <w:marRight w:val="0"/>
      <w:marTop w:val="0"/>
      <w:marBottom w:val="0"/>
      <w:divBdr>
        <w:top w:val="none" w:sz="0" w:space="0" w:color="auto"/>
        <w:left w:val="none" w:sz="0" w:space="0" w:color="auto"/>
        <w:bottom w:val="none" w:sz="0" w:space="0" w:color="auto"/>
        <w:right w:val="none" w:sz="0" w:space="0" w:color="auto"/>
      </w:divBdr>
    </w:div>
    <w:div w:id="2119988823">
      <w:bodyDiv w:val="1"/>
      <w:marLeft w:val="0"/>
      <w:marRight w:val="0"/>
      <w:marTop w:val="0"/>
      <w:marBottom w:val="0"/>
      <w:divBdr>
        <w:top w:val="none" w:sz="0" w:space="0" w:color="auto"/>
        <w:left w:val="none" w:sz="0" w:space="0" w:color="auto"/>
        <w:bottom w:val="none" w:sz="0" w:space="0" w:color="auto"/>
        <w:right w:val="none" w:sz="0" w:space="0" w:color="auto"/>
      </w:divBdr>
    </w:div>
    <w:div w:id="2122845844">
      <w:bodyDiv w:val="1"/>
      <w:marLeft w:val="0"/>
      <w:marRight w:val="0"/>
      <w:marTop w:val="0"/>
      <w:marBottom w:val="0"/>
      <w:divBdr>
        <w:top w:val="none" w:sz="0" w:space="0" w:color="auto"/>
        <w:left w:val="none" w:sz="0" w:space="0" w:color="auto"/>
        <w:bottom w:val="none" w:sz="0" w:space="0" w:color="auto"/>
        <w:right w:val="none" w:sz="0" w:space="0" w:color="auto"/>
      </w:divBdr>
    </w:div>
    <w:div w:id="2123568448">
      <w:bodyDiv w:val="1"/>
      <w:marLeft w:val="0"/>
      <w:marRight w:val="0"/>
      <w:marTop w:val="0"/>
      <w:marBottom w:val="0"/>
      <w:divBdr>
        <w:top w:val="none" w:sz="0" w:space="0" w:color="auto"/>
        <w:left w:val="none" w:sz="0" w:space="0" w:color="auto"/>
        <w:bottom w:val="none" w:sz="0" w:space="0" w:color="auto"/>
        <w:right w:val="none" w:sz="0" w:space="0" w:color="auto"/>
      </w:divBdr>
    </w:div>
    <w:div w:id="2127115905">
      <w:bodyDiv w:val="1"/>
      <w:marLeft w:val="0"/>
      <w:marRight w:val="0"/>
      <w:marTop w:val="0"/>
      <w:marBottom w:val="0"/>
      <w:divBdr>
        <w:top w:val="none" w:sz="0" w:space="0" w:color="auto"/>
        <w:left w:val="none" w:sz="0" w:space="0" w:color="auto"/>
        <w:bottom w:val="none" w:sz="0" w:space="0" w:color="auto"/>
        <w:right w:val="none" w:sz="0" w:space="0" w:color="auto"/>
      </w:divBdr>
    </w:div>
    <w:div w:id="2133747938">
      <w:bodyDiv w:val="1"/>
      <w:marLeft w:val="0"/>
      <w:marRight w:val="0"/>
      <w:marTop w:val="0"/>
      <w:marBottom w:val="0"/>
      <w:divBdr>
        <w:top w:val="none" w:sz="0" w:space="0" w:color="auto"/>
        <w:left w:val="none" w:sz="0" w:space="0" w:color="auto"/>
        <w:bottom w:val="none" w:sz="0" w:space="0" w:color="auto"/>
        <w:right w:val="none" w:sz="0" w:space="0" w:color="auto"/>
      </w:divBdr>
    </w:div>
    <w:div w:id="213609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0C54-CCB3-4DD3-86BD-901A7685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139</Pages>
  <Words>20414</Words>
  <Characters>116360</Characters>
  <Application>Microsoft Office Word</Application>
  <DocSecurity>0</DocSecurity>
  <Lines>969</Lines>
  <Paragraphs>273</Paragraphs>
  <ScaleCrop>false</ScaleCrop>
  <Company>MicroSoft</Company>
  <LinksUpToDate>false</LinksUpToDate>
  <CharactersWithSpaces>136501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20</cp:revision>
  <dcterms:created xsi:type="dcterms:W3CDTF">2025-08-29T01:04:00Z</dcterms:created>
  <dcterms:modified xsi:type="dcterms:W3CDTF">2025-08-29T08:54:00Z</dcterms:modified>
</cp:coreProperties>
</file>