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4D11">
      <w:pPr>
        <w:widowControl/>
        <w:spacing w:line="360" w:lineRule="auto"/>
        <w:jc w:val="center"/>
        <w:rPr>
          <w:rFonts w:eastAsia="黑体"/>
          <w:b/>
          <w:bCs/>
          <w:sz w:val="32"/>
          <w:szCs w:val="32"/>
        </w:rPr>
      </w:pPr>
      <w:bookmarkStart w:id="0" w:name="_GoBack"/>
      <w:bookmarkEnd w:id="0"/>
      <w:r>
        <w:rPr>
          <w:rFonts w:eastAsia="黑体"/>
          <w:b/>
          <w:bCs/>
          <w:sz w:val="32"/>
          <w:szCs w:val="32"/>
        </w:rPr>
        <w:t>华泰联合证券有限责任公司</w:t>
      </w:r>
    </w:p>
    <w:p w:rsidR="00000000" w:rsidRDefault="006E4D11">
      <w:pPr>
        <w:widowControl/>
        <w:spacing w:line="360" w:lineRule="auto"/>
        <w:jc w:val="center"/>
        <w:rPr>
          <w:rFonts w:eastAsia="黑体"/>
          <w:b/>
          <w:bCs/>
          <w:sz w:val="32"/>
          <w:szCs w:val="32"/>
        </w:rPr>
      </w:pPr>
      <w:r>
        <w:rPr>
          <w:rFonts w:eastAsia="黑体"/>
          <w:b/>
          <w:bCs/>
          <w:sz w:val="32"/>
          <w:szCs w:val="32"/>
        </w:rPr>
        <w:t>关于华孚时尚股份有限公司募投项目延期的核查意见</w:t>
      </w:r>
    </w:p>
    <w:p w:rsidR="00000000" w:rsidRDefault="006E4D11">
      <w:pPr>
        <w:spacing w:beforeLines="50" w:before="156" w:line="360" w:lineRule="auto"/>
        <w:ind w:firstLineChars="200" w:firstLine="480"/>
        <w:rPr>
          <w:sz w:val="24"/>
        </w:rPr>
      </w:pPr>
      <w:r>
        <w:rPr>
          <w:sz w:val="24"/>
        </w:rPr>
        <w:t>华泰联合证券有限责任公司（以下称</w:t>
      </w:r>
      <w:r>
        <w:rPr>
          <w:sz w:val="24"/>
        </w:rPr>
        <w:t>“</w:t>
      </w:r>
      <w:r>
        <w:rPr>
          <w:sz w:val="24"/>
        </w:rPr>
        <w:t>华泰联合证券</w:t>
      </w:r>
      <w:r>
        <w:rPr>
          <w:sz w:val="24"/>
        </w:rPr>
        <w:t>”</w:t>
      </w:r>
      <w:r>
        <w:rPr>
          <w:sz w:val="24"/>
        </w:rPr>
        <w:t>或</w:t>
      </w:r>
      <w:r>
        <w:rPr>
          <w:sz w:val="24"/>
        </w:rPr>
        <w:t>“</w:t>
      </w:r>
      <w:r>
        <w:rPr>
          <w:sz w:val="24"/>
        </w:rPr>
        <w:t>保荐机构</w:t>
      </w:r>
      <w:r>
        <w:rPr>
          <w:sz w:val="24"/>
        </w:rPr>
        <w:t>”</w:t>
      </w:r>
      <w:r>
        <w:rPr>
          <w:sz w:val="24"/>
        </w:rPr>
        <w:t>）作为华孚时尚股份有限公司（以下简称</w:t>
      </w:r>
      <w:r>
        <w:rPr>
          <w:sz w:val="24"/>
        </w:rPr>
        <w:t>“</w:t>
      </w:r>
      <w:r>
        <w:rPr>
          <w:sz w:val="24"/>
        </w:rPr>
        <w:t>华孚时尚</w:t>
      </w:r>
      <w:r>
        <w:rPr>
          <w:sz w:val="24"/>
        </w:rPr>
        <w:t>”</w:t>
      </w:r>
      <w:r>
        <w:rPr>
          <w:sz w:val="24"/>
        </w:rPr>
        <w:t>、</w:t>
      </w:r>
      <w:r>
        <w:rPr>
          <w:sz w:val="24"/>
        </w:rPr>
        <w:t>“</w:t>
      </w:r>
      <w:r>
        <w:rPr>
          <w:sz w:val="24"/>
        </w:rPr>
        <w:t>上市公司</w:t>
      </w:r>
      <w:r>
        <w:rPr>
          <w:sz w:val="24"/>
        </w:rPr>
        <w:t>”</w:t>
      </w:r>
      <w:r>
        <w:rPr>
          <w:sz w:val="24"/>
        </w:rPr>
        <w:t>、</w:t>
      </w:r>
      <w:r>
        <w:rPr>
          <w:sz w:val="24"/>
        </w:rPr>
        <w:t>“</w:t>
      </w:r>
      <w:r>
        <w:rPr>
          <w:sz w:val="24"/>
        </w:rPr>
        <w:t>公司</w:t>
      </w:r>
      <w:r>
        <w:rPr>
          <w:sz w:val="24"/>
        </w:rPr>
        <w:t>”</w:t>
      </w:r>
      <w:r>
        <w:rPr>
          <w:sz w:val="24"/>
        </w:rPr>
        <w:t>）</w:t>
      </w:r>
      <w:r>
        <w:rPr>
          <w:sz w:val="24"/>
        </w:rPr>
        <w:t>2021</w:t>
      </w:r>
      <w:r>
        <w:rPr>
          <w:sz w:val="24"/>
        </w:rPr>
        <w:t>年非公开发行股票的保荐机构，根据《证券发行上市保荐业务管理办法》《</w:t>
      </w:r>
      <w:r>
        <w:rPr>
          <w:rFonts w:hint="eastAsia"/>
          <w:sz w:val="24"/>
        </w:rPr>
        <w:t>上市公司募集资金监管规则</w:t>
      </w:r>
      <w:r>
        <w:rPr>
          <w:sz w:val="24"/>
        </w:rPr>
        <w:t>》《深圳证券交易所上市公司自律监管指引第</w:t>
      </w:r>
      <w:r>
        <w:rPr>
          <w:sz w:val="24"/>
        </w:rPr>
        <w:t>1</w:t>
      </w:r>
      <w:r>
        <w:rPr>
          <w:sz w:val="24"/>
        </w:rPr>
        <w:t>号</w:t>
      </w:r>
      <w:r>
        <w:rPr>
          <w:sz w:val="24"/>
        </w:rPr>
        <w:t>——</w:t>
      </w:r>
      <w:r>
        <w:rPr>
          <w:sz w:val="24"/>
        </w:rPr>
        <w:t>主板上市公司规范运作》等有关法律法规和规范性文件规定，就华孚时尚募投项目延期事项进行了审慎核查，并出具本核查意见。</w:t>
      </w:r>
    </w:p>
    <w:p w:rsidR="00000000" w:rsidRDefault="006E4D11">
      <w:pPr>
        <w:spacing w:beforeLines="50" w:before="156" w:line="360" w:lineRule="auto"/>
        <w:ind w:firstLineChars="200" w:firstLine="482"/>
        <w:outlineLvl w:val="0"/>
        <w:rPr>
          <w:b/>
          <w:bCs/>
          <w:sz w:val="24"/>
        </w:rPr>
      </w:pPr>
      <w:r>
        <w:rPr>
          <w:b/>
          <w:bCs/>
          <w:sz w:val="24"/>
        </w:rPr>
        <w:t>一、募集资金基本情况</w:t>
      </w:r>
    </w:p>
    <w:p w:rsidR="00000000" w:rsidRDefault="006E4D11">
      <w:pPr>
        <w:spacing w:beforeLines="50" w:before="156" w:line="360" w:lineRule="auto"/>
        <w:ind w:firstLineChars="200" w:firstLine="480"/>
        <w:rPr>
          <w:sz w:val="24"/>
        </w:rPr>
      </w:pPr>
      <w:r>
        <w:rPr>
          <w:sz w:val="24"/>
        </w:rPr>
        <w:t>经中国证券监督管理</w:t>
      </w:r>
      <w:r>
        <w:rPr>
          <w:sz w:val="24"/>
        </w:rPr>
        <w:t>委员会《关于核准华孚时尚股份有限公司非公开发行股票的批复》（证监许可</w:t>
      </w:r>
      <w:r>
        <w:rPr>
          <w:sz w:val="24"/>
        </w:rPr>
        <w:t>[2020]2582</w:t>
      </w:r>
      <w:r>
        <w:rPr>
          <w:sz w:val="24"/>
        </w:rPr>
        <w:t>号）核准，华孚时尚向特定对象发行了</w:t>
      </w:r>
      <w:r>
        <w:rPr>
          <w:sz w:val="24"/>
        </w:rPr>
        <w:t>274,278,835</w:t>
      </w:r>
      <w:r>
        <w:rPr>
          <w:sz w:val="24"/>
        </w:rPr>
        <w:t>股人民币普通股，募集资金</w:t>
      </w:r>
      <w:r>
        <w:rPr>
          <w:sz w:val="24"/>
        </w:rPr>
        <w:t>1,140,999,953.60</w:t>
      </w:r>
      <w:r>
        <w:rPr>
          <w:sz w:val="24"/>
        </w:rPr>
        <w:t>元，扣除承销费和保荐费</w:t>
      </w:r>
      <w:r>
        <w:rPr>
          <w:sz w:val="24"/>
        </w:rPr>
        <w:t>10,660,000.00</w:t>
      </w:r>
      <w:r>
        <w:rPr>
          <w:sz w:val="24"/>
        </w:rPr>
        <w:t>元后的募集资金为</w:t>
      </w:r>
      <w:r>
        <w:rPr>
          <w:sz w:val="24"/>
        </w:rPr>
        <w:t>1,130,339,953.60</w:t>
      </w:r>
      <w:r>
        <w:rPr>
          <w:sz w:val="24"/>
        </w:rPr>
        <w:t>元，减除其他发行费用</w:t>
      </w:r>
      <w:r>
        <w:rPr>
          <w:sz w:val="24"/>
        </w:rPr>
        <w:t>3,964,568.82</w:t>
      </w:r>
      <w:r>
        <w:rPr>
          <w:sz w:val="24"/>
        </w:rPr>
        <w:t>元后，实际募集资金净额为</w:t>
      </w:r>
      <w:r>
        <w:rPr>
          <w:sz w:val="24"/>
        </w:rPr>
        <w:t>1,126,375,384.78</w:t>
      </w:r>
      <w:r>
        <w:rPr>
          <w:sz w:val="24"/>
        </w:rPr>
        <w:t>元。该等募集资金已于</w:t>
      </w:r>
      <w:r>
        <w:rPr>
          <w:sz w:val="24"/>
        </w:rPr>
        <w:t>2021</w:t>
      </w:r>
      <w:r>
        <w:rPr>
          <w:sz w:val="24"/>
        </w:rPr>
        <w:t>年</w:t>
      </w:r>
      <w:r>
        <w:rPr>
          <w:sz w:val="24"/>
        </w:rPr>
        <w:t>9</w:t>
      </w:r>
      <w:r>
        <w:rPr>
          <w:sz w:val="24"/>
        </w:rPr>
        <w:t>月</w:t>
      </w:r>
      <w:r>
        <w:rPr>
          <w:sz w:val="24"/>
        </w:rPr>
        <w:t>14</w:t>
      </w:r>
      <w:r>
        <w:rPr>
          <w:sz w:val="24"/>
        </w:rPr>
        <w:t>日全部到位，已经大华会计师事务所审验，并出具了《华孚时尚股份有限公司发行人民币</w:t>
      </w:r>
      <w:r>
        <w:rPr>
          <w:sz w:val="24"/>
        </w:rPr>
        <w:t>普通股（</w:t>
      </w:r>
      <w:r>
        <w:rPr>
          <w:sz w:val="24"/>
        </w:rPr>
        <w:t>A</w:t>
      </w:r>
      <w:r>
        <w:rPr>
          <w:sz w:val="24"/>
        </w:rPr>
        <w:t>股）</w:t>
      </w:r>
      <w:r>
        <w:rPr>
          <w:sz w:val="24"/>
        </w:rPr>
        <w:t>274,278,835</w:t>
      </w:r>
      <w:r>
        <w:rPr>
          <w:sz w:val="24"/>
        </w:rPr>
        <w:t>股后实收资本的验资报告》（大华验字</w:t>
      </w:r>
      <w:r>
        <w:rPr>
          <w:sz w:val="24"/>
        </w:rPr>
        <w:t>[2021]000637</w:t>
      </w:r>
      <w:r>
        <w:rPr>
          <w:sz w:val="24"/>
        </w:rPr>
        <w:t>号）验证确认。此外，上市公司设立了相关募集资金专户，募集资金到账后，已全部存放于相关募集资金专户内，并与保荐机构、存放募集资金的商业银行签署了募集资金三方监管协议。</w:t>
      </w:r>
    </w:p>
    <w:p w:rsidR="00000000" w:rsidRDefault="006E4D11">
      <w:pPr>
        <w:spacing w:beforeLines="50" w:before="156" w:line="360" w:lineRule="auto"/>
        <w:ind w:firstLineChars="200" w:firstLine="482"/>
        <w:outlineLvl w:val="0"/>
        <w:rPr>
          <w:b/>
          <w:bCs/>
          <w:sz w:val="24"/>
        </w:rPr>
      </w:pPr>
      <w:r>
        <w:rPr>
          <w:b/>
          <w:bCs/>
          <w:sz w:val="24"/>
        </w:rPr>
        <w:t>二、募集资金使用情况</w:t>
      </w:r>
    </w:p>
    <w:p w:rsidR="00000000" w:rsidRDefault="006E4D11">
      <w:pPr>
        <w:spacing w:beforeLines="50" w:before="156" w:line="360" w:lineRule="auto"/>
        <w:ind w:firstLineChars="200" w:firstLine="480"/>
        <w:rPr>
          <w:sz w:val="24"/>
        </w:rPr>
      </w:pPr>
      <w:r>
        <w:rPr>
          <w:sz w:val="24"/>
        </w:rPr>
        <w:t>1</w:t>
      </w:r>
      <w:r>
        <w:rPr>
          <w:sz w:val="24"/>
        </w:rPr>
        <w:t>、本次募集资金扣除发行费用后，用于华孚（越南）</w:t>
      </w:r>
      <w:r>
        <w:rPr>
          <w:sz w:val="24"/>
        </w:rPr>
        <w:t>50</w:t>
      </w:r>
      <w:r>
        <w:rPr>
          <w:sz w:val="24"/>
        </w:rPr>
        <w:t>万锭新型纱线项目（一期）项目和补充流动资金，上述两个项目计划分别投入募集资金</w:t>
      </w:r>
      <w:r>
        <w:rPr>
          <w:sz w:val="24"/>
        </w:rPr>
        <w:t>78,846.28</w:t>
      </w:r>
      <w:r>
        <w:rPr>
          <w:sz w:val="24"/>
        </w:rPr>
        <w:t>万元和</w:t>
      </w:r>
      <w:r>
        <w:rPr>
          <w:sz w:val="24"/>
        </w:rPr>
        <w:t>33,791.26</w:t>
      </w:r>
      <w:r>
        <w:rPr>
          <w:sz w:val="24"/>
        </w:rPr>
        <w:t>万元。</w:t>
      </w:r>
    </w:p>
    <w:p w:rsidR="00000000" w:rsidRDefault="006E4D11">
      <w:pPr>
        <w:spacing w:beforeLines="50" w:before="156" w:line="360" w:lineRule="auto"/>
        <w:ind w:firstLineChars="200" w:firstLine="480"/>
        <w:rPr>
          <w:sz w:val="24"/>
        </w:rPr>
      </w:pPr>
      <w:r>
        <w:rPr>
          <w:rFonts w:hint="eastAsia"/>
          <w:sz w:val="24"/>
        </w:rPr>
        <w:t>2</w:t>
      </w:r>
      <w:r>
        <w:rPr>
          <w:sz w:val="24"/>
        </w:rPr>
        <w:t>、公司于</w:t>
      </w:r>
      <w:r>
        <w:rPr>
          <w:sz w:val="24"/>
        </w:rPr>
        <w:t>2021</w:t>
      </w:r>
      <w:r>
        <w:rPr>
          <w:sz w:val="24"/>
        </w:rPr>
        <w:t>年</w:t>
      </w:r>
      <w:r>
        <w:rPr>
          <w:sz w:val="24"/>
        </w:rPr>
        <w:t>12</w:t>
      </w:r>
      <w:r>
        <w:rPr>
          <w:sz w:val="24"/>
        </w:rPr>
        <w:t>月</w:t>
      </w:r>
      <w:r>
        <w:rPr>
          <w:sz w:val="24"/>
        </w:rPr>
        <w:t>24</w:t>
      </w:r>
      <w:r>
        <w:rPr>
          <w:sz w:val="24"/>
        </w:rPr>
        <w:t>日召开第八届董事会</w:t>
      </w:r>
      <w:r>
        <w:rPr>
          <w:sz w:val="24"/>
        </w:rPr>
        <w:t>20</w:t>
      </w:r>
      <w:r>
        <w:rPr>
          <w:sz w:val="24"/>
        </w:rPr>
        <w:t>21</w:t>
      </w:r>
      <w:r>
        <w:rPr>
          <w:sz w:val="24"/>
        </w:rPr>
        <w:t>年第一次临时会议，审议通过《关于变更部分募集资金投资项目的议案》，同意将公司</w:t>
      </w:r>
      <w:r>
        <w:rPr>
          <w:sz w:val="24"/>
        </w:rPr>
        <w:t>2021</w:t>
      </w:r>
      <w:r>
        <w:rPr>
          <w:sz w:val="24"/>
        </w:rPr>
        <w:t>年非公开发行股票募集资金投资项目华孚（越南）</w:t>
      </w:r>
      <w:r>
        <w:rPr>
          <w:sz w:val="24"/>
        </w:rPr>
        <w:t>50</w:t>
      </w:r>
      <w:r>
        <w:rPr>
          <w:sz w:val="24"/>
        </w:rPr>
        <w:t>万锭新型纱线项目（一期）变更为</w:t>
      </w:r>
      <w:r>
        <w:rPr>
          <w:sz w:val="24"/>
        </w:rPr>
        <w:t>30</w:t>
      </w:r>
      <w:r>
        <w:rPr>
          <w:sz w:val="24"/>
        </w:rPr>
        <w:t>万锭智能纺纱产业园项目（项目实施地在安徽省淮北市），该事项已经公司于</w:t>
      </w:r>
      <w:r>
        <w:rPr>
          <w:sz w:val="24"/>
        </w:rPr>
        <w:lastRenderedPageBreak/>
        <w:t>2022</w:t>
      </w:r>
      <w:r>
        <w:rPr>
          <w:sz w:val="24"/>
        </w:rPr>
        <w:t>年</w:t>
      </w:r>
      <w:r>
        <w:rPr>
          <w:sz w:val="24"/>
        </w:rPr>
        <w:t>1</w:t>
      </w:r>
      <w:r>
        <w:rPr>
          <w:sz w:val="24"/>
        </w:rPr>
        <w:t>月</w:t>
      </w:r>
      <w:r>
        <w:rPr>
          <w:sz w:val="24"/>
        </w:rPr>
        <w:t>10</w:t>
      </w:r>
      <w:r>
        <w:rPr>
          <w:sz w:val="24"/>
        </w:rPr>
        <w:t>日召开的</w:t>
      </w:r>
      <w:r>
        <w:rPr>
          <w:sz w:val="24"/>
        </w:rPr>
        <w:t>2022</w:t>
      </w:r>
      <w:r>
        <w:rPr>
          <w:sz w:val="24"/>
        </w:rPr>
        <w:t>年第一次临时股东大会审议通过。</w:t>
      </w:r>
    </w:p>
    <w:p w:rsidR="00000000" w:rsidRDefault="006E4D11">
      <w:pPr>
        <w:spacing w:beforeLines="50" w:before="156" w:line="360" w:lineRule="auto"/>
        <w:ind w:firstLineChars="200" w:firstLine="480"/>
        <w:rPr>
          <w:sz w:val="24"/>
        </w:rPr>
      </w:pPr>
      <w:r>
        <w:rPr>
          <w:rFonts w:hint="eastAsia"/>
          <w:sz w:val="24"/>
        </w:rPr>
        <w:t>3</w:t>
      </w:r>
      <w:r>
        <w:rPr>
          <w:sz w:val="24"/>
        </w:rPr>
        <w:t>、公司于</w:t>
      </w:r>
      <w:r>
        <w:rPr>
          <w:sz w:val="24"/>
        </w:rPr>
        <w:t>2022</w:t>
      </w:r>
      <w:r>
        <w:rPr>
          <w:sz w:val="24"/>
        </w:rPr>
        <w:t>年</w:t>
      </w:r>
      <w:r>
        <w:rPr>
          <w:sz w:val="24"/>
        </w:rPr>
        <w:t>1</w:t>
      </w:r>
      <w:r>
        <w:rPr>
          <w:sz w:val="24"/>
        </w:rPr>
        <w:t>月</w:t>
      </w:r>
      <w:r>
        <w:rPr>
          <w:sz w:val="24"/>
        </w:rPr>
        <w:t>19</w:t>
      </w:r>
      <w:r>
        <w:rPr>
          <w:sz w:val="24"/>
        </w:rPr>
        <w:t>日召开了第八届董事会</w:t>
      </w:r>
      <w:r>
        <w:rPr>
          <w:sz w:val="24"/>
        </w:rPr>
        <w:t>2022</w:t>
      </w:r>
      <w:r>
        <w:rPr>
          <w:sz w:val="24"/>
        </w:rPr>
        <w:t>年第一次临时会议和第八届监事会第二次会议</w:t>
      </w:r>
      <w:r>
        <w:rPr>
          <w:sz w:val="24"/>
        </w:rPr>
        <w:t>,</w:t>
      </w:r>
      <w:r>
        <w:rPr>
          <w:sz w:val="24"/>
        </w:rPr>
        <w:t>审议通过《关于使用募集资金置换先期投入自有资金的议案》，同意公司以</w:t>
      </w:r>
      <w:r>
        <w:rPr>
          <w:sz w:val="24"/>
        </w:rPr>
        <w:t>2021</w:t>
      </w:r>
      <w:r>
        <w:rPr>
          <w:sz w:val="24"/>
        </w:rPr>
        <w:t>年非公开发行股票募集资金的</w:t>
      </w:r>
      <w:r>
        <w:rPr>
          <w:sz w:val="24"/>
        </w:rPr>
        <w:t>28,27</w:t>
      </w:r>
      <w:r>
        <w:rPr>
          <w:sz w:val="24"/>
        </w:rPr>
        <w:t>2.94</w:t>
      </w:r>
      <w:r>
        <w:rPr>
          <w:sz w:val="24"/>
        </w:rPr>
        <w:t>万元置换先期已投入相关项目的自有资金。</w:t>
      </w:r>
    </w:p>
    <w:p w:rsidR="00000000" w:rsidRDefault="006E4D11">
      <w:pPr>
        <w:widowControl/>
        <w:wordWrap w:val="0"/>
        <w:spacing w:line="500" w:lineRule="exact"/>
        <w:ind w:firstLineChars="200" w:firstLine="480"/>
        <w:rPr>
          <w:rFonts w:hint="eastAsia"/>
          <w:sz w:val="24"/>
        </w:rPr>
      </w:pPr>
      <w:r>
        <w:rPr>
          <w:rFonts w:hint="eastAsia"/>
          <w:sz w:val="24"/>
        </w:rPr>
        <w:t>4</w:t>
      </w:r>
      <w:r>
        <w:rPr>
          <w:rFonts w:hint="eastAsia"/>
          <w:sz w:val="24"/>
        </w:rPr>
        <w:t>、公司募集资金专户已于</w:t>
      </w:r>
      <w:r>
        <w:rPr>
          <w:rFonts w:hint="eastAsia"/>
          <w:sz w:val="24"/>
        </w:rPr>
        <w:t>2025</w:t>
      </w:r>
      <w:r>
        <w:rPr>
          <w:rFonts w:hint="eastAsia"/>
          <w:sz w:val="24"/>
        </w:rPr>
        <w:t>年</w:t>
      </w:r>
      <w:r>
        <w:rPr>
          <w:rFonts w:hint="eastAsia"/>
          <w:sz w:val="24"/>
        </w:rPr>
        <w:t>4</w:t>
      </w:r>
      <w:r>
        <w:rPr>
          <w:rFonts w:hint="eastAsia"/>
          <w:sz w:val="24"/>
        </w:rPr>
        <w:t>月</w:t>
      </w:r>
      <w:r>
        <w:rPr>
          <w:rFonts w:hint="eastAsia"/>
          <w:sz w:val="24"/>
        </w:rPr>
        <w:t>21</w:t>
      </w:r>
      <w:r>
        <w:rPr>
          <w:rFonts w:hint="eastAsia"/>
          <w:sz w:val="24"/>
        </w:rPr>
        <w:t>日全部销户完毕。</w:t>
      </w:r>
    </w:p>
    <w:p w:rsidR="00000000" w:rsidRDefault="006E4D11">
      <w:pPr>
        <w:spacing w:beforeLines="50" w:before="156" w:line="360" w:lineRule="auto"/>
        <w:ind w:firstLineChars="200" w:firstLine="480"/>
        <w:outlineLvl w:val="0"/>
        <w:rPr>
          <w:sz w:val="24"/>
        </w:rPr>
      </w:pPr>
      <w:r>
        <w:rPr>
          <w:sz w:val="24"/>
        </w:rPr>
        <w:t>三</w:t>
      </w:r>
      <w:r>
        <w:rPr>
          <w:b/>
          <w:bCs/>
          <w:sz w:val="24"/>
        </w:rPr>
        <w:t>、募集资金余额情况</w:t>
      </w:r>
    </w:p>
    <w:p w:rsidR="00000000" w:rsidRDefault="006E4D11">
      <w:pPr>
        <w:widowControl/>
        <w:wordWrap w:val="0"/>
        <w:spacing w:line="500" w:lineRule="exact"/>
        <w:ind w:firstLineChars="200" w:firstLine="480"/>
        <w:rPr>
          <w:sz w:val="24"/>
        </w:rPr>
      </w:pPr>
      <w:r>
        <w:rPr>
          <w:rFonts w:hint="eastAsia"/>
          <w:sz w:val="24"/>
        </w:rPr>
        <w:t>截至本核查意见出具日，公司募集资金已使用完毕，并注销了募集资金专户，公司将继续以自有资金投入募投项目建设。</w:t>
      </w:r>
    </w:p>
    <w:p w:rsidR="00000000" w:rsidRDefault="006E4D11">
      <w:pPr>
        <w:spacing w:beforeLines="50" w:before="156" w:line="360" w:lineRule="auto"/>
        <w:ind w:firstLineChars="200" w:firstLine="482"/>
        <w:outlineLvl w:val="0"/>
        <w:rPr>
          <w:b/>
          <w:bCs/>
          <w:sz w:val="24"/>
        </w:rPr>
      </w:pPr>
      <w:r>
        <w:rPr>
          <w:b/>
          <w:bCs/>
          <w:sz w:val="24"/>
        </w:rPr>
        <w:t>四、募投项目实施期限延长的具体情况及原因</w:t>
      </w:r>
    </w:p>
    <w:p w:rsidR="00000000" w:rsidRDefault="006E4D11">
      <w:pPr>
        <w:spacing w:beforeLines="50" w:before="156" w:line="360" w:lineRule="auto"/>
        <w:ind w:firstLineChars="200" w:firstLine="482"/>
        <w:rPr>
          <w:b/>
          <w:bCs/>
          <w:sz w:val="24"/>
        </w:rPr>
      </w:pPr>
      <w:r>
        <w:rPr>
          <w:b/>
          <w:bCs/>
          <w:sz w:val="24"/>
        </w:rPr>
        <w:t>（一）募投项目延期的具体情况</w:t>
      </w:r>
    </w:p>
    <w:p w:rsidR="00000000" w:rsidRDefault="006E4D11">
      <w:pPr>
        <w:spacing w:beforeLines="50" w:before="156" w:line="360" w:lineRule="auto"/>
        <w:ind w:firstLineChars="200" w:firstLine="480"/>
        <w:rPr>
          <w:sz w:val="24"/>
        </w:rPr>
      </w:pPr>
      <w:r>
        <w:rPr>
          <w:sz w:val="24"/>
        </w:rPr>
        <w:t>公司结合募投项目实际进展情况，在募投项目实施主体、实施方式、项目用途和投资规模均不发生变更的情况下，根据目前募投项目的实施进度，对募投项目达到预定可使用状态的时间进行调整，调整情况如下：</w:t>
      </w:r>
    </w:p>
    <w:tbl>
      <w:tblPr>
        <w:tblW w:w="5000" w:type="pct"/>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74"/>
        <w:gridCol w:w="2838"/>
        <w:gridCol w:w="2505"/>
        <w:gridCol w:w="2505"/>
      </w:tblGrid>
      <w:tr w:rsidR="00000000">
        <w:trPr>
          <w:trHeight w:val="397"/>
        </w:trPr>
        <w:tc>
          <w:tcPr>
            <w:tcW w:w="395" w:type="pct"/>
            <w:vAlign w:val="center"/>
          </w:tcPr>
          <w:p w:rsidR="00000000" w:rsidRDefault="006E4D11">
            <w:pPr>
              <w:jc w:val="center"/>
              <w:rPr>
                <w:b/>
                <w:bCs/>
                <w:szCs w:val="21"/>
              </w:rPr>
            </w:pPr>
            <w:r>
              <w:rPr>
                <w:b/>
                <w:bCs/>
                <w:szCs w:val="21"/>
              </w:rPr>
              <w:t>序号</w:t>
            </w:r>
          </w:p>
        </w:tc>
        <w:tc>
          <w:tcPr>
            <w:tcW w:w="1665" w:type="pct"/>
            <w:vAlign w:val="center"/>
          </w:tcPr>
          <w:p w:rsidR="00000000" w:rsidRDefault="006E4D11">
            <w:pPr>
              <w:jc w:val="center"/>
              <w:rPr>
                <w:b/>
                <w:bCs/>
                <w:szCs w:val="21"/>
              </w:rPr>
            </w:pPr>
            <w:r>
              <w:rPr>
                <w:b/>
                <w:bCs/>
                <w:szCs w:val="21"/>
              </w:rPr>
              <w:t>项目名称</w:t>
            </w:r>
          </w:p>
        </w:tc>
        <w:tc>
          <w:tcPr>
            <w:tcW w:w="1470" w:type="pct"/>
            <w:vAlign w:val="center"/>
          </w:tcPr>
          <w:p w:rsidR="00000000" w:rsidRDefault="006E4D11">
            <w:pPr>
              <w:jc w:val="center"/>
              <w:rPr>
                <w:b/>
                <w:bCs/>
                <w:szCs w:val="21"/>
              </w:rPr>
            </w:pPr>
            <w:r>
              <w:rPr>
                <w:b/>
                <w:bCs/>
                <w:szCs w:val="21"/>
              </w:rPr>
              <w:t>原计划达到预定可使用状态日期</w:t>
            </w:r>
          </w:p>
        </w:tc>
        <w:tc>
          <w:tcPr>
            <w:tcW w:w="1470" w:type="pct"/>
            <w:vAlign w:val="center"/>
          </w:tcPr>
          <w:p w:rsidR="00000000" w:rsidRDefault="006E4D11">
            <w:pPr>
              <w:jc w:val="center"/>
              <w:rPr>
                <w:b/>
                <w:bCs/>
                <w:szCs w:val="21"/>
              </w:rPr>
            </w:pPr>
            <w:r>
              <w:rPr>
                <w:b/>
                <w:bCs/>
                <w:szCs w:val="21"/>
              </w:rPr>
              <w:t>调整后达到预定可使用状态日期</w:t>
            </w:r>
          </w:p>
        </w:tc>
      </w:tr>
      <w:tr w:rsidR="00000000">
        <w:trPr>
          <w:trHeight w:val="397"/>
        </w:trPr>
        <w:tc>
          <w:tcPr>
            <w:tcW w:w="395" w:type="pct"/>
            <w:vAlign w:val="center"/>
          </w:tcPr>
          <w:p w:rsidR="00000000" w:rsidRDefault="006E4D11">
            <w:pPr>
              <w:jc w:val="center"/>
              <w:rPr>
                <w:szCs w:val="21"/>
              </w:rPr>
            </w:pPr>
            <w:r>
              <w:rPr>
                <w:szCs w:val="21"/>
              </w:rPr>
              <w:t>1</w:t>
            </w:r>
          </w:p>
        </w:tc>
        <w:tc>
          <w:tcPr>
            <w:tcW w:w="1665" w:type="pct"/>
            <w:vAlign w:val="center"/>
          </w:tcPr>
          <w:p w:rsidR="00000000" w:rsidRDefault="006E4D11">
            <w:pPr>
              <w:jc w:val="center"/>
              <w:rPr>
                <w:szCs w:val="21"/>
              </w:rPr>
            </w:pPr>
            <w:r>
              <w:rPr>
                <w:szCs w:val="21"/>
              </w:rPr>
              <w:t>30</w:t>
            </w:r>
            <w:r>
              <w:rPr>
                <w:szCs w:val="21"/>
              </w:rPr>
              <w:t>万锭智能纺纱产业园项目</w:t>
            </w:r>
          </w:p>
        </w:tc>
        <w:tc>
          <w:tcPr>
            <w:tcW w:w="1470" w:type="pct"/>
            <w:vAlign w:val="center"/>
          </w:tcPr>
          <w:p w:rsidR="00000000" w:rsidRDefault="006E4D11">
            <w:pPr>
              <w:jc w:val="right"/>
              <w:rPr>
                <w:szCs w:val="21"/>
              </w:rPr>
            </w:pPr>
            <w:r>
              <w:rPr>
                <w:szCs w:val="21"/>
              </w:rPr>
              <w:t>202</w:t>
            </w:r>
            <w:r>
              <w:rPr>
                <w:rFonts w:hint="eastAsia"/>
                <w:szCs w:val="21"/>
              </w:rPr>
              <w:t>5</w:t>
            </w:r>
            <w:r>
              <w:rPr>
                <w:szCs w:val="21"/>
              </w:rPr>
              <w:t>/</w:t>
            </w:r>
            <w:r>
              <w:rPr>
                <w:rFonts w:hint="eastAsia"/>
                <w:szCs w:val="21"/>
              </w:rPr>
              <w:t>6</w:t>
            </w:r>
            <w:r>
              <w:rPr>
                <w:szCs w:val="21"/>
              </w:rPr>
              <w:t>/30</w:t>
            </w:r>
          </w:p>
        </w:tc>
        <w:tc>
          <w:tcPr>
            <w:tcW w:w="1470" w:type="pct"/>
            <w:vAlign w:val="center"/>
          </w:tcPr>
          <w:p w:rsidR="00000000" w:rsidRDefault="006E4D11">
            <w:pPr>
              <w:jc w:val="right"/>
              <w:rPr>
                <w:rFonts w:hint="eastAsia"/>
                <w:szCs w:val="21"/>
              </w:rPr>
            </w:pPr>
            <w:r>
              <w:rPr>
                <w:szCs w:val="21"/>
              </w:rPr>
              <w:t>202</w:t>
            </w:r>
            <w:r>
              <w:rPr>
                <w:rFonts w:hint="eastAsia"/>
                <w:szCs w:val="21"/>
              </w:rPr>
              <w:t>5</w:t>
            </w:r>
            <w:r>
              <w:rPr>
                <w:szCs w:val="21"/>
              </w:rPr>
              <w:t>/</w:t>
            </w:r>
            <w:r>
              <w:rPr>
                <w:rFonts w:hint="eastAsia"/>
                <w:szCs w:val="21"/>
              </w:rPr>
              <w:t>12</w:t>
            </w:r>
            <w:r>
              <w:rPr>
                <w:szCs w:val="21"/>
              </w:rPr>
              <w:t>/3</w:t>
            </w:r>
            <w:r>
              <w:rPr>
                <w:rFonts w:hint="eastAsia"/>
                <w:szCs w:val="21"/>
              </w:rPr>
              <w:t>1</w:t>
            </w:r>
          </w:p>
        </w:tc>
      </w:tr>
    </w:tbl>
    <w:p w:rsidR="00000000" w:rsidRDefault="006E4D11">
      <w:pPr>
        <w:spacing w:beforeLines="50" w:before="156" w:line="360" w:lineRule="auto"/>
        <w:ind w:firstLineChars="200" w:firstLine="482"/>
        <w:rPr>
          <w:b/>
          <w:bCs/>
          <w:sz w:val="24"/>
        </w:rPr>
      </w:pPr>
      <w:r>
        <w:rPr>
          <w:b/>
          <w:bCs/>
          <w:sz w:val="24"/>
        </w:rPr>
        <w:t>（二）募投项目实施期限延长的原因</w:t>
      </w:r>
    </w:p>
    <w:p w:rsidR="00000000" w:rsidRDefault="006E4D11">
      <w:pPr>
        <w:spacing w:line="360" w:lineRule="auto"/>
        <w:ind w:firstLineChars="200" w:firstLine="480"/>
        <w:rPr>
          <w:rFonts w:ascii="宋体" w:hAnsi="宋体" w:cs="宋体"/>
          <w:sz w:val="24"/>
        </w:rPr>
      </w:pPr>
      <w:r>
        <w:rPr>
          <w:rFonts w:ascii="宋体" w:hAnsi="宋体" w:cs="宋体" w:hint="eastAsia"/>
          <w:sz w:val="24"/>
        </w:rPr>
        <w:t>公司“</w:t>
      </w:r>
      <w:r>
        <w:rPr>
          <w:rFonts w:ascii="宋体" w:hAnsi="宋体" w:cs="宋体" w:hint="eastAsia"/>
          <w:sz w:val="24"/>
        </w:rPr>
        <w:t>30</w:t>
      </w:r>
      <w:r>
        <w:rPr>
          <w:rFonts w:ascii="宋体" w:hAnsi="宋体" w:cs="宋体" w:hint="eastAsia"/>
          <w:sz w:val="24"/>
        </w:rPr>
        <w:t>万锭智能纺纱产业园项目”于</w:t>
      </w:r>
      <w:r>
        <w:rPr>
          <w:rFonts w:ascii="宋体" w:hAnsi="宋体" w:cs="宋体" w:hint="eastAsia"/>
          <w:sz w:val="24"/>
        </w:rPr>
        <w:t>2021</w:t>
      </w:r>
      <w:r>
        <w:rPr>
          <w:rFonts w:ascii="宋体" w:hAnsi="宋体" w:cs="宋体" w:hint="eastAsia"/>
          <w:sz w:val="24"/>
        </w:rPr>
        <w:t>年开始建设，</w:t>
      </w:r>
      <w:r>
        <w:rPr>
          <w:rFonts w:ascii="宋体" w:hAnsi="宋体" w:cs="宋体"/>
          <w:sz w:val="24"/>
        </w:rPr>
        <w:t>自建设以来</w:t>
      </w:r>
      <w:r>
        <w:rPr>
          <w:rFonts w:ascii="宋体" w:hAnsi="宋体" w:cs="宋体" w:hint="eastAsia"/>
          <w:sz w:val="24"/>
        </w:rPr>
        <w:t>公司积极调整新产能落地节奏，将“淮北</w:t>
      </w:r>
      <w:r>
        <w:rPr>
          <w:rFonts w:ascii="宋体" w:hAnsi="宋体" w:cs="宋体" w:hint="eastAsia"/>
          <w:sz w:val="24"/>
        </w:rPr>
        <w:t>30</w:t>
      </w:r>
      <w:r>
        <w:rPr>
          <w:rFonts w:ascii="宋体" w:hAnsi="宋体" w:cs="宋体" w:hint="eastAsia"/>
          <w:sz w:val="24"/>
        </w:rPr>
        <w:t>万锭智能纺纱产业园项目”分三期进行建设，同时结合下游需求及公司产能利用率情况对项目建设进行延期，减少订单波动带来的风险，避免产能冗余。</w:t>
      </w:r>
    </w:p>
    <w:p w:rsidR="00000000" w:rsidRDefault="006E4D11">
      <w:pPr>
        <w:spacing w:line="360" w:lineRule="auto"/>
        <w:ind w:firstLineChars="200" w:firstLine="480"/>
        <w:rPr>
          <w:rFonts w:ascii="宋体" w:hAnsi="宋体" w:cs="宋体"/>
          <w:sz w:val="24"/>
        </w:rPr>
      </w:pPr>
      <w:r>
        <w:rPr>
          <w:rFonts w:ascii="宋体" w:hAnsi="宋体" w:cs="宋体" w:hint="eastAsia"/>
          <w:sz w:val="24"/>
        </w:rPr>
        <w:t>结合目前募投项目的实施进展以及公司业务发展规划，经审慎研究，公司决定将募投项目达到预定可使用状态</w:t>
      </w:r>
      <w:r>
        <w:rPr>
          <w:rFonts w:ascii="宋体" w:hAnsi="宋体" w:cs="宋体" w:hint="eastAsia"/>
          <w:sz w:val="24"/>
        </w:rPr>
        <w:t>的时间延长至</w:t>
      </w:r>
      <w:r>
        <w:rPr>
          <w:rFonts w:ascii="宋体" w:hAnsi="宋体" w:cs="宋体" w:hint="eastAsia"/>
          <w:sz w:val="24"/>
        </w:rPr>
        <w:t>2025</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p>
    <w:p w:rsidR="00000000" w:rsidRDefault="006E4D11">
      <w:pPr>
        <w:spacing w:line="360" w:lineRule="auto"/>
        <w:ind w:firstLineChars="200" w:firstLine="480"/>
        <w:rPr>
          <w:rFonts w:ascii="宋体" w:hAnsi="宋体" w:hint="eastAsia"/>
          <w:sz w:val="24"/>
        </w:rPr>
      </w:pPr>
      <w:r>
        <w:rPr>
          <w:rFonts w:ascii="宋体" w:hAnsi="宋体"/>
          <w:sz w:val="24"/>
        </w:rPr>
        <w:t>公司</w:t>
      </w:r>
      <w:r>
        <w:rPr>
          <w:rFonts w:ascii="宋体" w:hAnsi="宋体"/>
          <w:sz w:val="24"/>
        </w:rPr>
        <w:t>“30</w:t>
      </w:r>
      <w:r>
        <w:rPr>
          <w:rFonts w:ascii="宋体" w:hAnsi="宋体"/>
          <w:sz w:val="24"/>
        </w:rPr>
        <w:t>万锭智能纺纱产业园项目</w:t>
      </w:r>
      <w:r>
        <w:rPr>
          <w:rFonts w:ascii="宋体" w:hAnsi="宋体"/>
          <w:sz w:val="24"/>
        </w:rPr>
        <w:t>”</w:t>
      </w:r>
      <w:r>
        <w:rPr>
          <w:rFonts w:ascii="宋体" w:hAnsi="宋体"/>
          <w:sz w:val="24"/>
        </w:rPr>
        <w:t>中</w:t>
      </w:r>
      <w:r>
        <w:rPr>
          <w:rFonts w:ascii="宋体" w:hAnsi="宋体"/>
          <w:sz w:val="24"/>
        </w:rPr>
        <w:t>20</w:t>
      </w:r>
      <w:r>
        <w:rPr>
          <w:rFonts w:ascii="宋体" w:hAnsi="宋体"/>
          <w:sz w:val="24"/>
        </w:rPr>
        <w:t>万锭已建成并达产，正在积极推进最后</w:t>
      </w:r>
      <w:r>
        <w:rPr>
          <w:rFonts w:ascii="宋体" w:hAnsi="宋体"/>
          <w:sz w:val="24"/>
        </w:rPr>
        <w:t>10</w:t>
      </w:r>
      <w:r>
        <w:rPr>
          <w:rFonts w:ascii="宋体" w:hAnsi="宋体"/>
          <w:sz w:val="24"/>
        </w:rPr>
        <w:t>万锭项目建设。最后</w:t>
      </w:r>
      <w:r>
        <w:rPr>
          <w:rFonts w:ascii="宋体" w:hAnsi="宋体" w:hint="eastAsia"/>
          <w:sz w:val="24"/>
        </w:rPr>
        <w:t>10</w:t>
      </w:r>
      <w:r>
        <w:rPr>
          <w:rFonts w:ascii="宋体" w:hAnsi="宋体" w:hint="eastAsia"/>
          <w:sz w:val="24"/>
        </w:rPr>
        <w:t>万锭建设所涉及的厂房已经建设完成，目前处于设备采购及安装阶段，公司后续会实时跟踪项目建设进度情况，积极协调各方资源，加快推进募投项目的后续实施。具体措施如下：</w:t>
      </w:r>
    </w:p>
    <w:p w:rsidR="00000000" w:rsidRDefault="006E4D11">
      <w:pPr>
        <w:spacing w:line="360" w:lineRule="auto"/>
        <w:ind w:firstLineChars="200" w:firstLine="480"/>
        <w:rPr>
          <w:rFonts w:ascii="宋体" w:hAnsi="宋体" w:hint="eastAsia"/>
          <w:sz w:val="24"/>
        </w:rPr>
      </w:pPr>
      <w:r>
        <w:rPr>
          <w:rFonts w:ascii="宋体" w:hAnsi="宋体" w:hint="eastAsia"/>
          <w:sz w:val="24"/>
        </w:rPr>
        <w:lastRenderedPageBreak/>
        <w:t>1</w:t>
      </w:r>
      <w:r>
        <w:rPr>
          <w:rFonts w:ascii="宋体" w:hAnsi="宋体" w:hint="eastAsia"/>
          <w:sz w:val="24"/>
        </w:rPr>
        <w:t>、全面分析总结前期项目建设过程中的困难与风险因素，为接下来的项目建设提供针对性解决方案，制定合理的建设计划，按照既定工作计划逐步落实，保障项目建设按期完成。</w:t>
      </w:r>
    </w:p>
    <w:p w:rsidR="00000000" w:rsidRDefault="006E4D11">
      <w:pPr>
        <w:spacing w:line="360" w:lineRule="auto"/>
        <w:ind w:firstLineChars="200" w:firstLine="480"/>
        <w:rPr>
          <w:rFonts w:hint="eastAsia"/>
          <w:sz w:val="24"/>
        </w:rPr>
      </w:pPr>
      <w:r>
        <w:rPr>
          <w:rFonts w:ascii="宋体" w:hAnsi="宋体" w:hint="eastAsia"/>
          <w:sz w:val="24"/>
        </w:rPr>
        <w:t>2</w:t>
      </w:r>
      <w:r>
        <w:rPr>
          <w:rFonts w:ascii="宋体" w:hAnsi="宋体" w:hint="eastAsia"/>
          <w:sz w:val="24"/>
        </w:rPr>
        <w:t>、充分调动各方资源，加快完成设备的采购、安装与调试工</w:t>
      </w:r>
      <w:r>
        <w:rPr>
          <w:rFonts w:ascii="宋体" w:hAnsi="宋体" w:hint="eastAsia"/>
          <w:sz w:val="24"/>
        </w:rPr>
        <w:t>作，积极与设备供应商和施工方做好沟通与工作协同，严格监督募投项目实施进展情况。保证生产线早日达产。</w:t>
      </w:r>
    </w:p>
    <w:p w:rsidR="00000000" w:rsidRDefault="006E4D11">
      <w:pPr>
        <w:spacing w:beforeLines="50" w:before="156" w:line="360" w:lineRule="auto"/>
        <w:ind w:firstLineChars="200" w:firstLine="482"/>
        <w:outlineLvl w:val="0"/>
        <w:rPr>
          <w:b/>
          <w:bCs/>
          <w:sz w:val="24"/>
        </w:rPr>
      </w:pPr>
      <w:r>
        <w:rPr>
          <w:b/>
          <w:bCs/>
          <w:sz w:val="24"/>
        </w:rPr>
        <w:t>五、募投项目实施期限延长的影响</w:t>
      </w:r>
    </w:p>
    <w:p w:rsidR="00000000" w:rsidRDefault="006E4D11">
      <w:pPr>
        <w:spacing w:beforeLines="50" w:before="156" w:line="360" w:lineRule="auto"/>
        <w:ind w:firstLineChars="200" w:firstLine="480"/>
        <w:rPr>
          <w:sz w:val="24"/>
        </w:rPr>
      </w:pPr>
      <w:r>
        <w:rPr>
          <w:sz w:val="24"/>
        </w:rPr>
        <w:t>本次募投项目延期是公司根据客观原因和项目实施的实际情况做出的审慎决定，未改变募投项目的实施主体、募集资金投资用途和投资规模，不会对募投项目的实施造成实质性影响。本次调整不存在改变或变相改变募集资金用途和损害股东利益的情形，不会对公司的正常经营产生不利影响。公司将加强对相关项目建设进度的监督，使项目按新的计划进行建设，早日达到预定可使用状态，并实现预期效果。</w:t>
      </w:r>
    </w:p>
    <w:p w:rsidR="00000000" w:rsidRDefault="006E4D11">
      <w:pPr>
        <w:spacing w:beforeLines="50" w:before="156" w:line="360" w:lineRule="auto"/>
        <w:ind w:firstLineChars="200" w:firstLine="482"/>
        <w:outlineLvl w:val="0"/>
        <w:rPr>
          <w:b/>
          <w:bCs/>
          <w:sz w:val="24"/>
        </w:rPr>
      </w:pPr>
      <w:r>
        <w:rPr>
          <w:b/>
          <w:bCs/>
          <w:sz w:val="24"/>
        </w:rPr>
        <w:t>六、审议程序及审议意</w:t>
      </w:r>
      <w:r>
        <w:rPr>
          <w:b/>
          <w:bCs/>
          <w:sz w:val="24"/>
        </w:rPr>
        <w:t>见</w:t>
      </w:r>
    </w:p>
    <w:p w:rsidR="00000000" w:rsidRDefault="006E4D11">
      <w:pPr>
        <w:spacing w:beforeLines="50" w:before="156" w:line="360" w:lineRule="auto"/>
        <w:ind w:firstLineChars="200" w:firstLine="482"/>
        <w:rPr>
          <w:b/>
          <w:bCs/>
          <w:sz w:val="24"/>
        </w:rPr>
      </w:pPr>
      <w:r>
        <w:rPr>
          <w:rFonts w:hint="eastAsia"/>
          <w:b/>
          <w:bCs/>
          <w:sz w:val="24"/>
        </w:rPr>
        <w:t>（一）董事会审议情况</w:t>
      </w:r>
    </w:p>
    <w:p w:rsidR="00000000" w:rsidRDefault="006E4D11">
      <w:pPr>
        <w:spacing w:beforeLines="50" w:before="156" w:line="360" w:lineRule="auto"/>
        <w:ind w:firstLineChars="200" w:firstLine="480"/>
        <w:rPr>
          <w:sz w:val="24"/>
        </w:rPr>
      </w:pPr>
      <w:r>
        <w:rPr>
          <w:rFonts w:hint="eastAsia"/>
          <w:sz w:val="24"/>
        </w:rPr>
        <w:t>公司第九届董事会</w:t>
      </w:r>
      <w:r>
        <w:rPr>
          <w:rFonts w:hint="eastAsia"/>
          <w:sz w:val="24"/>
        </w:rPr>
        <w:t>2025</w:t>
      </w:r>
      <w:r>
        <w:rPr>
          <w:rFonts w:hint="eastAsia"/>
          <w:sz w:val="24"/>
        </w:rPr>
        <w:t>年第一次临时会议审议通过了《关于募投项目延期的议案》，同意公司对募投项目达到预计可使用状态的日期进行调整。</w:t>
      </w:r>
    </w:p>
    <w:p w:rsidR="00000000" w:rsidRDefault="006E4D11">
      <w:pPr>
        <w:spacing w:beforeLines="50" w:before="156" w:line="360" w:lineRule="auto"/>
        <w:ind w:firstLineChars="200" w:firstLine="482"/>
        <w:rPr>
          <w:b/>
          <w:bCs/>
          <w:sz w:val="24"/>
        </w:rPr>
      </w:pPr>
      <w:r>
        <w:rPr>
          <w:rFonts w:hint="eastAsia"/>
          <w:b/>
          <w:bCs/>
          <w:sz w:val="24"/>
        </w:rPr>
        <w:t>（二）监事会意见</w:t>
      </w:r>
    </w:p>
    <w:p w:rsidR="00000000" w:rsidRDefault="006E4D11">
      <w:pPr>
        <w:spacing w:beforeLines="50" w:before="156" w:line="360" w:lineRule="auto"/>
        <w:ind w:firstLineChars="200" w:firstLine="480"/>
        <w:rPr>
          <w:rFonts w:hint="eastAsia"/>
          <w:sz w:val="24"/>
        </w:rPr>
      </w:pPr>
      <w:r>
        <w:rPr>
          <w:rFonts w:hint="eastAsia"/>
          <w:sz w:val="24"/>
        </w:rPr>
        <w:t>公司第九届监事会第</w:t>
      </w:r>
      <w:r>
        <w:rPr>
          <w:rFonts w:hint="eastAsia"/>
          <w:sz w:val="24"/>
        </w:rPr>
        <w:t>三</w:t>
      </w:r>
      <w:r>
        <w:rPr>
          <w:rFonts w:hint="eastAsia"/>
          <w:sz w:val="24"/>
        </w:rPr>
        <w:t>次会议审议通过了《关于募投项目延期的议案》。监事会认为：公司本次募投项目延期是公司根据募投项目实际进展作出的审慎决定，符合公司实际情况，不会对公司正常经营产生重大不利影响。本次募投项目延期不涉及募投项目实施主体、实施方式、投资总额的变更，不存在改变或变相改变募集资金用途和损害股东利益的情形，不存在违反中国证监会、深</w:t>
      </w:r>
      <w:r>
        <w:rPr>
          <w:rFonts w:hint="eastAsia"/>
          <w:sz w:val="24"/>
        </w:rPr>
        <w:t>圳证券交易所关于上市公司募集资金使用有关规定的情形。公司监事会一致同意公司本次募投项目延期事项。</w:t>
      </w:r>
    </w:p>
    <w:p w:rsidR="00000000" w:rsidRDefault="006E4D11">
      <w:pPr>
        <w:spacing w:beforeLines="50" w:before="156" w:line="360" w:lineRule="auto"/>
        <w:ind w:firstLineChars="200" w:firstLine="482"/>
        <w:outlineLvl w:val="0"/>
        <w:rPr>
          <w:b/>
          <w:bCs/>
          <w:sz w:val="24"/>
        </w:rPr>
      </w:pPr>
      <w:r>
        <w:rPr>
          <w:b/>
          <w:bCs/>
          <w:sz w:val="24"/>
        </w:rPr>
        <w:t>七、保荐机构核查意见</w:t>
      </w:r>
    </w:p>
    <w:p w:rsidR="00000000" w:rsidRDefault="006E4D11">
      <w:pPr>
        <w:spacing w:beforeLines="50" w:before="156" w:line="360" w:lineRule="auto"/>
        <w:ind w:firstLineChars="200" w:firstLine="480"/>
        <w:rPr>
          <w:sz w:val="24"/>
          <w:szCs w:val="32"/>
        </w:rPr>
      </w:pPr>
      <w:r>
        <w:rPr>
          <w:sz w:val="24"/>
        </w:rPr>
        <w:lastRenderedPageBreak/>
        <w:t>经核查，保荐机构认为，公司本次募投项目延期是根据募投项目实际情况做出的审慎决定，已履行了必要的审议程序，符合《</w:t>
      </w:r>
      <w:r>
        <w:rPr>
          <w:rFonts w:hint="eastAsia"/>
          <w:sz w:val="24"/>
        </w:rPr>
        <w:t>上市公司募集资金监管规则</w:t>
      </w:r>
      <w:r>
        <w:rPr>
          <w:sz w:val="24"/>
        </w:rPr>
        <w:t>》《深圳证券交易所上市公司自律监管指引第</w:t>
      </w:r>
      <w:r>
        <w:rPr>
          <w:sz w:val="24"/>
        </w:rPr>
        <w:t xml:space="preserve"> 1 </w:t>
      </w:r>
      <w:r>
        <w:rPr>
          <w:sz w:val="24"/>
        </w:rPr>
        <w:t>号</w:t>
      </w:r>
      <w:r>
        <w:rPr>
          <w:sz w:val="24"/>
        </w:rPr>
        <w:t>——</w:t>
      </w:r>
      <w:r>
        <w:rPr>
          <w:sz w:val="24"/>
        </w:rPr>
        <w:t>主板上市公司规范运作》等法律、法规、规范性文件及公司有关管理制度的要求，不存在变相改变募集资金投向或损害股东利益的情形。综上，保荐机构对公司本次募投项目延期事项无异议。</w:t>
      </w:r>
    </w:p>
    <w:p w:rsidR="00000000" w:rsidRDefault="006E4D11">
      <w:pPr>
        <w:spacing w:beforeLines="50" w:before="156" w:line="360" w:lineRule="auto"/>
        <w:ind w:firstLineChars="200" w:firstLine="480"/>
        <w:rPr>
          <w:sz w:val="24"/>
          <w:szCs w:val="32"/>
        </w:rPr>
      </w:pPr>
      <w:r>
        <w:rPr>
          <w:sz w:val="24"/>
          <w:szCs w:val="32"/>
        </w:rPr>
        <w:br w:type="page"/>
      </w:r>
      <w:r>
        <w:rPr>
          <w:sz w:val="24"/>
          <w:szCs w:val="32"/>
        </w:rPr>
        <w:lastRenderedPageBreak/>
        <w:t>（本页无正文，为《华泰联合证券有限</w:t>
      </w:r>
      <w:r>
        <w:rPr>
          <w:sz w:val="24"/>
          <w:szCs w:val="32"/>
        </w:rPr>
        <w:t>责任公司关于华孚时尚股份有限公司募投项目延期的核查意见》签章页）</w:t>
      </w:r>
    </w:p>
    <w:p w:rsidR="00000000" w:rsidRDefault="006E4D11">
      <w:pPr>
        <w:spacing w:line="480" w:lineRule="auto"/>
        <w:ind w:left="1050"/>
        <w:rPr>
          <w:sz w:val="24"/>
          <w:szCs w:val="32"/>
        </w:rPr>
      </w:pPr>
    </w:p>
    <w:p w:rsidR="00000000" w:rsidRDefault="006E4D11">
      <w:pPr>
        <w:spacing w:line="480" w:lineRule="auto"/>
        <w:ind w:left="1050"/>
        <w:rPr>
          <w:sz w:val="24"/>
          <w:szCs w:val="32"/>
        </w:rPr>
      </w:pPr>
    </w:p>
    <w:p w:rsidR="00000000" w:rsidRDefault="006E4D11">
      <w:pPr>
        <w:spacing w:line="480" w:lineRule="auto"/>
        <w:ind w:left="1050"/>
        <w:rPr>
          <w:sz w:val="24"/>
          <w:szCs w:val="32"/>
        </w:rPr>
      </w:pPr>
    </w:p>
    <w:p w:rsidR="00000000" w:rsidRDefault="006E4D11">
      <w:pPr>
        <w:spacing w:line="240" w:lineRule="atLeast"/>
        <w:ind w:left="360"/>
        <w:rPr>
          <w:sz w:val="24"/>
          <w:szCs w:val="32"/>
        </w:rPr>
      </w:pPr>
    </w:p>
    <w:p w:rsidR="00000000" w:rsidRDefault="006E4D11">
      <w:pPr>
        <w:adjustRightInd w:val="0"/>
        <w:snapToGrid w:val="0"/>
        <w:spacing w:line="360" w:lineRule="auto"/>
        <w:ind w:firstLineChars="200" w:firstLine="480"/>
        <w:rPr>
          <w:sz w:val="24"/>
          <w:szCs w:val="32"/>
        </w:rPr>
      </w:pPr>
      <w:r>
        <w:rPr>
          <w:sz w:val="24"/>
          <w:szCs w:val="32"/>
        </w:rPr>
        <w:t>保荐代表人：</w:t>
      </w:r>
      <w:r>
        <w:rPr>
          <w:sz w:val="24"/>
          <w:szCs w:val="32"/>
        </w:rPr>
        <w:t xml:space="preserve">     </w:t>
      </w:r>
      <w:r>
        <w:rPr>
          <w:sz w:val="24"/>
          <w:szCs w:val="32"/>
          <w:u w:val="single"/>
        </w:rPr>
        <w:t xml:space="preserve">                </w:t>
      </w:r>
      <w:r>
        <w:rPr>
          <w:sz w:val="24"/>
          <w:szCs w:val="32"/>
        </w:rPr>
        <w:t xml:space="preserve">  </w:t>
      </w:r>
      <w:r>
        <w:rPr>
          <w:sz w:val="24"/>
          <w:szCs w:val="32"/>
          <w:u w:val="single"/>
        </w:rPr>
        <w:t xml:space="preserve">              </w:t>
      </w:r>
    </w:p>
    <w:p w:rsidR="00000000" w:rsidRDefault="006E4D11">
      <w:pPr>
        <w:adjustRightInd w:val="0"/>
        <w:snapToGrid w:val="0"/>
        <w:spacing w:line="360" w:lineRule="auto"/>
        <w:ind w:firstLineChars="1375" w:firstLine="3300"/>
        <w:rPr>
          <w:sz w:val="24"/>
          <w:szCs w:val="32"/>
        </w:rPr>
      </w:pPr>
      <w:r>
        <w:rPr>
          <w:sz w:val="24"/>
          <w:szCs w:val="32"/>
        </w:rPr>
        <w:t>牟晶</w:t>
      </w:r>
      <w:r>
        <w:rPr>
          <w:sz w:val="24"/>
          <w:szCs w:val="32"/>
        </w:rPr>
        <w:t xml:space="preserve">             </w:t>
      </w:r>
      <w:r>
        <w:rPr>
          <w:sz w:val="24"/>
          <w:szCs w:val="32"/>
        </w:rPr>
        <w:t>於桑琦</w:t>
      </w:r>
    </w:p>
    <w:p w:rsidR="00000000" w:rsidRDefault="006E4D11">
      <w:pPr>
        <w:adjustRightInd w:val="0"/>
        <w:snapToGrid w:val="0"/>
        <w:spacing w:line="360" w:lineRule="auto"/>
        <w:ind w:firstLineChars="1200" w:firstLine="2880"/>
        <w:rPr>
          <w:sz w:val="24"/>
          <w:szCs w:val="32"/>
        </w:rPr>
      </w:pPr>
      <w:r>
        <w:rPr>
          <w:sz w:val="24"/>
          <w:szCs w:val="32"/>
        </w:rPr>
        <w:t xml:space="preserve">                  </w:t>
      </w:r>
    </w:p>
    <w:p w:rsidR="00000000" w:rsidRDefault="006E4D11">
      <w:pPr>
        <w:adjustRightInd w:val="0"/>
        <w:snapToGrid w:val="0"/>
        <w:spacing w:line="360" w:lineRule="auto"/>
        <w:ind w:firstLineChars="1200" w:firstLine="2880"/>
        <w:rPr>
          <w:sz w:val="24"/>
          <w:szCs w:val="32"/>
        </w:rPr>
      </w:pPr>
    </w:p>
    <w:p w:rsidR="00000000" w:rsidRDefault="006E4D11">
      <w:pPr>
        <w:spacing w:line="240" w:lineRule="atLeast"/>
        <w:ind w:left="360"/>
        <w:rPr>
          <w:rFonts w:eastAsia="黑体"/>
          <w:sz w:val="24"/>
          <w:szCs w:val="32"/>
        </w:rPr>
      </w:pPr>
    </w:p>
    <w:p w:rsidR="00000000" w:rsidRDefault="006E4D11">
      <w:pPr>
        <w:spacing w:line="240" w:lineRule="atLeast"/>
        <w:ind w:left="360"/>
        <w:rPr>
          <w:rFonts w:eastAsia="黑体"/>
          <w:sz w:val="24"/>
          <w:szCs w:val="32"/>
        </w:rPr>
      </w:pPr>
    </w:p>
    <w:p w:rsidR="00000000" w:rsidRDefault="006E4D11">
      <w:pPr>
        <w:spacing w:line="240" w:lineRule="atLeast"/>
        <w:ind w:left="360"/>
        <w:rPr>
          <w:rFonts w:eastAsia="黑体"/>
          <w:sz w:val="24"/>
          <w:szCs w:val="32"/>
        </w:rPr>
      </w:pPr>
    </w:p>
    <w:p w:rsidR="00000000" w:rsidRDefault="006E4D11">
      <w:pPr>
        <w:spacing w:line="240" w:lineRule="atLeast"/>
        <w:ind w:left="360"/>
        <w:jc w:val="right"/>
        <w:rPr>
          <w:sz w:val="24"/>
          <w:szCs w:val="32"/>
        </w:rPr>
      </w:pPr>
    </w:p>
    <w:p w:rsidR="00000000" w:rsidRDefault="006E4D11">
      <w:pPr>
        <w:spacing w:line="240" w:lineRule="atLeast"/>
        <w:ind w:left="360"/>
        <w:jc w:val="right"/>
        <w:rPr>
          <w:sz w:val="24"/>
          <w:szCs w:val="32"/>
        </w:rPr>
      </w:pPr>
      <w:r>
        <w:rPr>
          <w:sz w:val="24"/>
          <w:szCs w:val="32"/>
        </w:rPr>
        <w:t>华泰联合证券有限责任公司</w:t>
      </w:r>
    </w:p>
    <w:p w:rsidR="00000000" w:rsidRDefault="006E4D11">
      <w:pPr>
        <w:spacing w:line="240" w:lineRule="atLeast"/>
        <w:ind w:left="360"/>
        <w:rPr>
          <w:sz w:val="24"/>
          <w:szCs w:val="32"/>
        </w:rPr>
      </w:pPr>
      <w:r>
        <w:rPr>
          <w:sz w:val="24"/>
          <w:szCs w:val="32"/>
        </w:rPr>
        <w:t xml:space="preserve">                                                      </w:t>
      </w:r>
    </w:p>
    <w:p w:rsidR="00000000" w:rsidRDefault="006E4D11">
      <w:pPr>
        <w:spacing w:line="240" w:lineRule="atLeast"/>
        <w:rPr>
          <w:sz w:val="24"/>
          <w:szCs w:val="32"/>
        </w:rPr>
      </w:pPr>
    </w:p>
    <w:p w:rsidR="00000000" w:rsidRDefault="006E4D11">
      <w:pPr>
        <w:spacing w:line="240" w:lineRule="atLeast"/>
        <w:jc w:val="right"/>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p w:rsidR="006E4D11" w:rsidRDefault="006E4D11"/>
    <w:sectPr w:rsidR="006E4D11">
      <w:footerReference w:type="even" r:id="rId8"/>
      <w:footerReference w:type="default" r:id="rId9"/>
      <w:headerReference w:type="firs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D11" w:rsidRDefault="006E4D11">
      <w:r>
        <w:separator/>
      </w:r>
    </w:p>
  </w:endnote>
  <w:endnote w:type="continuationSeparator" w:id="0">
    <w:p w:rsidR="006E4D11" w:rsidRDefault="006E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4D1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00000" w:rsidRDefault="006E4D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4D11">
    <w:pPr>
      <w:pStyle w:val="a6"/>
      <w:jc w:val="center"/>
    </w:pPr>
    <w:r>
      <w:fldChar w:fldCharType="begin"/>
    </w:r>
    <w:r>
      <w:instrText>PAGE   \* MERGEFORMAT</w:instrText>
    </w:r>
    <w:r>
      <w:fldChar w:fldCharType="separate"/>
    </w:r>
    <w:r w:rsidR="00C04C4B" w:rsidRPr="00C04C4B">
      <w:rPr>
        <w:noProof/>
        <w:lang w:val="zh-CN" w:eastAsia="zh-CN"/>
      </w:rPr>
      <w:t>2</w:t>
    </w:r>
    <w:r>
      <w:fldChar w:fldCharType="end"/>
    </w:r>
  </w:p>
  <w:p w:rsidR="00000000" w:rsidRDefault="006E4D1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D11" w:rsidRDefault="006E4D11">
      <w:r>
        <w:separator/>
      </w:r>
    </w:p>
  </w:footnote>
  <w:footnote w:type="continuationSeparator" w:id="0">
    <w:p w:rsidR="006E4D11" w:rsidRDefault="006E4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4D1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egacy w:legacy="1" w:legacySpace="0" w:legacyIndent="425"/>
      <w:lvlJc w:val="left"/>
      <w:pPr>
        <w:ind w:left="425" w:hanging="425"/>
      </w:pPr>
    </w:lvl>
    <w:lvl w:ilvl="1">
      <w:start w:val="1"/>
      <w:numFmt w:val="upperLetter"/>
      <w:lvlText w:val="%2."/>
      <w:legacy w:legacy="1" w:legacySpace="0" w:legacyIndent="425"/>
      <w:lvlJc w:val="left"/>
      <w:pPr>
        <w:ind w:left="850" w:hanging="425"/>
      </w:pPr>
    </w:lvl>
    <w:lvl w:ilvl="2">
      <w:start w:val="1"/>
      <w:numFmt w:val="decimal"/>
      <w:lvlText w:val="%3."/>
      <w:legacy w:legacy="1" w:legacySpace="0" w:legacyIndent="425"/>
      <w:lvlJc w:val="left"/>
      <w:pPr>
        <w:ind w:hanging="425"/>
      </w:pPr>
    </w:lvl>
    <w:lvl w:ilvl="3">
      <w:start w:val="1"/>
      <w:numFmt w:val="lowerLetter"/>
      <w:lvlText w:val="%4)"/>
      <w:legacy w:legacy="1" w:legacySpace="0" w:legacyIndent="425"/>
      <w:lvlJc w:val="left"/>
      <w:pPr>
        <w:ind w:left="1700" w:hanging="425"/>
      </w:pPr>
    </w:lvl>
    <w:lvl w:ilvl="4">
      <w:start w:val="1"/>
      <w:numFmt w:val="decimal"/>
      <w:lvlText w:val="(%5)"/>
      <w:legacy w:legacy="1" w:legacySpace="0" w:legacyIndent="425"/>
      <w:lvlJc w:val="left"/>
      <w:pPr>
        <w:ind w:left="2125" w:hanging="425"/>
      </w:pPr>
    </w:lvl>
    <w:lvl w:ilvl="5">
      <w:start w:val="1"/>
      <w:numFmt w:val="lowerLetter"/>
      <w:lvlText w:val="(%6)"/>
      <w:legacy w:legacy="1" w:legacySpace="0" w:legacyIndent="425"/>
      <w:lvlJc w:val="left"/>
      <w:pPr>
        <w:ind w:left="2550" w:hanging="425"/>
      </w:pPr>
    </w:lvl>
    <w:lvl w:ilvl="6">
      <w:start w:val="1"/>
      <w:numFmt w:val="lowerRoman"/>
      <w:lvlText w:val="(%7)"/>
      <w:legacy w:legacy="1" w:legacySpace="1" w:legacyIndent="425"/>
      <w:lvlJc w:val="left"/>
      <w:pPr>
        <w:ind w:left="2975" w:hanging="425"/>
      </w:pPr>
    </w:lvl>
    <w:lvl w:ilvl="7">
      <w:start w:val="1"/>
      <w:numFmt w:val="lowerLetter"/>
      <w:lvlText w:val="(%8)"/>
      <w:legacy w:legacy="1" w:legacySpace="0" w:legacyIndent="425"/>
      <w:lvlJc w:val="left"/>
      <w:pPr>
        <w:ind w:left="3400" w:hanging="425"/>
      </w:pPr>
    </w:lvl>
    <w:lvl w:ilvl="8">
      <w:start w:val="1"/>
      <w:numFmt w:val="lowerRoman"/>
      <w:lvlText w:val="(%9)"/>
      <w:legacy w:legacy="1" w:legacySpace="0" w:legacyIndent="425"/>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2B"/>
    <w:rsid w:val="0001081F"/>
    <w:rsid w:val="00011497"/>
    <w:rsid w:val="0001150F"/>
    <w:rsid w:val="000176CD"/>
    <w:rsid w:val="0003617C"/>
    <w:rsid w:val="00043864"/>
    <w:rsid w:val="00044EA8"/>
    <w:rsid w:val="00060E20"/>
    <w:rsid w:val="00066D31"/>
    <w:rsid w:val="000673AE"/>
    <w:rsid w:val="00083440"/>
    <w:rsid w:val="0008555E"/>
    <w:rsid w:val="00094103"/>
    <w:rsid w:val="000A2CFB"/>
    <w:rsid w:val="000C23E9"/>
    <w:rsid w:val="000C3880"/>
    <w:rsid w:val="000E1DB0"/>
    <w:rsid w:val="000F18EA"/>
    <w:rsid w:val="00102FBF"/>
    <w:rsid w:val="0010387B"/>
    <w:rsid w:val="001161E3"/>
    <w:rsid w:val="00131A0D"/>
    <w:rsid w:val="00144F19"/>
    <w:rsid w:val="00145CDB"/>
    <w:rsid w:val="00146A5B"/>
    <w:rsid w:val="001554A8"/>
    <w:rsid w:val="001721A1"/>
    <w:rsid w:val="00190105"/>
    <w:rsid w:val="001902B5"/>
    <w:rsid w:val="00191740"/>
    <w:rsid w:val="0019292B"/>
    <w:rsid w:val="00194A70"/>
    <w:rsid w:val="001B0C96"/>
    <w:rsid w:val="001B2407"/>
    <w:rsid w:val="001B6478"/>
    <w:rsid w:val="001C0EF6"/>
    <w:rsid w:val="001C4446"/>
    <w:rsid w:val="001D0A78"/>
    <w:rsid w:val="001D0EFD"/>
    <w:rsid w:val="001D1FAF"/>
    <w:rsid w:val="001D711F"/>
    <w:rsid w:val="001E7E7C"/>
    <w:rsid w:val="001F0A14"/>
    <w:rsid w:val="001F15A8"/>
    <w:rsid w:val="001F1DFC"/>
    <w:rsid w:val="001F500F"/>
    <w:rsid w:val="001F7D5E"/>
    <w:rsid w:val="00207230"/>
    <w:rsid w:val="00215C3F"/>
    <w:rsid w:val="00215DD8"/>
    <w:rsid w:val="0022613A"/>
    <w:rsid w:val="00231990"/>
    <w:rsid w:val="00235BD1"/>
    <w:rsid w:val="0024553D"/>
    <w:rsid w:val="00247547"/>
    <w:rsid w:val="002506C0"/>
    <w:rsid w:val="00250A26"/>
    <w:rsid w:val="00252E51"/>
    <w:rsid w:val="0025404A"/>
    <w:rsid w:val="0026710C"/>
    <w:rsid w:val="0027030C"/>
    <w:rsid w:val="00273095"/>
    <w:rsid w:val="0027381A"/>
    <w:rsid w:val="00277A99"/>
    <w:rsid w:val="00280F41"/>
    <w:rsid w:val="00284FA4"/>
    <w:rsid w:val="00293031"/>
    <w:rsid w:val="002A1222"/>
    <w:rsid w:val="002A2B92"/>
    <w:rsid w:val="002A392F"/>
    <w:rsid w:val="002B788F"/>
    <w:rsid w:val="002D66A1"/>
    <w:rsid w:val="002E4D04"/>
    <w:rsid w:val="002F0122"/>
    <w:rsid w:val="002F6623"/>
    <w:rsid w:val="002F6AAC"/>
    <w:rsid w:val="00310F75"/>
    <w:rsid w:val="00316B53"/>
    <w:rsid w:val="003211FC"/>
    <w:rsid w:val="003408EC"/>
    <w:rsid w:val="0034500C"/>
    <w:rsid w:val="00345A67"/>
    <w:rsid w:val="0036484C"/>
    <w:rsid w:val="00371560"/>
    <w:rsid w:val="003779A6"/>
    <w:rsid w:val="00381474"/>
    <w:rsid w:val="0038736C"/>
    <w:rsid w:val="00392681"/>
    <w:rsid w:val="00394107"/>
    <w:rsid w:val="00397C21"/>
    <w:rsid w:val="003A014B"/>
    <w:rsid w:val="003A1EB7"/>
    <w:rsid w:val="003A446A"/>
    <w:rsid w:val="003A4BFD"/>
    <w:rsid w:val="003A5024"/>
    <w:rsid w:val="003C3AC9"/>
    <w:rsid w:val="003D1A72"/>
    <w:rsid w:val="003D34A6"/>
    <w:rsid w:val="003E0525"/>
    <w:rsid w:val="003E4E5C"/>
    <w:rsid w:val="004128AC"/>
    <w:rsid w:val="00425908"/>
    <w:rsid w:val="0044312B"/>
    <w:rsid w:val="00443CAD"/>
    <w:rsid w:val="00443E45"/>
    <w:rsid w:val="0046227D"/>
    <w:rsid w:val="004629F7"/>
    <w:rsid w:val="00464329"/>
    <w:rsid w:val="004647FE"/>
    <w:rsid w:val="0047024C"/>
    <w:rsid w:val="004717EE"/>
    <w:rsid w:val="00472C0B"/>
    <w:rsid w:val="004946A0"/>
    <w:rsid w:val="00495309"/>
    <w:rsid w:val="00497EF4"/>
    <w:rsid w:val="004A06B1"/>
    <w:rsid w:val="004A3372"/>
    <w:rsid w:val="004B0D78"/>
    <w:rsid w:val="004B72B7"/>
    <w:rsid w:val="004D222C"/>
    <w:rsid w:val="004D529D"/>
    <w:rsid w:val="004E12FB"/>
    <w:rsid w:val="004E2B73"/>
    <w:rsid w:val="004F3545"/>
    <w:rsid w:val="00501411"/>
    <w:rsid w:val="005020D1"/>
    <w:rsid w:val="005071D1"/>
    <w:rsid w:val="005145D4"/>
    <w:rsid w:val="00527577"/>
    <w:rsid w:val="00533E55"/>
    <w:rsid w:val="00545427"/>
    <w:rsid w:val="0054704D"/>
    <w:rsid w:val="005526E3"/>
    <w:rsid w:val="00553DD4"/>
    <w:rsid w:val="005579FC"/>
    <w:rsid w:val="005601E4"/>
    <w:rsid w:val="00564FFA"/>
    <w:rsid w:val="00582D29"/>
    <w:rsid w:val="00594F63"/>
    <w:rsid w:val="005A3891"/>
    <w:rsid w:val="005A48D2"/>
    <w:rsid w:val="005B61B2"/>
    <w:rsid w:val="005C7FBF"/>
    <w:rsid w:val="005E59E8"/>
    <w:rsid w:val="005E62F9"/>
    <w:rsid w:val="0060362D"/>
    <w:rsid w:val="00615F98"/>
    <w:rsid w:val="00616520"/>
    <w:rsid w:val="00624A0C"/>
    <w:rsid w:val="00625505"/>
    <w:rsid w:val="006277F6"/>
    <w:rsid w:val="006435C9"/>
    <w:rsid w:val="00646B33"/>
    <w:rsid w:val="00650EA0"/>
    <w:rsid w:val="00653510"/>
    <w:rsid w:val="00655FC3"/>
    <w:rsid w:val="0066649C"/>
    <w:rsid w:val="00685C67"/>
    <w:rsid w:val="006945A1"/>
    <w:rsid w:val="00695C6B"/>
    <w:rsid w:val="0069654C"/>
    <w:rsid w:val="006A1B96"/>
    <w:rsid w:val="006B37B3"/>
    <w:rsid w:val="006B4416"/>
    <w:rsid w:val="006B4DA7"/>
    <w:rsid w:val="006C09CA"/>
    <w:rsid w:val="006C15A9"/>
    <w:rsid w:val="006E02CE"/>
    <w:rsid w:val="006E0573"/>
    <w:rsid w:val="006E4D11"/>
    <w:rsid w:val="00701F12"/>
    <w:rsid w:val="007105C6"/>
    <w:rsid w:val="007141E5"/>
    <w:rsid w:val="00715EFE"/>
    <w:rsid w:val="00721345"/>
    <w:rsid w:val="00721881"/>
    <w:rsid w:val="00724AC0"/>
    <w:rsid w:val="00733AA6"/>
    <w:rsid w:val="007349E4"/>
    <w:rsid w:val="0075193A"/>
    <w:rsid w:val="00763C1E"/>
    <w:rsid w:val="00776563"/>
    <w:rsid w:val="0077780B"/>
    <w:rsid w:val="00782053"/>
    <w:rsid w:val="007915D4"/>
    <w:rsid w:val="007942E9"/>
    <w:rsid w:val="007B5925"/>
    <w:rsid w:val="007C1C3B"/>
    <w:rsid w:val="007C5B2B"/>
    <w:rsid w:val="007C61F6"/>
    <w:rsid w:val="007D0CC9"/>
    <w:rsid w:val="007D4DA2"/>
    <w:rsid w:val="007D7AB3"/>
    <w:rsid w:val="007E179F"/>
    <w:rsid w:val="007E4066"/>
    <w:rsid w:val="007E5B3E"/>
    <w:rsid w:val="007E79C8"/>
    <w:rsid w:val="007F607A"/>
    <w:rsid w:val="00804ED3"/>
    <w:rsid w:val="00814357"/>
    <w:rsid w:val="00817951"/>
    <w:rsid w:val="0082054F"/>
    <w:rsid w:val="008231DD"/>
    <w:rsid w:val="00825704"/>
    <w:rsid w:val="00844C6D"/>
    <w:rsid w:val="008466AA"/>
    <w:rsid w:val="00847599"/>
    <w:rsid w:val="00875987"/>
    <w:rsid w:val="00877F15"/>
    <w:rsid w:val="008846A1"/>
    <w:rsid w:val="00884DBF"/>
    <w:rsid w:val="008865AF"/>
    <w:rsid w:val="0089620C"/>
    <w:rsid w:val="008A0ED9"/>
    <w:rsid w:val="008A10CA"/>
    <w:rsid w:val="008A5B4B"/>
    <w:rsid w:val="008B1D9A"/>
    <w:rsid w:val="008B3646"/>
    <w:rsid w:val="008B647B"/>
    <w:rsid w:val="008B7FC2"/>
    <w:rsid w:val="008C1A59"/>
    <w:rsid w:val="008D340E"/>
    <w:rsid w:val="008D3699"/>
    <w:rsid w:val="008F2441"/>
    <w:rsid w:val="00900DED"/>
    <w:rsid w:val="0090454C"/>
    <w:rsid w:val="00906898"/>
    <w:rsid w:val="00910A3E"/>
    <w:rsid w:val="0093460F"/>
    <w:rsid w:val="0093482E"/>
    <w:rsid w:val="00937563"/>
    <w:rsid w:val="009401ED"/>
    <w:rsid w:val="0095311D"/>
    <w:rsid w:val="00960373"/>
    <w:rsid w:val="00961E54"/>
    <w:rsid w:val="00962A41"/>
    <w:rsid w:val="009667A1"/>
    <w:rsid w:val="00970755"/>
    <w:rsid w:val="009849D6"/>
    <w:rsid w:val="00984F21"/>
    <w:rsid w:val="0098507B"/>
    <w:rsid w:val="00994912"/>
    <w:rsid w:val="009A0C10"/>
    <w:rsid w:val="009A36B8"/>
    <w:rsid w:val="009B21FD"/>
    <w:rsid w:val="009C49FB"/>
    <w:rsid w:val="009D6549"/>
    <w:rsid w:val="009E51D2"/>
    <w:rsid w:val="009E7D40"/>
    <w:rsid w:val="009F151C"/>
    <w:rsid w:val="00A06E94"/>
    <w:rsid w:val="00A13329"/>
    <w:rsid w:val="00A16349"/>
    <w:rsid w:val="00A16E35"/>
    <w:rsid w:val="00A23A9F"/>
    <w:rsid w:val="00A25F65"/>
    <w:rsid w:val="00A25F79"/>
    <w:rsid w:val="00A40C17"/>
    <w:rsid w:val="00A42C51"/>
    <w:rsid w:val="00A432F1"/>
    <w:rsid w:val="00A52520"/>
    <w:rsid w:val="00A87CF0"/>
    <w:rsid w:val="00AA3728"/>
    <w:rsid w:val="00AB23C4"/>
    <w:rsid w:val="00AB2CD3"/>
    <w:rsid w:val="00AB4E77"/>
    <w:rsid w:val="00AC70D1"/>
    <w:rsid w:val="00AD0B84"/>
    <w:rsid w:val="00AD6AB7"/>
    <w:rsid w:val="00AE196A"/>
    <w:rsid w:val="00B03177"/>
    <w:rsid w:val="00B04B49"/>
    <w:rsid w:val="00B3597D"/>
    <w:rsid w:val="00B41923"/>
    <w:rsid w:val="00B43B2B"/>
    <w:rsid w:val="00B50473"/>
    <w:rsid w:val="00B51F86"/>
    <w:rsid w:val="00B64FC4"/>
    <w:rsid w:val="00B85A97"/>
    <w:rsid w:val="00B87EE1"/>
    <w:rsid w:val="00B916C9"/>
    <w:rsid w:val="00B92207"/>
    <w:rsid w:val="00BA7F6B"/>
    <w:rsid w:val="00BB64DA"/>
    <w:rsid w:val="00BC713B"/>
    <w:rsid w:val="00BD0C6F"/>
    <w:rsid w:val="00BD67A9"/>
    <w:rsid w:val="00BE13D3"/>
    <w:rsid w:val="00BF2A85"/>
    <w:rsid w:val="00BF4A58"/>
    <w:rsid w:val="00BF6B72"/>
    <w:rsid w:val="00C031B4"/>
    <w:rsid w:val="00C04C4B"/>
    <w:rsid w:val="00C2637B"/>
    <w:rsid w:val="00C34702"/>
    <w:rsid w:val="00C421EB"/>
    <w:rsid w:val="00C50EF9"/>
    <w:rsid w:val="00C52109"/>
    <w:rsid w:val="00C56A83"/>
    <w:rsid w:val="00C574B1"/>
    <w:rsid w:val="00C934C8"/>
    <w:rsid w:val="00C96F88"/>
    <w:rsid w:val="00CA6397"/>
    <w:rsid w:val="00CB52DA"/>
    <w:rsid w:val="00CC07C3"/>
    <w:rsid w:val="00CC6BF4"/>
    <w:rsid w:val="00CF5293"/>
    <w:rsid w:val="00D04DDA"/>
    <w:rsid w:val="00D06900"/>
    <w:rsid w:val="00D10144"/>
    <w:rsid w:val="00D1434D"/>
    <w:rsid w:val="00D15BDA"/>
    <w:rsid w:val="00D1607C"/>
    <w:rsid w:val="00D311D1"/>
    <w:rsid w:val="00D31F23"/>
    <w:rsid w:val="00D37677"/>
    <w:rsid w:val="00D56DAC"/>
    <w:rsid w:val="00D66D05"/>
    <w:rsid w:val="00D845CF"/>
    <w:rsid w:val="00DA027F"/>
    <w:rsid w:val="00DA0E8F"/>
    <w:rsid w:val="00DA322E"/>
    <w:rsid w:val="00DA4019"/>
    <w:rsid w:val="00DC2497"/>
    <w:rsid w:val="00DC6072"/>
    <w:rsid w:val="00DD7132"/>
    <w:rsid w:val="00DE08CE"/>
    <w:rsid w:val="00DE1493"/>
    <w:rsid w:val="00DE7A49"/>
    <w:rsid w:val="00DF1168"/>
    <w:rsid w:val="00DF4BF7"/>
    <w:rsid w:val="00DF7D4F"/>
    <w:rsid w:val="00E05E0D"/>
    <w:rsid w:val="00E14A7F"/>
    <w:rsid w:val="00E240EB"/>
    <w:rsid w:val="00E27A8B"/>
    <w:rsid w:val="00E37F99"/>
    <w:rsid w:val="00E43CA8"/>
    <w:rsid w:val="00E452B2"/>
    <w:rsid w:val="00E460BD"/>
    <w:rsid w:val="00E53380"/>
    <w:rsid w:val="00E82478"/>
    <w:rsid w:val="00E86ECC"/>
    <w:rsid w:val="00EA7F17"/>
    <w:rsid w:val="00EB3887"/>
    <w:rsid w:val="00EC7FA8"/>
    <w:rsid w:val="00F07D46"/>
    <w:rsid w:val="00F203B3"/>
    <w:rsid w:val="00F26E58"/>
    <w:rsid w:val="00F34277"/>
    <w:rsid w:val="00F412DA"/>
    <w:rsid w:val="00F4162D"/>
    <w:rsid w:val="00F47757"/>
    <w:rsid w:val="00F541D8"/>
    <w:rsid w:val="00F80028"/>
    <w:rsid w:val="00F83A2C"/>
    <w:rsid w:val="00F9133C"/>
    <w:rsid w:val="00FA4D4F"/>
    <w:rsid w:val="00FC5F08"/>
    <w:rsid w:val="00FC67CD"/>
    <w:rsid w:val="00FD67E5"/>
    <w:rsid w:val="00FE016B"/>
    <w:rsid w:val="00FE4883"/>
    <w:rsid w:val="00FE66E7"/>
    <w:rsid w:val="00FF3435"/>
    <w:rsid w:val="00FF4E30"/>
    <w:rsid w:val="00FF5A2E"/>
    <w:rsid w:val="2B3758CC"/>
    <w:rsid w:val="36A0363B"/>
    <w:rsid w:val="5AA75D1B"/>
    <w:rsid w:val="5ADC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qFormat/>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6">
    <w:name w:val="heading 6"/>
    <w:basedOn w:val="a"/>
    <w:next w:val="a"/>
    <w:qFormat/>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qFormat/>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rPr>
      <w:b/>
      <w:bCs/>
      <w:kern w:val="2"/>
      <w:sz w:val="32"/>
      <w:szCs w:val="32"/>
    </w:rPr>
  </w:style>
  <w:style w:type="paragraph" w:styleId="a3">
    <w:name w:val="Document Map"/>
    <w:basedOn w:val="a"/>
    <w:semiHidden/>
    <w:pPr>
      <w:shd w:val="clear" w:color="auto" w:fill="000080"/>
    </w:pPr>
  </w:style>
  <w:style w:type="paragraph" w:styleId="a4">
    <w:name w:val="Date"/>
    <w:basedOn w:val="a"/>
    <w:next w:val="a"/>
    <w:pPr>
      <w:ind w:leftChars="2500" w:left="100"/>
    </w:pPr>
    <w:rPr>
      <w:rFonts w:ascii="黑体" w:eastAsia="黑体" w:hAnsi="宋体"/>
      <w:sz w:val="24"/>
    </w:rPr>
  </w:style>
  <w:style w:type="paragraph" w:styleId="a5">
    <w:name w:val="Balloon Text"/>
    <w:basedOn w:val="a"/>
    <w:link w:val="Char"/>
    <w:rPr>
      <w:sz w:val="18"/>
      <w:szCs w:val="18"/>
    </w:rPr>
  </w:style>
  <w:style w:type="character" w:customStyle="1" w:styleId="Char">
    <w:name w:val="批注框文本 Char"/>
    <w:link w:val="a5"/>
    <w:rPr>
      <w:kern w:val="2"/>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6"/>
    <w:uiPriority w:val="99"/>
    <w:rPr>
      <w:kern w:val="2"/>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99"/>
    <w:rPr>
      <w:rFonts w:ascii="TimesNewRomanPSMT" w:hAnsi="TimesNewRomanPSMT" w:cs="TimesNewRomanPS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tyle>
  <w:style w:type="paragraph" w:customStyle="1" w:styleId="1">
    <w:name w:val="样式1"/>
    <w:basedOn w:val="2"/>
    <w:pPr>
      <w:spacing w:before="240" w:after="0" w:line="360" w:lineRule="auto"/>
      <w:ind w:firstLine="482"/>
    </w:pPr>
    <w:rPr>
      <w:rFonts w:ascii="宋体" w:eastAsia="宋体" w:hAnsi="Times New Roman"/>
      <w:b w:val="0"/>
      <w:bCs w:val="0"/>
      <w:sz w:val="24"/>
      <w:szCs w:val="20"/>
    </w:rPr>
  </w:style>
  <w:style w:type="paragraph" w:customStyle="1" w:styleId="aa">
    <w:name w:val="中文文本"/>
    <w:basedOn w:val="a"/>
    <w:pPr>
      <w:autoSpaceDE w:val="0"/>
      <w:autoSpaceDN w:val="0"/>
      <w:adjustRightInd w:val="0"/>
      <w:spacing w:before="120" w:after="120"/>
      <w:textAlignment w:val="baseline"/>
    </w:pPr>
    <w:rPr>
      <w:kern w:val="0"/>
      <w:sz w:val="24"/>
      <w:szCs w:val="21"/>
    </w:rPr>
  </w:style>
  <w:style w:type="paragraph" w:customStyle="1" w:styleId="Char1">
    <w:name w:val="Char"/>
    <w:basedOn w:val="a"/>
    <w:pPr>
      <w:widowControl/>
      <w:spacing w:after="160" w:line="240" w:lineRule="exact"/>
      <w:jc w:val="left"/>
    </w:pPr>
    <w:rPr>
      <w:rFonts w:ascii="Verdana" w:hAnsi="Verdana"/>
      <w:kern w:val="0"/>
      <w:sz w:val="20"/>
      <w:szCs w:val="20"/>
      <w:lang w:eastAsia="en-US"/>
    </w:rPr>
  </w:style>
  <w:style w:type="paragraph" w:customStyle="1" w:styleId="PlainText">
    <w:name w:val="Plain Text"/>
    <w:basedOn w:val="a"/>
    <w:pPr>
      <w:autoSpaceDE w:val="0"/>
      <w:autoSpaceDN w:val="0"/>
      <w:adjustRightInd w:val="0"/>
      <w:textAlignment w:val="baseline"/>
    </w:pPr>
    <w:rPr>
      <w:rFonts w:ascii="宋体"/>
      <w:szCs w:val="20"/>
    </w:rPr>
  </w:style>
  <w:style w:type="paragraph" w:customStyle="1" w:styleId="ab">
    <w:name w:val="表格文字"/>
    <w:basedOn w:val="a"/>
    <w:pPr>
      <w:snapToGrid w:val="0"/>
      <w:jc w:val="center"/>
    </w:pPr>
    <w:rPr>
      <w:rFonts w:ascii="宋体" w:hAnsi="Arial"/>
      <w:szCs w:val="20"/>
    </w:rPr>
  </w:style>
  <w:style w:type="paragraph" w:customStyle="1" w:styleId="ac">
    <w:name w:val="表格 五号"/>
    <w:basedOn w:val="a"/>
    <w:pPr>
      <w:adjustRightInd w:val="0"/>
      <w:snapToGrid w:val="0"/>
      <w:spacing w:line="320" w:lineRule="exact"/>
      <w:jc w:val="center"/>
    </w:pPr>
    <w:rPr>
      <w:color w:val="000000"/>
      <w:szCs w:val="20"/>
    </w:rPr>
  </w:style>
  <w:style w:type="paragraph" w:customStyle="1" w:styleId="ad">
    <w:name w:val="正文格式"/>
    <w:basedOn w:val="a"/>
    <w:link w:val="CharChar"/>
    <w:uiPriority w:val="99"/>
    <w:qFormat/>
    <w:pPr>
      <w:adjustRightInd w:val="0"/>
      <w:snapToGrid w:val="0"/>
      <w:spacing w:before="50" w:line="360" w:lineRule="auto"/>
      <w:ind w:firstLineChars="200" w:firstLine="200"/>
    </w:pPr>
    <w:rPr>
      <w:sz w:val="24"/>
    </w:rPr>
  </w:style>
  <w:style w:type="character" w:customStyle="1" w:styleId="CharChar">
    <w:name w:val="正文格式 Char Char"/>
    <w:link w:val="ad"/>
    <w:uiPriority w:val="99"/>
    <w:locked/>
    <w:rPr>
      <w:kern w:val="2"/>
      <w:sz w:val="24"/>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qFormat/>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6">
    <w:name w:val="heading 6"/>
    <w:basedOn w:val="a"/>
    <w:next w:val="a"/>
    <w:qFormat/>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qFormat/>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rPr>
      <w:b/>
      <w:bCs/>
      <w:kern w:val="2"/>
      <w:sz w:val="32"/>
      <w:szCs w:val="32"/>
    </w:rPr>
  </w:style>
  <w:style w:type="paragraph" w:styleId="a3">
    <w:name w:val="Document Map"/>
    <w:basedOn w:val="a"/>
    <w:semiHidden/>
    <w:pPr>
      <w:shd w:val="clear" w:color="auto" w:fill="000080"/>
    </w:pPr>
  </w:style>
  <w:style w:type="paragraph" w:styleId="a4">
    <w:name w:val="Date"/>
    <w:basedOn w:val="a"/>
    <w:next w:val="a"/>
    <w:pPr>
      <w:ind w:leftChars="2500" w:left="100"/>
    </w:pPr>
    <w:rPr>
      <w:rFonts w:ascii="黑体" w:eastAsia="黑体" w:hAnsi="宋体"/>
      <w:sz w:val="24"/>
    </w:rPr>
  </w:style>
  <w:style w:type="paragraph" w:styleId="a5">
    <w:name w:val="Balloon Text"/>
    <w:basedOn w:val="a"/>
    <w:link w:val="Char"/>
    <w:rPr>
      <w:sz w:val="18"/>
      <w:szCs w:val="18"/>
    </w:rPr>
  </w:style>
  <w:style w:type="character" w:customStyle="1" w:styleId="Char">
    <w:name w:val="批注框文本 Char"/>
    <w:link w:val="a5"/>
    <w:rPr>
      <w:kern w:val="2"/>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6"/>
    <w:uiPriority w:val="99"/>
    <w:rPr>
      <w:kern w:val="2"/>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99"/>
    <w:rPr>
      <w:rFonts w:ascii="TimesNewRomanPSMT" w:hAnsi="TimesNewRomanPSMT" w:cs="TimesNewRomanPS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tyle>
  <w:style w:type="paragraph" w:customStyle="1" w:styleId="1">
    <w:name w:val="样式1"/>
    <w:basedOn w:val="2"/>
    <w:pPr>
      <w:spacing w:before="240" w:after="0" w:line="360" w:lineRule="auto"/>
      <w:ind w:firstLine="482"/>
    </w:pPr>
    <w:rPr>
      <w:rFonts w:ascii="宋体" w:eastAsia="宋体" w:hAnsi="Times New Roman"/>
      <w:b w:val="0"/>
      <w:bCs w:val="0"/>
      <w:sz w:val="24"/>
      <w:szCs w:val="20"/>
    </w:rPr>
  </w:style>
  <w:style w:type="paragraph" w:customStyle="1" w:styleId="aa">
    <w:name w:val="中文文本"/>
    <w:basedOn w:val="a"/>
    <w:pPr>
      <w:autoSpaceDE w:val="0"/>
      <w:autoSpaceDN w:val="0"/>
      <w:adjustRightInd w:val="0"/>
      <w:spacing w:before="120" w:after="120"/>
      <w:textAlignment w:val="baseline"/>
    </w:pPr>
    <w:rPr>
      <w:kern w:val="0"/>
      <w:sz w:val="24"/>
      <w:szCs w:val="21"/>
    </w:rPr>
  </w:style>
  <w:style w:type="paragraph" w:customStyle="1" w:styleId="Char1">
    <w:name w:val="Char"/>
    <w:basedOn w:val="a"/>
    <w:pPr>
      <w:widowControl/>
      <w:spacing w:after="160" w:line="240" w:lineRule="exact"/>
      <w:jc w:val="left"/>
    </w:pPr>
    <w:rPr>
      <w:rFonts w:ascii="Verdana" w:hAnsi="Verdana"/>
      <w:kern w:val="0"/>
      <w:sz w:val="20"/>
      <w:szCs w:val="20"/>
      <w:lang w:eastAsia="en-US"/>
    </w:rPr>
  </w:style>
  <w:style w:type="paragraph" w:customStyle="1" w:styleId="PlainText">
    <w:name w:val="Plain Text"/>
    <w:basedOn w:val="a"/>
    <w:pPr>
      <w:autoSpaceDE w:val="0"/>
      <w:autoSpaceDN w:val="0"/>
      <w:adjustRightInd w:val="0"/>
      <w:textAlignment w:val="baseline"/>
    </w:pPr>
    <w:rPr>
      <w:rFonts w:ascii="宋体"/>
      <w:szCs w:val="20"/>
    </w:rPr>
  </w:style>
  <w:style w:type="paragraph" w:customStyle="1" w:styleId="ab">
    <w:name w:val="表格文字"/>
    <w:basedOn w:val="a"/>
    <w:pPr>
      <w:snapToGrid w:val="0"/>
      <w:jc w:val="center"/>
    </w:pPr>
    <w:rPr>
      <w:rFonts w:ascii="宋体" w:hAnsi="Arial"/>
      <w:szCs w:val="20"/>
    </w:rPr>
  </w:style>
  <w:style w:type="paragraph" w:customStyle="1" w:styleId="ac">
    <w:name w:val="表格 五号"/>
    <w:basedOn w:val="a"/>
    <w:pPr>
      <w:adjustRightInd w:val="0"/>
      <w:snapToGrid w:val="0"/>
      <w:spacing w:line="320" w:lineRule="exact"/>
      <w:jc w:val="center"/>
    </w:pPr>
    <w:rPr>
      <w:color w:val="000000"/>
      <w:szCs w:val="20"/>
    </w:rPr>
  </w:style>
  <w:style w:type="paragraph" w:customStyle="1" w:styleId="ad">
    <w:name w:val="正文格式"/>
    <w:basedOn w:val="a"/>
    <w:link w:val="CharChar"/>
    <w:uiPriority w:val="99"/>
    <w:qFormat/>
    <w:pPr>
      <w:adjustRightInd w:val="0"/>
      <w:snapToGrid w:val="0"/>
      <w:spacing w:before="50" w:line="360" w:lineRule="auto"/>
      <w:ind w:firstLineChars="200" w:firstLine="200"/>
    </w:pPr>
    <w:rPr>
      <w:sz w:val="24"/>
    </w:rPr>
  </w:style>
  <w:style w:type="character" w:customStyle="1" w:styleId="CharChar">
    <w:name w:val="正文格式 Char Char"/>
    <w:link w:val="ad"/>
    <w:uiPriority w:val="99"/>
    <w:locked/>
    <w:rPr>
      <w:kern w:val="2"/>
      <w:sz w:val="24"/>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2399</Characters>
  <Application>Microsoft Office Word</Application>
  <DocSecurity>0</DocSecurity>
  <Lines>19</Lines>
  <Paragraphs>5</Paragraphs>
  <ScaleCrop>false</ScaleCrop>
  <Company>华泰联合证券</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IPO上市保荐书</dc:title>
  <dc:creator>联合证券</dc:creator>
  <cp:lastModifiedBy>孙献</cp:lastModifiedBy>
  <cp:revision>2</cp:revision>
  <cp:lastPrinted>2020-10-10T15:15:00Z</cp:lastPrinted>
  <dcterms:created xsi:type="dcterms:W3CDTF">2025-06-20T09:24:00Z</dcterms:created>
  <dcterms:modified xsi:type="dcterms:W3CDTF">2025-06-20T09:24:00Z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eyJoZGlkIjoiYmIwYjU1MDA2ZTI2ODkyODMzNTdjYWIyZmY0ZGVhZmQiLCJ1c2VySWQiOiI0NDcyMTc3ODMifQ==</vt:lpwstr>
  </property>
  <property fmtid="{D5CDD505-2E9C-101B-9397-08002B2CF9AE}" pid="3" name="KSOProductBuildVer">
    <vt:lpwstr>2052-12.1.0.21541</vt:lpwstr>
  </property>
  <property fmtid="{D5CDD505-2E9C-101B-9397-08002B2CF9AE}" pid="4" name="ICV">
    <vt:lpwstr>E17813D93A2E4E63B8E6FE3C3BA67B33_12</vt:lpwstr>
  </property>
</Properties>
</file>