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17BE2">
      <w:pPr>
        <w:spacing w:before="0" w:beforeLines="0" w:after="0" w:afterLines="0" w:line="240" w:lineRule="auto"/>
        <w:ind w:firstLine="0" w:firstLineChars="0"/>
        <w:rPr>
          <w:rFonts w:ascii="宋体" w:hAnsi="宋体"/>
        </w:rPr>
      </w:pPr>
      <w:r>
        <w:rPr>
          <w:rFonts w:hint="eastAsia" w:ascii="宋体" w:hAnsi="宋体"/>
          <w:lang w:bidi="ar"/>
        </w:rPr>
        <w:t>证券代码：</w:t>
      </w:r>
      <w:r>
        <w:rPr>
          <w:lang w:bidi="ar"/>
        </w:rPr>
        <w:t>002042</w:t>
      </w:r>
      <w:r>
        <w:rPr>
          <w:rFonts w:ascii="宋体" w:hAnsi="宋体"/>
          <w:lang w:bidi="ar"/>
        </w:rPr>
        <w:t xml:space="preserve">                                   证券简称：</w:t>
      </w:r>
      <w:r>
        <w:rPr>
          <w:rFonts w:hint="eastAsia" w:ascii="宋体" w:hAnsi="宋体"/>
          <w:lang w:bidi="ar"/>
        </w:rPr>
        <w:t>华孚时尚</w:t>
      </w:r>
    </w:p>
    <w:p w14:paraId="5ACA3D34">
      <w:pPr>
        <w:spacing w:before="156" w:after="156"/>
        <w:ind w:firstLine="0" w:firstLineChars="0"/>
        <w:jc w:val="center"/>
        <w:rPr>
          <w:rFonts w:ascii="宋体" w:hAnsi="宋体"/>
          <w:b/>
          <w:lang w:bidi="ar"/>
        </w:rPr>
      </w:pPr>
    </w:p>
    <w:p w14:paraId="1B9AE542">
      <w:pPr>
        <w:spacing w:before="156" w:after="156"/>
        <w:ind w:firstLine="0" w:firstLineChars="0"/>
        <w:jc w:val="center"/>
        <w:rPr>
          <w:rFonts w:ascii="宋体" w:hAnsi="宋体"/>
          <w:b/>
          <w:lang w:bidi="ar"/>
        </w:rPr>
      </w:pPr>
    </w:p>
    <w:p w14:paraId="2059E800">
      <w:pPr>
        <w:spacing w:before="156" w:after="156"/>
        <w:ind w:firstLine="0" w:firstLineChars="0"/>
        <w:jc w:val="center"/>
        <w:rPr>
          <w:rFonts w:ascii="宋体" w:hAnsi="宋体"/>
          <w:b/>
          <w:lang w:bidi="ar"/>
        </w:rPr>
      </w:pPr>
    </w:p>
    <w:p w14:paraId="3426055E">
      <w:pPr>
        <w:spacing w:before="156" w:after="156"/>
        <w:ind w:firstLine="0" w:firstLineChars="0"/>
        <w:jc w:val="center"/>
        <w:rPr>
          <w:rFonts w:ascii="宋体" w:hAnsi="宋体"/>
          <w:b/>
          <w:lang w:bidi="ar"/>
        </w:rPr>
      </w:pPr>
    </w:p>
    <w:p w14:paraId="31A8B7EC">
      <w:pPr>
        <w:spacing w:before="156" w:after="156"/>
        <w:ind w:firstLine="0" w:firstLineChars="0"/>
        <w:jc w:val="center"/>
        <w:rPr>
          <w:rFonts w:ascii="宋体" w:hAnsi="宋体"/>
          <w:b/>
          <w:lang w:bidi="ar"/>
        </w:rPr>
      </w:pPr>
    </w:p>
    <w:p w14:paraId="30A4AB3B">
      <w:pPr>
        <w:spacing w:before="156" w:after="156"/>
        <w:ind w:firstLine="0" w:firstLineChars="0"/>
        <w:jc w:val="center"/>
        <w:rPr>
          <w:rFonts w:ascii="宋体" w:hAnsi="宋体"/>
          <w:b/>
          <w:lang w:bidi="ar"/>
        </w:rPr>
      </w:pPr>
    </w:p>
    <w:p w14:paraId="3849CFC0">
      <w:pPr>
        <w:spacing w:before="156" w:after="156"/>
        <w:ind w:firstLine="0" w:firstLineChars="0"/>
        <w:jc w:val="center"/>
        <w:rPr>
          <w:rFonts w:ascii="Arial" w:hAnsi="Arial" w:cs="Arial"/>
          <w:b/>
          <w:bCs/>
        </w:rPr>
      </w:pPr>
    </w:p>
    <w:p w14:paraId="02B3C003">
      <w:pPr>
        <w:widowControl/>
        <w:adjustRightInd w:val="0"/>
        <w:snapToGrid w:val="0"/>
        <w:spacing w:before="0" w:beforeLines="0" w:after="0" w:afterLines="0"/>
        <w:ind w:firstLine="0" w:firstLineChars="0"/>
        <w:jc w:val="center"/>
        <w:rPr>
          <w:rFonts w:ascii="宋体" w:hAnsi="宋体" w:cs="宋体"/>
          <w:b/>
          <w:kern w:val="0"/>
          <w:sz w:val="48"/>
          <w:szCs w:val="48"/>
          <w:lang w:bidi="ar"/>
        </w:rPr>
      </w:pPr>
      <w:r>
        <w:rPr>
          <w:rFonts w:hint="eastAsia" w:ascii="宋体" w:hAnsi="宋体" w:cs="宋体"/>
          <w:b/>
          <w:kern w:val="0"/>
          <w:sz w:val="48"/>
          <w:szCs w:val="48"/>
          <w:lang w:bidi="ar"/>
        </w:rPr>
        <w:t>华孚时尚股份有限公司</w:t>
      </w:r>
    </w:p>
    <w:p w14:paraId="19BB9A7B">
      <w:pPr>
        <w:widowControl/>
        <w:adjustRightInd w:val="0"/>
        <w:snapToGrid w:val="0"/>
        <w:spacing w:before="0" w:beforeLines="0" w:after="0" w:afterLines="0"/>
        <w:ind w:firstLine="0" w:firstLineChars="0"/>
        <w:jc w:val="center"/>
        <w:rPr>
          <w:rFonts w:ascii="宋体" w:hAnsi="宋体" w:cs="宋体"/>
          <w:b/>
          <w:kern w:val="0"/>
          <w:sz w:val="48"/>
          <w:szCs w:val="48"/>
          <w:lang w:bidi="ar"/>
        </w:rPr>
      </w:pPr>
    </w:p>
    <w:p w14:paraId="44D9DC9A">
      <w:pPr>
        <w:widowControl/>
        <w:adjustRightInd w:val="0"/>
        <w:snapToGrid w:val="0"/>
        <w:spacing w:before="0" w:beforeLines="0" w:after="0" w:afterLines="0"/>
        <w:ind w:firstLine="0" w:firstLineChars="0"/>
        <w:jc w:val="center"/>
        <w:rPr>
          <w:rFonts w:hint="default" w:ascii="宋体" w:hAnsi="宋体" w:eastAsia="宋体" w:cs="宋体"/>
          <w:sz w:val="48"/>
          <w:szCs w:val="48"/>
          <w:lang w:val="en-US" w:eastAsia="zh-CN"/>
        </w:rPr>
      </w:pPr>
      <w:r>
        <w:rPr>
          <w:rFonts w:hint="eastAsia" w:ascii="宋体" w:hAnsi="宋体" w:cs="宋体"/>
          <w:b/>
          <w:kern w:val="0"/>
          <w:sz w:val="48"/>
          <w:szCs w:val="48"/>
          <w:lang w:bidi="ar"/>
        </w:rPr>
        <w:t>第四期员工持股计划管理办法</w:t>
      </w:r>
      <w:r>
        <w:rPr>
          <w:rFonts w:hint="eastAsia" w:ascii="宋体" w:hAnsi="宋体" w:cs="宋体"/>
          <w:b/>
          <w:kern w:val="0"/>
          <w:sz w:val="48"/>
          <w:szCs w:val="48"/>
          <w:lang w:eastAsia="zh-CN" w:bidi="ar"/>
        </w:rPr>
        <w:t>（</w:t>
      </w:r>
      <w:r>
        <w:rPr>
          <w:rFonts w:hint="eastAsia" w:ascii="宋体" w:hAnsi="宋体" w:cs="宋体"/>
          <w:b/>
          <w:kern w:val="0"/>
          <w:sz w:val="48"/>
          <w:szCs w:val="48"/>
          <w:lang w:val="en-US" w:eastAsia="zh-CN" w:bidi="ar"/>
        </w:rPr>
        <w:t>修订版）</w:t>
      </w:r>
    </w:p>
    <w:p w14:paraId="74F0CB8C">
      <w:pPr>
        <w:spacing w:before="0" w:beforeLines="0" w:after="0" w:afterLines="0"/>
        <w:ind w:firstLine="0" w:firstLineChars="0"/>
        <w:jc w:val="center"/>
        <w:rPr>
          <w:rFonts w:ascii="宋体" w:hAnsi="宋体"/>
          <w:lang w:bidi="ar"/>
        </w:rPr>
      </w:pPr>
    </w:p>
    <w:p w14:paraId="54BDB544">
      <w:pPr>
        <w:spacing w:before="0" w:beforeLines="0" w:after="0" w:afterLines="0"/>
        <w:ind w:firstLine="0" w:firstLineChars="0"/>
        <w:jc w:val="center"/>
        <w:rPr>
          <w:rFonts w:ascii="宋体" w:hAnsi="宋体"/>
          <w:lang w:bidi="ar"/>
        </w:rPr>
      </w:pPr>
    </w:p>
    <w:p w14:paraId="4A2C1E59">
      <w:pPr>
        <w:spacing w:before="0" w:beforeLines="0" w:after="0" w:afterLines="0"/>
        <w:ind w:firstLine="0" w:firstLineChars="0"/>
        <w:jc w:val="center"/>
        <w:rPr>
          <w:rFonts w:ascii="宋体" w:hAnsi="宋体"/>
          <w:lang w:bidi="ar"/>
        </w:rPr>
      </w:pPr>
    </w:p>
    <w:p w14:paraId="19951EB7">
      <w:pPr>
        <w:spacing w:before="0" w:beforeLines="0" w:after="0" w:afterLines="0"/>
        <w:ind w:firstLine="0" w:firstLineChars="0"/>
        <w:jc w:val="center"/>
        <w:rPr>
          <w:rFonts w:ascii="宋体" w:hAnsi="宋体"/>
          <w:lang w:bidi="ar"/>
        </w:rPr>
      </w:pPr>
    </w:p>
    <w:p w14:paraId="08C818EB">
      <w:pPr>
        <w:spacing w:before="0" w:beforeLines="0" w:after="0" w:afterLines="0"/>
        <w:ind w:firstLine="0" w:firstLineChars="0"/>
        <w:jc w:val="center"/>
        <w:rPr>
          <w:rFonts w:ascii="宋体" w:hAnsi="宋体"/>
          <w:lang w:bidi="ar"/>
        </w:rPr>
      </w:pPr>
    </w:p>
    <w:p w14:paraId="7F7098F4">
      <w:pPr>
        <w:spacing w:before="0" w:beforeLines="0" w:after="0" w:afterLines="0"/>
        <w:ind w:firstLine="0" w:firstLineChars="0"/>
        <w:jc w:val="center"/>
        <w:rPr>
          <w:rFonts w:ascii="宋体" w:hAnsi="宋体"/>
          <w:lang w:bidi="ar"/>
        </w:rPr>
      </w:pPr>
    </w:p>
    <w:p w14:paraId="1DA8C194">
      <w:pPr>
        <w:spacing w:before="0" w:beforeLines="0" w:after="0" w:afterLines="0"/>
        <w:ind w:firstLine="0" w:firstLineChars="0"/>
        <w:jc w:val="center"/>
        <w:rPr>
          <w:rFonts w:ascii="宋体" w:hAnsi="宋体"/>
          <w:lang w:bidi="ar"/>
        </w:rPr>
      </w:pPr>
    </w:p>
    <w:p w14:paraId="6E1704D5">
      <w:pPr>
        <w:spacing w:before="0" w:beforeLines="0" w:after="0" w:afterLines="0"/>
        <w:ind w:firstLine="0" w:firstLineChars="0"/>
        <w:jc w:val="center"/>
        <w:rPr>
          <w:rFonts w:ascii="宋体" w:hAnsi="宋体"/>
          <w:sz w:val="28"/>
          <w:szCs w:val="28"/>
          <w:lang w:bidi="ar"/>
        </w:rPr>
      </w:pPr>
      <w:r>
        <w:rPr>
          <w:rFonts w:hint="eastAsia" w:ascii="宋体" w:hAnsi="宋体"/>
          <w:sz w:val="28"/>
          <w:szCs w:val="28"/>
          <w:lang w:bidi="ar"/>
        </w:rPr>
        <w:t>华孚时尚股份有限公司</w:t>
      </w:r>
    </w:p>
    <w:p w14:paraId="042156D2">
      <w:pPr>
        <w:spacing w:before="0" w:beforeLines="0" w:after="0" w:afterLines="0"/>
        <w:ind w:firstLine="0" w:firstLineChars="0"/>
        <w:jc w:val="center"/>
        <w:rPr>
          <w:rFonts w:ascii="宋体" w:hAnsi="宋体"/>
          <w:sz w:val="28"/>
          <w:szCs w:val="28"/>
          <w:lang w:bidi="ar"/>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pPr>
      <w:r>
        <w:rPr>
          <w:rFonts w:hint="eastAsia" w:ascii="宋体" w:hAnsi="宋体"/>
          <w:sz w:val="28"/>
          <w:szCs w:val="28"/>
          <w:lang w:bidi="ar"/>
        </w:rPr>
        <w:t>二〇二</w:t>
      </w:r>
      <w:r>
        <w:rPr>
          <w:rFonts w:hint="eastAsia" w:ascii="宋体" w:hAnsi="宋体"/>
          <w:sz w:val="28"/>
          <w:szCs w:val="28"/>
          <w:lang w:val="en-US" w:eastAsia="zh-CN" w:bidi="ar"/>
        </w:rPr>
        <w:t>五</w:t>
      </w:r>
      <w:r>
        <w:rPr>
          <w:rFonts w:hint="eastAsia" w:ascii="宋体" w:hAnsi="宋体"/>
          <w:sz w:val="28"/>
          <w:szCs w:val="28"/>
          <w:lang w:bidi="ar"/>
        </w:rPr>
        <w:t>年</w:t>
      </w:r>
      <w:r>
        <w:rPr>
          <w:rFonts w:hint="eastAsia" w:ascii="宋体" w:hAnsi="宋体"/>
          <w:sz w:val="28"/>
          <w:szCs w:val="28"/>
          <w:lang w:val="en-US" w:eastAsia="zh-CN" w:bidi="ar"/>
        </w:rPr>
        <w:t>六</w:t>
      </w:r>
      <w:r>
        <w:rPr>
          <w:rFonts w:hint="eastAsia" w:ascii="宋体" w:hAnsi="宋体"/>
          <w:sz w:val="28"/>
          <w:szCs w:val="28"/>
          <w:lang w:bidi="ar"/>
        </w:rPr>
        <w:t>月</w:t>
      </w:r>
    </w:p>
    <w:p w14:paraId="0E0C5816">
      <w:pPr>
        <w:pStyle w:val="2"/>
        <w:numPr>
          <w:ilvl w:val="0"/>
          <w:numId w:val="1"/>
        </w:numPr>
        <w:spacing w:before="156" w:after="156"/>
        <w:rPr>
          <w:lang w:bidi="ar"/>
        </w:rPr>
      </w:pPr>
      <w:bookmarkStart w:id="0" w:name="_Toc82787545"/>
      <w:r>
        <w:rPr>
          <w:rFonts w:hint="eastAsia"/>
          <w:lang w:bidi="ar"/>
        </w:rPr>
        <w:t>总则</w:t>
      </w:r>
    </w:p>
    <w:p w14:paraId="0A9BF466">
      <w:pPr>
        <w:spacing w:before="156" w:after="156"/>
        <w:ind w:firstLine="482"/>
        <w:rPr>
          <w:rFonts w:ascii="宋体" w:hAnsi="宋体"/>
          <w:shd w:val="clear" w:color="auto" w:fill="FFFFFF"/>
        </w:rPr>
      </w:pPr>
      <w:r>
        <w:rPr>
          <w:b/>
          <w:bCs/>
          <w:shd w:val="clear" w:color="auto" w:fill="FFFFFF"/>
        </w:rPr>
        <w:t>第一条</w:t>
      </w:r>
      <w:r>
        <w:rPr>
          <w:shd w:val="clear" w:color="auto" w:fill="FFFFFF"/>
        </w:rPr>
        <w:t xml:space="preserve"> 为规范</w:t>
      </w:r>
      <w:r>
        <w:rPr>
          <w:rFonts w:hint="eastAsia"/>
          <w:shd w:val="clear" w:color="auto" w:fill="FFFFFF"/>
        </w:rPr>
        <w:t>华孚时尚股份有限公司</w:t>
      </w:r>
      <w:r>
        <w:rPr>
          <w:shd w:val="clear" w:color="auto" w:fill="FFFFFF"/>
        </w:rPr>
        <w:t>（以下简</w:t>
      </w:r>
      <w:r>
        <w:rPr>
          <w:rFonts w:ascii="宋体" w:hAnsi="宋体"/>
          <w:shd w:val="clear" w:color="auto" w:fill="FFFFFF"/>
        </w:rPr>
        <w:t>称“</w:t>
      </w:r>
      <w:r>
        <w:rPr>
          <w:rFonts w:hint="eastAsia"/>
          <w:shd w:val="clear" w:color="auto" w:fill="FFFFFF"/>
        </w:rPr>
        <w:t>华孚时尚</w:t>
      </w:r>
      <w:r>
        <w:rPr>
          <w:rFonts w:ascii="宋体" w:hAnsi="宋体"/>
          <w:shd w:val="clear" w:color="auto" w:fill="FFFFFF"/>
        </w:rPr>
        <w:t>”或“公司”）</w:t>
      </w:r>
      <w:r>
        <w:rPr>
          <w:rFonts w:hint="eastAsia"/>
          <w:shd w:val="clear" w:color="auto" w:fill="FFFFFF"/>
        </w:rPr>
        <w:t>第四期员工持股计划</w:t>
      </w:r>
      <w:r>
        <w:rPr>
          <w:shd w:val="clear" w:color="auto" w:fill="FFFFFF"/>
        </w:rPr>
        <w:t>（以下简称</w:t>
      </w:r>
      <w:r>
        <w:rPr>
          <w:rFonts w:hint="eastAsia"/>
          <w:shd w:val="clear" w:color="auto" w:fill="FFFFFF"/>
        </w:rPr>
        <w:t>“本员工持股计划”</w:t>
      </w:r>
      <w:r>
        <w:rPr>
          <w:shd w:val="clear" w:color="auto" w:fill="FFFFFF"/>
        </w:rPr>
        <w:t>）的实施，根据《中华人民共和国公司法》（以下简</w:t>
      </w:r>
      <w:r>
        <w:rPr>
          <w:rFonts w:ascii="宋体" w:hAnsi="宋体"/>
          <w:shd w:val="clear" w:color="auto" w:fill="FFFFFF"/>
        </w:rPr>
        <w:t>称“《公司法》”）</w:t>
      </w:r>
      <w:r>
        <w:rPr>
          <w:rFonts w:hint="eastAsia" w:ascii="宋体" w:hAnsi="宋体"/>
          <w:shd w:val="clear" w:color="auto" w:fill="FFFFFF"/>
        </w:rPr>
        <w:t>、</w:t>
      </w:r>
      <w:r>
        <w:rPr>
          <w:shd w:val="clear" w:color="auto" w:fill="FFFFFF"/>
        </w:rPr>
        <w:t>《中华人民共和国证券法》</w:t>
      </w:r>
      <w:r>
        <w:rPr>
          <w:rFonts w:ascii="宋体" w:hAnsi="宋体"/>
          <w:shd w:val="clear" w:color="auto" w:fill="FFFFFF"/>
        </w:rPr>
        <w:t>（以下简称“《证券法》”）、《</w:t>
      </w:r>
      <w:r>
        <w:rPr>
          <w:rFonts w:hint="eastAsia" w:ascii="宋体" w:hAnsi="宋体"/>
          <w:color w:val="333333"/>
          <w:shd w:val="clear" w:color="auto" w:fill="FFFFFF"/>
        </w:rPr>
        <w:t>深圳证券交易所上市公司自律监管指引第</w:t>
      </w:r>
      <w:r>
        <w:rPr>
          <w:color w:val="333333"/>
          <w:shd w:val="clear" w:color="auto" w:fill="FFFFFF"/>
        </w:rPr>
        <w:t>1</w:t>
      </w:r>
      <w:r>
        <w:rPr>
          <w:rFonts w:hint="eastAsia" w:ascii="宋体" w:hAnsi="宋体"/>
          <w:color w:val="333333"/>
          <w:shd w:val="clear" w:color="auto" w:fill="FFFFFF"/>
        </w:rPr>
        <w:t>号——主板上市公司规范运作</w:t>
      </w:r>
      <w:r>
        <w:rPr>
          <w:rFonts w:ascii="宋体" w:hAnsi="宋体"/>
          <w:shd w:val="clear" w:color="auto" w:fill="FFFFFF"/>
        </w:rPr>
        <w:t>》（以下简称“《</w:t>
      </w:r>
      <w:r>
        <w:rPr>
          <w:rFonts w:hint="eastAsia" w:ascii="宋体" w:hAnsi="宋体"/>
        </w:rPr>
        <w:t>自律监管指引第</w:t>
      </w:r>
      <w:r>
        <w:t>1</w:t>
      </w:r>
      <w:r>
        <w:rPr>
          <w:rFonts w:hint="eastAsia" w:ascii="宋体" w:hAnsi="宋体"/>
        </w:rPr>
        <w:t>号</w:t>
      </w:r>
      <w:r>
        <w:rPr>
          <w:rFonts w:ascii="宋体" w:hAnsi="宋体"/>
          <w:shd w:val="clear" w:color="auto" w:fill="FFFFFF"/>
        </w:rPr>
        <w:t>》”）等有关法律、行政法规、规章、规范性文件和《</w:t>
      </w:r>
      <w:r>
        <w:rPr>
          <w:rFonts w:hint="eastAsia" w:ascii="宋体" w:hAnsi="宋体"/>
          <w:shd w:val="clear" w:color="auto" w:fill="FFFFFF"/>
        </w:rPr>
        <w:t>华孚时尚股份有限公司</w:t>
      </w:r>
      <w:r>
        <w:rPr>
          <w:rFonts w:ascii="宋体" w:hAnsi="宋体"/>
          <w:shd w:val="clear" w:color="auto" w:fill="FFFFFF"/>
        </w:rPr>
        <w:t>章程》（以下简称“《公司章程》”）、《</w:t>
      </w:r>
      <w:r>
        <w:rPr>
          <w:rFonts w:hint="eastAsia" w:ascii="宋体" w:hAnsi="宋体"/>
          <w:shd w:val="clear" w:color="auto" w:fill="FFFFFF"/>
        </w:rPr>
        <w:t>华孚时尚股份有限公司</w:t>
      </w:r>
      <w:r>
        <w:rPr>
          <w:rFonts w:ascii="宋体" w:hAnsi="宋体"/>
          <w:shd w:val="clear" w:color="auto" w:fill="FFFFFF"/>
        </w:rPr>
        <w:t>第</w:t>
      </w:r>
      <w:r>
        <w:rPr>
          <w:rFonts w:hint="eastAsia" w:ascii="宋体" w:hAnsi="宋体"/>
          <w:shd w:val="clear" w:color="auto" w:fill="FFFFFF"/>
        </w:rPr>
        <w:t>四</w:t>
      </w:r>
      <w:r>
        <w:rPr>
          <w:rFonts w:ascii="宋体" w:hAnsi="宋体"/>
          <w:shd w:val="clear" w:color="auto" w:fill="FFFFFF"/>
        </w:rPr>
        <w:t>期员工持股计划（草案）》（以下简称“</w:t>
      </w:r>
      <w:r>
        <w:rPr>
          <w:rFonts w:hint="eastAsia" w:ascii="宋体" w:hAnsi="宋体"/>
          <w:shd w:val="clear" w:color="auto" w:fill="FFFFFF"/>
        </w:rPr>
        <w:t>本</w:t>
      </w:r>
      <w:r>
        <w:rPr>
          <w:rFonts w:ascii="宋体" w:hAnsi="宋体"/>
          <w:shd w:val="clear" w:color="auto" w:fill="FFFFFF"/>
        </w:rPr>
        <w:t>员工持股计划草案”）的规定，特制定《</w:t>
      </w:r>
      <w:r>
        <w:rPr>
          <w:rFonts w:hint="eastAsia" w:ascii="宋体" w:hAnsi="宋体"/>
          <w:shd w:val="clear" w:color="auto" w:fill="FFFFFF"/>
        </w:rPr>
        <w:t>华孚时尚股份有限公司</w:t>
      </w:r>
      <w:r>
        <w:rPr>
          <w:rFonts w:ascii="宋体" w:hAnsi="宋体"/>
          <w:shd w:val="clear" w:color="auto" w:fill="FFFFFF"/>
        </w:rPr>
        <w:t>第</w:t>
      </w:r>
      <w:r>
        <w:rPr>
          <w:rFonts w:hint="eastAsia" w:ascii="宋体" w:hAnsi="宋体"/>
          <w:shd w:val="clear" w:color="auto" w:fill="FFFFFF"/>
        </w:rPr>
        <w:t>四</w:t>
      </w:r>
      <w:r>
        <w:rPr>
          <w:rFonts w:ascii="宋体" w:hAnsi="宋体"/>
          <w:shd w:val="clear" w:color="auto" w:fill="FFFFFF"/>
        </w:rPr>
        <w:t>期员工持股计划管理办法》（以下简称“本管理办法”）。</w:t>
      </w:r>
      <w:bookmarkEnd w:id="0"/>
      <w:bookmarkStart w:id="1" w:name="_Toc81239670"/>
    </w:p>
    <w:p w14:paraId="1BFBAD92">
      <w:pPr>
        <w:spacing w:before="156" w:after="156"/>
        <w:ind w:firstLine="480"/>
        <w:rPr>
          <w:shd w:val="clear" w:color="auto" w:fill="FFFFFF"/>
        </w:rPr>
      </w:pPr>
      <w:r>
        <w:rPr>
          <w:shd w:val="clear" w:color="auto" w:fill="FFFFFF"/>
        </w:rPr>
        <w:br w:type="page"/>
      </w:r>
    </w:p>
    <w:p w14:paraId="213E7C94">
      <w:pPr>
        <w:pStyle w:val="2"/>
        <w:numPr>
          <w:ilvl w:val="0"/>
          <w:numId w:val="1"/>
        </w:numPr>
        <w:spacing w:before="156" w:after="156"/>
        <w:rPr>
          <w:rFonts w:cs="Arial"/>
          <w:shd w:val="clear" w:color="auto" w:fill="FFFFFF"/>
        </w:rPr>
      </w:pPr>
      <w:r>
        <w:rPr>
          <w:rFonts w:hint="eastAsia"/>
          <w:lang w:bidi="ar"/>
        </w:rPr>
        <w:t>员工持股计划的制定</w:t>
      </w:r>
    </w:p>
    <w:bookmarkEnd w:id="1"/>
    <w:p w14:paraId="753DF8A1">
      <w:pPr>
        <w:spacing w:before="156" w:after="156"/>
        <w:ind w:firstLine="482"/>
        <w:rPr>
          <w:lang w:bidi="ar"/>
        </w:rPr>
      </w:pPr>
      <w:r>
        <w:rPr>
          <w:rFonts w:hint="eastAsia"/>
          <w:b/>
          <w:bCs/>
          <w:lang w:bidi="ar"/>
        </w:rPr>
        <w:t>第二条</w:t>
      </w:r>
      <w:r>
        <w:rPr>
          <w:rFonts w:hint="eastAsia"/>
          <w:lang w:bidi="ar"/>
        </w:rPr>
        <w:t xml:space="preserve"> 员工持股计划所遵循的基本原则</w:t>
      </w:r>
    </w:p>
    <w:p w14:paraId="65782189">
      <w:pPr>
        <w:spacing w:before="156" w:after="156"/>
        <w:ind w:firstLine="480"/>
        <w:rPr>
          <w:lang w:bidi="ar"/>
        </w:rPr>
      </w:pPr>
      <w:r>
        <w:rPr>
          <w:rFonts w:hint="eastAsia"/>
          <w:lang w:bidi="ar"/>
        </w:rPr>
        <w:t>（一）依法合规原则</w:t>
      </w:r>
    </w:p>
    <w:p w14:paraId="4CAB7815">
      <w:pPr>
        <w:spacing w:before="156" w:after="156"/>
        <w:ind w:firstLine="480"/>
        <w:rPr>
          <w:lang w:bidi="ar"/>
        </w:rPr>
      </w:pPr>
      <w:r>
        <w:rPr>
          <w:rFonts w:hint="eastAsia"/>
          <w:lang w:bidi="ar"/>
        </w:rPr>
        <w:t>公司实施员工持股计划，严格按照法律、行政法规的规定履行程序，真实、准确、完整、及时地实施信息披露。任何人不得利用员工持股计划进行内幕交易、操纵证券市场等证券欺诈行为。</w:t>
      </w:r>
    </w:p>
    <w:p w14:paraId="692AAC5F">
      <w:pPr>
        <w:spacing w:before="156" w:after="156"/>
        <w:ind w:firstLine="480"/>
        <w:rPr>
          <w:lang w:bidi="ar"/>
        </w:rPr>
      </w:pPr>
      <w:r>
        <w:rPr>
          <w:rFonts w:hint="eastAsia"/>
          <w:lang w:bidi="ar"/>
        </w:rPr>
        <w:t>（二）自愿参与原则</w:t>
      </w:r>
    </w:p>
    <w:p w14:paraId="2523A430">
      <w:pPr>
        <w:spacing w:before="156" w:after="156"/>
        <w:ind w:firstLine="480"/>
        <w:rPr>
          <w:lang w:bidi="ar"/>
        </w:rPr>
      </w:pPr>
      <w:r>
        <w:rPr>
          <w:rFonts w:hint="eastAsia"/>
          <w:lang w:bidi="ar"/>
        </w:rPr>
        <w:t>公司实施本员工持股计划遵循公司自主决定、员工自愿参加的原则，公司不以摊派、强行分配等方式强制员工参加本员工持股计划。</w:t>
      </w:r>
    </w:p>
    <w:p w14:paraId="635E7996">
      <w:pPr>
        <w:spacing w:before="156" w:after="156"/>
        <w:ind w:firstLine="480"/>
        <w:rPr>
          <w:lang w:bidi="ar"/>
        </w:rPr>
      </w:pPr>
      <w:r>
        <w:rPr>
          <w:rFonts w:hint="eastAsia"/>
          <w:lang w:bidi="ar"/>
        </w:rPr>
        <w:t>（三）风险自担原则</w:t>
      </w:r>
    </w:p>
    <w:p w14:paraId="3A6B5984">
      <w:pPr>
        <w:spacing w:before="156" w:after="156"/>
        <w:ind w:firstLine="480"/>
        <w:rPr>
          <w:lang w:bidi="ar"/>
        </w:rPr>
      </w:pPr>
      <w:r>
        <w:rPr>
          <w:rFonts w:hint="eastAsia"/>
          <w:lang w:bidi="ar"/>
        </w:rPr>
        <w:t>员工持股计划参与人按本员工持股计划的约定自担风险，与其他投资者权益平等。</w:t>
      </w:r>
    </w:p>
    <w:p w14:paraId="4355F79E">
      <w:pPr>
        <w:spacing w:before="156" w:after="156"/>
        <w:ind w:firstLine="482"/>
        <w:rPr>
          <w:rFonts w:cs="Arial"/>
          <w:shd w:val="clear" w:color="auto" w:fill="FFFFFF"/>
        </w:rPr>
      </w:pPr>
      <w:r>
        <w:rPr>
          <w:rFonts w:cs="Arial"/>
          <w:b/>
          <w:bCs/>
          <w:shd w:val="clear" w:color="auto" w:fill="FFFFFF"/>
        </w:rPr>
        <w:t xml:space="preserve">第三条 </w:t>
      </w:r>
      <w:r>
        <w:rPr>
          <w:rFonts w:cs="Arial"/>
          <w:shd w:val="clear" w:color="auto" w:fill="FFFFFF"/>
        </w:rPr>
        <w:t>员工持股计划应履行的程序</w:t>
      </w:r>
    </w:p>
    <w:p w14:paraId="660B23B3">
      <w:pPr>
        <w:spacing w:before="156" w:after="156"/>
        <w:ind w:firstLine="480"/>
        <w:rPr>
          <w:rFonts w:cs="Arial"/>
          <w:shd w:val="clear" w:color="auto" w:fill="FFFFFF"/>
        </w:rPr>
      </w:pPr>
      <w:r>
        <w:rPr>
          <w:rFonts w:hint="eastAsia" w:cs="Arial"/>
          <w:shd w:val="clear" w:color="auto" w:fill="FFFFFF"/>
        </w:rPr>
        <w:t>（一）公司实施本员工持股计划前，由公司董事会薪酬与考核委员会负责拟定员工持股计划草案，并应通过职工代表大会等组织充分征求员工意见。</w:t>
      </w:r>
    </w:p>
    <w:p w14:paraId="54658A61">
      <w:pPr>
        <w:spacing w:before="156" w:after="156"/>
        <w:ind w:firstLine="480"/>
        <w:rPr>
          <w:rFonts w:cs="Arial"/>
          <w:shd w:val="clear" w:color="auto" w:fill="FFFFFF"/>
        </w:rPr>
      </w:pPr>
      <w:r>
        <w:rPr>
          <w:rFonts w:hint="eastAsia" w:cs="Arial"/>
          <w:shd w:val="clear" w:color="auto" w:fill="FFFFFF"/>
        </w:rPr>
        <w:t>（二）董事会审议通过本员工持股计划草案。董事会审议本员工持股计划时，与本员工持股计划有关联的董事应当回避表决。</w:t>
      </w:r>
    </w:p>
    <w:p w14:paraId="567A8AD9">
      <w:pPr>
        <w:spacing w:before="156" w:after="156"/>
        <w:ind w:firstLine="480"/>
        <w:rPr>
          <w:rFonts w:cs="Arial"/>
          <w:shd w:val="clear" w:color="auto" w:fill="FFFFFF"/>
        </w:rPr>
      </w:pPr>
      <w:r>
        <w:rPr>
          <w:rFonts w:hint="eastAsia" w:cs="Arial"/>
          <w:shd w:val="clear" w:color="auto" w:fill="FFFFFF"/>
        </w:rPr>
        <w:t>（三）监事会负责对本员工持股计划是否有利于公司的持续发展，是否存在损害公司及全体股东的利益，是否存在摊派、强行分配等方式强制员工参与本员工持股计划发表意见。</w:t>
      </w:r>
    </w:p>
    <w:p w14:paraId="362D77FB">
      <w:pPr>
        <w:spacing w:before="156" w:after="156"/>
        <w:ind w:firstLine="480"/>
        <w:rPr>
          <w:rFonts w:cs="Arial"/>
          <w:shd w:val="clear" w:color="auto" w:fill="FFFFFF"/>
        </w:rPr>
      </w:pPr>
      <w:r>
        <w:rPr>
          <w:rFonts w:hint="eastAsia" w:cs="Arial"/>
          <w:shd w:val="clear" w:color="auto" w:fill="FFFFFF"/>
        </w:rPr>
        <w:t>（四）董事会在审议通过本员工持股计划草案后的2个交易日内公告董事会决议、本员工持股计划草案摘要、监事会意见等。</w:t>
      </w:r>
    </w:p>
    <w:p w14:paraId="0960A729">
      <w:pPr>
        <w:spacing w:before="156" w:after="156"/>
        <w:ind w:firstLine="480"/>
        <w:rPr>
          <w:rFonts w:cs="Arial"/>
          <w:shd w:val="clear" w:color="auto" w:fill="FFFFFF"/>
        </w:rPr>
      </w:pPr>
      <w:r>
        <w:rPr>
          <w:rFonts w:hint="eastAsia" w:cs="Arial"/>
          <w:shd w:val="clear" w:color="auto" w:fill="FFFFFF"/>
        </w:rPr>
        <w:t>（五）公司聘请律师事务所对本员工持股计划出具法律意见书，并在相关股东大会现场会议召开前公告法律意见书。</w:t>
      </w:r>
    </w:p>
    <w:p w14:paraId="5BF9949A">
      <w:pPr>
        <w:spacing w:before="156" w:after="156"/>
        <w:ind w:firstLine="480"/>
        <w:rPr>
          <w:rFonts w:cs="Arial"/>
          <w:shd w:val="clear" w:color="auto" w:fill="FFFFFF"/>
        </w:rPr>
      </w:pPr>
      <w:r>
        <w:rPr>
          <w:rFonts w:hint="eastAsia" w:cs="Arial"/>
          <w:shd w:val="clear" w:color="auto" w:fill="FFFFFF"/>
        </w:rPr>
        <w:t>（六）召开股东大会审议本员工持股计划。股东大会将采用现场投票与网络投票相结合的方式进行投票，对中小投资者的表决单独计票并公开披露；本员工持股计划涉及相关董事、股东的，相关董事、股东应当回避表决。经出席股东大会有效表决权过半数通过后，本员工持股计划即可以实施。</w:t>
      </w:r>
    </w:p>
    <w:p w14:paraId="10C6C771">
      <w:pPr>
        <w:spacing w:before="156" w:after="156"/>
        <w:ind w:firstLine="480"/>
        <w:rPr>
          <w:rFonts w:cs="Arial"/>
          <w:shd w:val="clear" w:color="auto" w:fill="FFFFFF"/>
        </w:rPr>
      </w:pPr>
      <w:r>
        <w:rPr>
          <w:rFonts w:hint="eastAsia" w:cs="Arial"/>
          <w:shd w:val="clear" w:color="auto" w:fill="FFFFFF"/>
        </w:rPr>
        <w:t>（七）公司实施本员工持股计划，在完成将标的股票过户至本员工持股计划名下的2个交易日内，以临时公告形式披露获得标的股票的时间、数量、比例等情况。</w:t>
      </w:r>
    </w:p>
    <w:p w14:paraId="34DDF851">
      <w:pPr>
        <w:spacing w:before="156" w:after="156"/>
        <w:ind w:firstLine="480"/>
        <w:rPr>
          <w:rFonts w:cs="Arial"/>
          <w:shd w:val="clear" w:color="auto" w:fill="FFFFFF"/>
        </w:rPr>
      </w:pPr>
      <w:r>
        <w:rPr>
          <w:rFonts w:hint="eastAsia" w:cs="Arial"/>
          <w:shd w:val="clear" w:color="auto" w:fill="FFFFFF"/>
        </w:rPr>
        <w:t>（八）召开本员工持股计划持有人会议，选举产生管理委员会委员，明确本员工持股计划实施的具体事项。</w:t>
      </w:r>
    </w:p>
    <w:p w14:paraId="181FDFA1">
      <w:pPr>
        <w:spacing w:before="156" w:after="156"/>
        <w:ind w:firstLine="480"/>
        <w:rPr>
          <w:rFonts w:cs="Arial"/>
          <w:shd w:val="clear" w:color="auto" w:fill="FFFFFF"/>
        </w:rPr>
      </w:pPr>
      <w:r>
        <w:rPr>
          <w:rFonts w:hint="eastAsia" w:cs="Arial"/>
          <w:shd w:val="clear" w:color="auto" w:fill="FFFFFF"/>
        </w:rPr>
        <w:t>（九）其他中国证监会、证券交易所规定的需要履行的程序。</w:t>
      </w:r>
    </w:p>
    <w:p w14:paraId="33245FB5">
      <w:pPr>
        <w:spacing w:before="156" w:after="156"/>
        <w:ind w:firstLine="482"/>
        <w:rPr>
          <w:lang w:bidi="ar"/>
        </w:rPr>
      </w:pPr>
      <w:r>
        <w:rPr>
          <w:rFonts w:hint="eastAsia"/>
          <w:b/>
          <w:bCs/>
          <w:lang w:bidi="ar"/>
        </w:rPr>
        <w:t>第四条</w:t>
      </w:r>
      <w:r>
        <w:rPr>
          <w:lang w:bidi="ar"/>
        </w:rPr>
        <w:t xml:space="preserve"> </w:t>
      </w:r>
      <w:r>
        <w:rPr>
          <w:rFonts w:hint="eastAsia"/>
          <w:lang w:bidi="ar"/>
        </w:rPr>
        <w:t>员工持股计划持有人的确定依据和范围</w:t>
      </w:r>
    </w:p>
    <w:p w14:paraId="15786418">
      <w:pPr>
        <w:spacing w:before="156" w:after="156"/>
        <w:ind w:firstLine="480"/>
        <w:rPr>
          <w:lang w:bidi="ar"/>
        </w:rPr>
      </w:pPr>
      <w:bookmarkStart w:id="2" w:name="_Toc81239673"/>
      <w:r>
        <w:rPr>
          <w:rFonts w:hint="eastAsia"/>
          <w:lang w:bidi="ar"/>
        </w:rPr>
        <w:t>（一）本员工持股计划持有人的确定依据</w:t>
      </w:r>
      <w:bookmarkEnd w:id="2"/>
    </w:p>
    <w:p w14:paraId="0DD4503C">
      <w:pPr>
        <w:spacing w:before="156" w:after="156"/>
        <w:ind w:firstLine="480"/>
        <w:rPr>
          <w:lang w:bidi="ar"/>
        </w:rPr>
      </w:pPr>
      <w:r>
        <w:rPr>
          <w:rFonts w:hint="eastAsia"/>
          <w:lang w:bidi="ar"/>
        </w:rPr>
        <w:t>本员工持股计划的持有人是根据《公司法》《证券法》</w:t>
      </w:r>
      <w:bookmarkStart w:id="16" w:name="_GoBack"/>
      <w:bookmarkEnd w:id="16"/>
      <w:r>
        <w:rPr>
          <w:rFonts w:hint="eastAsia"/>
          <w:lang w:bidi="ar"/>
        </w:rPr>
        <w:t>《自律监管指引第1号》等有关法律、法规、规范性文件及《公司章程》的相关规定而确定。所有参加对象均需在公司或公司的全资或控股子公司任职，领取报酬并签订劳动合同。</w:t>
      </w:r>
    </w:p>
    <w:p w14:paraId="7DABF843">
      <w:pPr>
        <w:spacing w:before="156" w:after="156"/>
        <w:ind w:firstLine="480"/>
        <w:rPr>
          <w:lang w:bidi="ar"/>
        </w:rPr>
      </w:pPr>
      <w:r>
        <w:rPr>
          <w:rFonts w:hint="eastAsia"/>
          <w:lang w:bidi="ar"/>
        </w:rPr>
        <w:t>（二）持有人确定的职务依据</w:t>
      </w:r>
    </w:p>
    <w:p w14:paraId="2F1D1117">
      <w:pPr>
        <w:spacing w:before="156" w:after="156"/>
        <w:ind w:firstLine="480"/>
        <w:rPr>
          <w:lang w:bidi="ar"/>
        </w:rPr>
      </w:pPr>
      <w:r>
        <w:rPr>
          <w:rFonts w:hint="eastAsia"/>
          <w:lang w:bidi="ar"/>
        </w:rPr>
        <w:t>本员工持股计划的参加对象应符合以下标准之一：</w:t>
      </w:r>
    </w:p>
    <w:p w14:paraId="09257109">
      <w:pPr>
        <w:spacing w:before="156" w:after="156"/>
        <w:ind w:firstLine="480"/>
        <w:rPr>
          <w:lang w:bidi="ar"/>
        </w:rPr>
      </w:pPr>
      <w:r>
        <w:rPr>
          <w:rFonts w:hint="eastAsia"/>
          <w:lang w:bidi="ar"/>
        </w:rPr>
        <w:t>1、公司的董事（不含独立董事）、监事、高级管理人员；</w:t>
      </w:r>
    </w:p>
    <w:p w14:paraId="7C6E09EF">
      <w:pPr>
        <w:spacing w:before="156" w:after="156"/>
        <w:ind w:firstLine="480"/>
        <w:rPr>
          <w:lang w:bidi="ar"/>
        </w:rPr>
      </w:pPr>
      <w:r>
        <w:rPr>
          <w:rFonts w:hint="eastAsia"/>
          <w:lang w:bidi="ar"/>
        </w:rPr>
        <w:t>2、公司及公司的全资或控股子公司的中高层管理人员；</w:t>
      </w:r>
    </w:p>
    <w:p w14:paraId="24800159">
      <w:pPr>
        <w:spacing w:before="156" w:after="156"/>
        <w:ind w:firstLine="480"/>
        <w:rPr>
          <w:lang w:bidi="ar"/>
        </w:rPr>
      </w:pPr>
      <w:r>
        <w:rPr>
          <w:rFonts w:hint="eastAsia"/>
          <w:lang w:bidi="ar"/>
        </w:rPr>
        <w:t>3、公司及公司全资或控股子公司的核心业务技术骨干。</w:t>
      </w:r>
    </w:p>
    <w:p w14:paraId="17A73FB6">
      <w:pPr>
        <w:spacing w:before="156" w:after="156"/>
        <w:ind w:firstLine="480"/>
        <w:rPr>
          <w:lang w:bidi="ar"/>
        </w:rPr>
      </w:pPr>
      <w:r>
        <w:rPr>
          <w:rFonts w:hint="eastAsia"/>
          <w:lang w:bidi="ar"/>
        </w:rPr>
        <w:t>以上员工参加本员工持股计划遵循公司自主决定、员工自愿参加的原则。</w:t>
      </w:r>
    </w:p>
    <w:p w14:paraId="5B1AC172">
      <w:pPr>
        <w:spacing w:before="156" w:after="156"/>
        <w:ind w:firstLine="480"/>
        <w:rPr>
          <w:lang w:bidi="ar"/>
        </w:rPr>
      </w:pPr>
      <w:r>
        <w:rPr>
          <w:rFonts w:hint="eastAsia"/>
          <w:lang w:bidi="ar"/>
        </w:rPr>
        <w:t>（三）本员工持股计划持有人的范围</w:t>
      </w:r>
    </w:p>
    <w:p w14:paraId="4602F135">
      <w:pPr>
        <w:spacing w:before="156" w:after="156"/>
        <w:ind w:firstLine="480"/>
        <w:rPr>
          <w:lang w:bidi="ar"/>
        </w:rPr>
      </w:pPr>
      <w:r>
        <w:rPr>
          <w:rFonts w:hint="eastAsia"/>
          <w:lang w:bidi="ar"/>
        </w:rPr>
        <w:t>本员工持股计划的持有人为公司董事、监事、高级管理人员、公司及公司全资或控股子公司的中层管理人员、公司及公司全资或控股子公司的核心业务技术骨干，共计不超过</w:t>
      </w:r>
      <w:r>
        <w:rPr>
          <w:lang w:bidi="ar"/>
        </w:rPr>
        <w:t>1</w:t>
      </w:r>
      <w:r>
        <w:rPr>
          <w:rFonts w:hint="eastAsia"/>
          <w:lang w:bidi="ar"/>
        </w:rPr>
        <w:t>00人。</w:t>
      </w:r>
    </w:p>
    <w:p w14:paraId="5A35C0EC">
      <w:pPr>
        <w:spacing w:before="156" w:after="156"/>
        <w:ind w:firstLine="480"/>
        <w:rPr>
          <w:lang w:bidi="ar"/>
        </w:rPr>
      </w:pPr>
      <w:r>
        <w:rPr>
          <w:rFonts w:hint="eastAsia"/>
          <w:lang w:bidi="ar"/>
        </w:rPr>
        <w:t>本次员工持股计划持有人按照认购份额按期足额缴纳认购资金。持有人认购资金未按期、足额缴纳的，则自动丧失相应的认购权利，由管理委员会将该部分权益份额重新分配给符合条件的其他员工。员工持股计划最终参加人员以及持有人具体持有份额根据实际情况而定。管理委员会可根据员工出资情况、变动情况、考核情况，对持股计划的员工名单和分配比例进行相应调整。</w:t>
      </w:r>
    </w:p>
    <w:p w14:paraId="3283B685">
      <w:pPr>
        <w:spacing w:before="156" w:after="156"/>
        <w:ind w:firstLine="482"/>
        <w:rPr>
          <w:lang w:bidi="ar"/>
        </w:rPr>
      </w:pPr>
      <w:bookmarkStart w:id="3" w:name="_Toc81239677"/>
      <w:r>
        <w:rPr>
          <w:rFonts w:hint="eastAsia"/>
          <w:b/>
          <w:bCs/>
          <w:lang w:bidi="ar"/>
        </w:rPr>
        <w:t>第五条</w:t>
      </w:r>
      <w:r>
        <w:rPr>
          <w:lang w:bidi="ar"/>
        </w:rPr>
        <w:t xml:space="preserve"> </w:t>
      </w:r>
      <w:r>
        <w:rPr>
          <w:rFonts w:hint="eastAsia"/>
          <w:lang w:bidi="ar"/>
        </w:rPr>
        <w:t>员工持股计划的资金来源</w:t>
      </w:r>
      <w:bookmarkEnd w:id="3"/>
    </w:p>
    <w:p w14:paraId="4746FE57">
      <w:pPr>
        <w:spacing w:before="156" w:after="156"/>
        <w:ind w:firstLine="480"/>
        <w:rPr>
          <w:lang w:bidi="ar"/>
        </w:rPr>
      </w:pPr>
      <w:r>
        <w:rPr>
          <w:rFonts w:hint="eastAsia"/>
          <w:lang w:bidi="ar"/>
        </w:rPr>
        <w:t>本员工持股计划的资金来源为员工合法薪酬及通过法律、行政法规允许的其他方式获得的自筹资金。公司不存在因员工参与本员工持股计划而提供财务资助或为其贷款提供担保的情形，</w:t>
      </w:r>
      <w:r>
        <w:rPr>
          <w:rFonts w:hint="eastAsia" w:asciiTheme="minorEastAsia" w:hAnsiTheme="minorEastAsia"/>
        </w:rPr>
        <w:t>不存在第三方为员工参加本员工持股计划提供奖励、补贴、兜底等安排</w:t>
      </w:r>
      <w:r>
        <w:rPr>
          <w:rFonts w:hint="eastAsia"/>
          <w:lang w:bidi="ar"/>
        </w:rPr>
        <w:t>。</w:t>
      </w:r>
    </w:p>
    <w:p w14:paraId="2B7FB552">
      <w:pPr>
        <w:spacing w:before="156" w:after="156"/>
        <w:ind w:firstLine="482"/>
        <w:rPr>
          <w:lang w:bidi="ar"/>
        </w:rPr>
      </w:pPr>
      <w:bookmarkStart w:id="4" w:name="_Toc81239678"/>
      <w:r>
        <w:rPr>
          <w:rFonts w:hint="eastAsia"/>
          <w:b/>
          <w:bCs/>
          <w:lang w:bidi="ar"/>
        </w:rPr>
        <w:t>第六条</w:t>
      </w:r>
      <w:r>
        <w:rPr>
          <w:lang w:bidi="ar"/>
        </w:rPr>
        <w:t xml:space="preserve"> </w:t>
      </w:r>
      <w:r>
        <w:rPr>
          <w:rFonts w:hint="eastAsia"/>
          <w:lang w:bidi="ar"/>
        </w:rPr>
        <w:t>员工持股计划的股票来源</w:t>
      </w:r>
      <w:bookmarkEnd w:id="4"/>
      <w:r>
        <w:rPr>
          <w:rFonts w:hint="eastAsia"/>
          <w:lang w:bidi="ar"/>
        </w:rPr>
        <w:t>和规模</w:t>
      </w:r>
    </w:p>
    <w:p w14:paraId="5D5BC200">
      <w:pPr>
        <w:spacing w:before="156" w:after="156"/>
        <w:ind w:firstLine="480"/>
        <w:rPr>
          <w:lang w:bidi="ar"/>
        </w:rPr>
      </w:pPr>
      <w:r>
        <w:rPr>
          <w:rFonts w:hint="eastAsia"/>
          <w:lang w:bidi="ar"/>
        </w:rPr>
        <w:t>（一）员工持股计划的股票来源</w:t>
      </w:r>
    </w:p>
    <w:p w14:paraId="0EAFE2F3">
      <w:pPr>
        <w:spacing w:before="156" w:after="156"/>
        <w:ind w:firstLine="480"/>
        <w:rPr>
          <w:rFonts w:cs="宋体"/>
          <w:color w:val="000000"/>
          <w:kern w:val="0"/>
          <w:lang w:bidi="ar"/>
        </w:rPr>
      </w:pPr>
      <w:bookmarkStart w:id="5" w:name="_Toc81239680"/>
      <w:r>
        <w:rPr>
          <w:rFonts w:hint="eastAsia" w:cs="宋体"/>
          <w:color w:val="000000"/>
          <w:kern w:val="0"/>
          <w:lang w:bidi="ar"/>
        </w:rPr>
        <w:t>本次员工持股计划涉及标的股票来源为公司回购专用证券账户回购的公司股票。公司通过股份回购专用证券账户以集中竞价交易方式累计回购公司股票29,800,000股，成交总金额为人民币99,916,654.12元（不含交易费用）。</w:t>
      </w:r>
    </w:p>
    <w:p w14:paraId="3FDF46E2">
      <w:pPr>
        <w:spacing w:before="156" w:after="156"/>
        <w:ind w:firstLine="480"/>
        <w:rPr>
          <w:rFonts w:cs="宋体"/>
          <w:color w:val="000000"/>
          <w:kern w:val="0"/>
          <w:lang w:bidi="ar"/>
        </w:rPr>
      </w:pPr>
      <w:r>
        <w:rPr>
          <w:rFonts w:hint="eastAsia" w:cs="宋体"/>
          <w:color w:val="000000"/>
          <w:kern w:val="0"/>
          <w:lang w:bidi="ar"/>
        </w:rPr>
        <w:t>（二）员工持股计划的规模</w:t>
      </w:r>
    </w:p>
    <w:p w14:paraId="284894F7">
      <w:pPr>
        <w:spacing w:before="156" w:after="156"/>
        <w:ind w:firstLine="480"/>
        <w:rPr>
          <w:rFonts w:cs="宋体"/>
          <w:color w:val="000000"/>
          <w:kern w:val="0"/>
          <w:lang w:bidi="ar"/>
        </w:rPr>
      </w:pPr>
      <w:r>
        <w:rPr>
          <w:rFonts w:hint="eastAsia" w:cs="宋体"/>
          <w:color w:val="000000"/>
          <w:kern w:val="0"/>
          <w:lang w:bidi="ar"/>
        </w:rPr>
        <w:t>本员工持股计划持股规模不超过2,980.00万股，约占公司现有股本总额股的1.75%。本员工持股计划实施后，公司全部有效的员工持股计划所持有的股票总数累计不超过公司股本总额的10%，单个员工所持本次员工持股计划份额所对应的股票总数累计不超过公司股本总额的1%。本次员工持股计划持有的股票总数不包括员工在公司首次公开发行股票上市前获得的股份、通过二级市场自行购买的股份及通过股权激励获得的股份。</w:t>
      </w:r>
    </w:p>
    <w:bookmarkEnd w:id="5"/>
    <w:p w14:paraId="5EA395F0">
      <w:pPr>
        <w:spacing w:before="156" w:after="156"/>
        <w:ind w:firstLine="482"/>
        <w:rPr>
          <w:lang w:bidi="ar"/>
        </w:rPr>
      </w:pPr>
      <w:r>
        <w:rPr>
          <w:rFonts w:hint="eastAsia"/>
          <w:b/>
          <w:bCs/>
          <w:lang w:bidi="ar"/>
        </w:rPr>
        <w:t xml:space="preserve">第七条 </w:t>
      </w:r>
      <w:r>
        <w:rPr>
          <w:rFonts w:hint="eastAsia"/>
          <w:lang w:bidi="ar"/>
        </w:rPr>
        <w:t>员工持股计划的存续期、锁定期</w:t>
      </w:r>
    </w:p>
    <w:p w14:paraId="44BC00B6">
      <w:pPr>
        <w:spacing w:before="156" w:after="156"/>
        <w:ind w:firstLine="480"/>
        <w:rPr>
          <w:lang w:bidi="ar"/>
        </w:rPr>
      </w:pPr>
      <w:r>
        <w:rPr>
          <w:rFonts w:hint="eastAsia"/>
          <w:lang w:bidi="ar"/>
        </w:rPr>
        <w:t>（一）员工持股计划的存续期</w:t>
      </w:r>
    </w:p>
    <w:p w14:paraId="02DDD6E6">
      <w:pPr>
        <w:spacing w:before="156" w:after="156"/>
        <w:ind w:firstLine="480"/>
        <w:rPr>
          <w:lang w:bidi="ar"/>
        </w:rPr>
      </w:pPr>
      <w:r>
        <w:rPr>
          <w:rFonts w:hint="eastAsia"/>
          <w:lang w:bidi="ar"/>
        </w:rPr>
        <w:t>1、本员工持股计划的存续期为</w:t>
      </w:r>
      <w:r>
        <w:rPr>
          <w:rFonts w:hint="eastAsia"/>
          <w:lang w:val="en-US" w:eastAsia="zh-CN" w:bidi="ar"/>
        </w:rPr>
        <w:t>48</w:t>
      </w:r>
      <w:r>
        <w:rPr>
          <w:rFonts w:hint="eastAsia"/>
          <w:lang w:bidi="ar"/>
        </w:rPr>
        <w:t>个月。自公司公告标的股票过户至本员工持股计划名下之日起算。</w:t>
      </w:r>
    </w:p>
    <w:p w14:paraId="1389F7B8">
      <w:pPr>
        <w:spacing w:before="156" w:after="156"/>
        <w:ind w:firstLine="480"/>
        <w:rPr>
          <w:lang w:bidi="ar"/>
        </w:rPr>
      </w:pPr>
      <w:r>
        <w:rPr>
          <w:rFonts w:hint="eastAsia"/>
          <w:lang w:bidi="ar"/>
        </w:rPr>
        <w:t>2、本员工持股计划存续期届满后自行终止。经持有人会议按照本员工持股计划规定审议通过并提交公司董事会审议通过后，本员工持股计划的存续期限可提前终止或展期。</w:t>
      </w:r>
    </w:p>
    <w:p w14:paraId="1E2C6D48">
      <w:pPr>
        <w:spacing w:before="156" w:after="156"/>
        <w:ind w:firstLine="480"/>
        <w:rPr>
          <w:lang w:bidi="ar"/>
        </w:rPr>
      </w:pPr>
      <w:r>
        <w:rPr>
          <w:rFonts w:hint="eastAsia"/>
          <w:lang w:bidi="ar"/>
        </w:rPr>
        <w:t>（二）员工持股计划的锁定期</w:t>
      </w:r>
    </w:p>
    <w:p w14:paraId="01175F31">
      <w:pPr>
        <w:spacing w:before="156" w:after="156"/>
        <w:ind w:firstLine="480"/>
        <w:rPr>
          <w:lang w:bidi="ar"/>
        </w:rPr>
      </w:pPr>
      <w:r>
        <w:rPr>
          <w:rFonts w:hint="eastAsia"/>
          <w:lang w:bidi="ar"/>
        </w:rPr>
        <w:t>1、本公司股东大会通过本员工持股计划后，采用非交易过户的方式完成标的股票的持有。本员工持股计划所获标的股票分</w:t>
      </w:r>
      <w:r>
        <w:rPr>
          <w:rFonts w:hint="eastAsia"/>
          <w:lang w:val="en-US" w:eastAsia="zh-CN" w:bidi="ar"/>
        </w:rPr>
        <w:t>三</w:t>
      </w:r>
      <w:r>
        <w:rPr>
          <w:rFonts w:hint="eastAsia"/>
          <w:lang w:bidi="ar"/>
        </w:rPr>
        <w:t>期解锁，解锁时点分别为自公司公告最后一笔标的股票过户至本员工持股计划名下之日起满12个月、24个月</w:t>
      </w:r>
      <w:r>
        <w:rPr>
          <w:rFonts w:hint="eastAsia"/>
          <w:lang w:eastAsia="zh-CN" w:bidi="ar"/>
        </w:rPr>
        <w:t>、</w:t>
      </w:r>
      <w:r>
        <w:rPr>
          <w:rFonts w:hint="eastAsia"/>
          <w:lang w:val="en-US" w:eastAsia="zh-CN" w:bidi="ar"/>
        </w:rPr>
        <w:t>36个月</w:t>
      </w:r>
      <w:r>
        <w:rPr>
          <w:rFonts w:hint="eastAsia"/>
          <w:lang w:bidi="ar"/>
        </w:rPr>
        <w:t>，最长锁定期为</w:t>
      </w:r>
      <w:r>
        <w:rPr>
          <w:rFonts w:hint="eastAsia"/>
          <w:lang w:val="en-US" w:eastAsia="zh-CN" w:bidi="ar"/>
        </w:rPr>
        <w:t>36</w:t>
      </w:r>
      <w:r>
        <w:rPr>
          <w:rFonts w:hint="eastAsia"/>
          <w:lang w:bidi="ar"/>
        </w:rPr>
        <w:t>个月，每期解锁的标的股票比例分别为本次员工持股计划总数的</w:t>
      </w:r>
      <w:r>
        <w:rPr>
          <w:rFonts w:hint="eastAsia"/>
          <w:lang w:val="en-US" w:eastAsia="zh-CN" w:bidi="ar"/>
        </w:rPr>
        <w:t>4</w:t>
      </w:r>
      <w:r>
        <w:rPr>
          <w:rFonts w:hint="eastAsia"/>
          <w:lang w:bidi="ar"/>
        </w:rPr>
        <w:t>0%、</w:t>
      </w:r>
      <w:r>
        <w:rPr>
          <w:rFonts w:hint="eastAsia"/>
          <w:lang w:val="en-US" w:eastAsia="zh-CN" w:bidi="ar"/>
        </w:rPr>
        <w:t>3</w:t>
      </w:r>
      <w:r>
        <w:rPr>
          <w:rFonts w:hint="eastAsia"/>
          <w:lang w:bidi="ar"/>
        </w:rPr>
        <w:t>0%</w:t>
      </w:r>
      <w:r>
        <w:rPr>
          <w:rFonts w:hint="eastAsia"/>
          <w:lang w:eastAsia="zh-CN" w:bidi="ar"/>
        </w:rPr>
        <w:t>、</w:t>
      </w:r>
      <w:r>
        <w:rPr>
          <w:rFonts w:hint="eastAsia"/>
          <w:lang w:val="en-US" w:eastAsia="zh-CN" w:bidi="ar"/>
        </w:rPr>
        <w:t>30%</w:t>
      </w:r>
      <w:r>
        <w:rPr>
          <w:rFonts w:hint="eastAsia"/>
          <w:lang w:bidi="ar"/>
        </w:rPr>
        <w:t>，各年度具体解锁比例和数量根据持有人考核结果计算确定。本次员工持股计划所取得标的股票，因公司分配股票股利、资本公积转增等情形所衍生取得的股份，亦应遵守上述股份锁定安排。</w:t>
      </w:r>
    </w:p>
    <w:p w14:paraId="264688D7">
      <w:pPr>
        <w:spacing w:before="156" w:after="156"/>
        <w:ind w:firstLine="480"/>
        <w:rPr>
          <w:lang w:bidi="ar"/>
        </w:rPr>
      </w:pPr>
      <w:r>
        <w:rPr>
          <w:rFonts w:hint="eastAsia"/>
          <w:lang w:bidi="ar"/>
        </w:rPr>
        <w:t>2、本员工持股计划将严格遵守市场交易规则，遵守中国证监会、深交所关于信息敏感期不得买卖股票的规定。</w:t>
      </w:r>
    </w:p>
    <w:p w14:paraId="26D9F51A">
      <w:pPr>
        <w:spacing w:before="156" w:after="156"/>
        <w:ind w:firstLine="480"/>
        <w:rPr>
          <w:lang w:bidi="ar"/>
        </w:rPr>
      </w:pPr>
      <w:r>
        <w:rPr>
          <w:rFonts w:hint="eastAsia"/>
          <w:lang w:bidi="ar"/>
        </w:rPr>
        <w:br w:type="page"/>
      </w:r>
    </w:p>
    <w:p w14:paraId="129CB1C0">
      <w:pPr>
        <w:pStyle w:val="2"/>
        <w:numPr>
          <w:ilvl w:val="0"/>
          <w:numId w:val="1"/>
        </w:numPr>
        <w:spacing w:before="156" w:after="156"/>
        <w:rPr>
          <w:rFonts w:cs="宋体"/>
          <w:color w:val="000000"/>
          <w:kern w:val="0"/>
          <w:lang w:bidi="ar"/>
        </w:rPr>
      </w:pPr>
      <w:bookmarkStart w:id="6" w:name="_Toc82787549"/>
      <w:r>
        <w:rPr>
          <w:rFonts w:hint="eastAsia"/>
          <w:lang w:bidi="ar"/>
        </w:rPr>
        <w:t>员工持股计划的管理</w:t>
      </w:r>
      <w:bookmarkEnd w:id="6"/>
    </w:p>
    <w:p w14:paraId="205BDB48">
      <w:pPr>
        <w:spacing w:before="156" w:after="156"/>
        <w:ind w:firstLine="482"/>
        <w:rPr>
          <w:lang w:bidi="ar"/>
        </w:rPr>
      </w:pPr>
      <w:r>
        <w:rPr>
          <w:rFonts w:hint="eastAsia"/>
          <w:b/>
          <w:bCs/>
          <w:lang w:bidi="ar"/>
        </w:rPr>
        <w:t>第八条</w:t>
      </w:r>
      <w:r>
        <w:rPr>
          <w:lang w:bidi="ar"/>
        </w:rPr>
        <w:t xml:space="preserve"> </w:t>
      </w:r>
      <w:r>
        <w:rPr>
          <w:rFonts w:hint="eastAsia"/>
          <w:lang w:bidi="ar"/>
        </w:rPr>
        <w:t>员工持股计划的管理模式</w:t>
      </w:r>
    </w:p>
    <w:p w14:paraId="51264297">
      <w:pPr>
        <w:spacing w:before="156" w:after="156"/>
        <w:ind w:firstLine="480"/>
        <w:rPr>
          <w:lang w:bidi="ar"/>
        </w:rPr>
      </w:pPr>
      <w:r>
        <w:rPr>
          <w:rFonts w:hint="eastAsia"/>
          <w:lang w:bidi="ar"/>
        </w:rPr>
        <w:t>本员工持股计划由公司自行管理。本员工持股计划的内部管理机构为持有人会议。员工持股计划设管理委员会，负责员工持股计划的日常管理，代表持有人行使股东权利。</w:t>
      </w:r>
      <w:r>
        <w:rPr>
          <w:rFonts w:hint="eastAsia" w:asciiTheme="minorEastAsia" w:hAnsiTheme="minorEastAsia"/>
        </w:rPr>
        <w:t>公司董事会负责拟定和修改</w:t>
      </w:r>
      <w:r>
        <w:rPr>
          <w:rFonts w:hint="eastAsia" w:cs="宋体"/>
          <w:color w:val="000000"/>
          <w:kern w:val="0"/>
          <w:lang w:bidi="ar"/>
        </w:rPr>
        <w:t>本员工持股计划</w:t>
      </w:r>
      <w:r>
        <w:rPr>
          <w:rFonts w:hint="eastAsia" w:asciiTheme="minorEastAsia" w:hAnsiTheme="minorEastAsia"/>
        </w:rPr>
        <w:t>草案，并在股东大会授权范围内办理本员工持股计划的其他相关事宜。</w:t>
      </w:r>
    </w:p>
    <w:p w14:paraId="636773DC">
      <w:pPr>
        <w:spacing w:before="156" w:after="156"/>
        <w:ind w:firstLine="482"/>
        <w:rPr>
          <w:lang w:bidi="ar"/>
        </w:rPr>
      </w:pPr>
      <w:bookmarkStart w:id="7" w:name="_Toc81239686"/>
      <w:r>
        <w:rPr>
          <w:rFonts w:hint="eastAsia"/>
          <w:b/>
          <w:bCs/>
          <w:lang w:bidi="ar"/>
        </w:rPr>
        <w:t>第九条</w:t>
      </w:r>
      <w:r>
        <w:rPr>
          <w:rFonts w:hint="eastAsia"/>
          <w:lang w:bidi="ar"/>
        </w:rPr>
        <w:t xml:space="preserve"> 员工持股计划持有人会议</w:t>
      </w:r>
      <w:bookmarkEnd w:id="7"/>
    </w:p>
    <w:p w14:paraId="75D00021">
      <w:pPr>
        <w:spacing w:before="156" w:after="156"/>
        <w:ind w:firstLine="480"/>
        <w:rPr>
          <w:lang w:bidi="ar"/>
        </w:rPr>
      </w:pPr>
      <w:r>
        <w:rPr>
          <w:rFonts w:hint="eastAsia"/>
          <w:lang w:bidi="ar"/>
        </w:rPr>
        <w:t>本员工持股计划的参加对象在认购员工持股计划份额后即成为本员工持股计划的持有人，持有人会议是本员工持股计划的最高权力机构，由全体持有人组成。所有持有人均有权参加员工持股计划持有人会议，并按其持有份额行使表决权。持有人会议行使如下职权：</w:t>
      </w:r>
    </w:p>
    <w:p w14:paraId="47A1D63E">
      <w:pPr>
        <w:spacing w:before="156" w:after="156"/>
        <w:ind w:firstLine="480"/>
        <w:rPr>
          <w:lang w:bidi="ar"/>
        </w:rPr>
      </w:pPr>
      <w:r>
        <w:rPr>
          <w:lang w:bidi="ar"/>
        </w:rPr>
        <w:t>1</w:t>
      </w:r>
      <w:r>
        <w:rPr>
          <w:rFonts w:hint="eastAsia"/>
          <w:lang w:bidi="ar"/>
        </w:rPr>
        <w:t>、选举和罢免管理委员会委员；</w:t>
      </w:r>
    </w:p>
    <w:p w14:paraId="26A4E3DD">
      <w:pPr>
        <w:spacing w:before="156" w:after="156"/>
        <w:ind w:firstLine="480"/>
        <w:rPr>
          <w:lang w:bidi="ar"/>
        </w:rPr>
      </w:pPr>
      <w:r>
        <w:rPr>
          <w:lang w:bidi="ar"/>
        </w:rPr>
        <w:t>2</w:t>
      </w:r>
      <w:r>
        <w:rPr>
          <w:rFonts w:hint="eastAsia"/>
          <w:lang w:bidi="ar"/>
        </w:rPr>
        <w:t>、审议批准员工持股计划的变更、终止、存续期的延长和提前终止；</w:t>
      </w:r>
    </w:p>
    <w:p w14:paraId="1EC658DF">
      <w:pPr>
        <w:spacing w:before="156" w:after="156"/>
        <w:ind w:firstLine="480"/>
        <w:rPr>
          <w:lang w:bidi="ar"/>
        </w:rPr>
      </w:pPr>
      <w:r>
        <w:rPr>
          <w:lang w:bidi="ar"/>
        </w:rPr>
        <w:t>3</w:t>
      </w:r>
      <w:r>
        <w:rPr>
          <w:rFonts w:hint="eastAsia"/>
          <w:lang w:bidi="ar"/>
        </w:rPr>
        <w:t>、审议员工持股计划在存续期内是否参与公司配股、增发、可转债等融资计划；</w:t>
      </w:r>
    </w:p>
    <w:p w14:paraId="3A4C36B5">
      <w:pPr>
        <w:spacing w:before="156" w:after="156"/>
        <w:ind w:firstLine="480"/>
        <w:rPr>
          <w:lang w:bidi="ar"/>
        </w:rPr>
      </w:pPr>
      <w:r>
        <w:rPr>
          <w:lang w:bidi="ar"/>
        </w:rPr>
        <w:t>4</w:t>
      </w:r>
      <w:r>
        <w:rPr>
          <w:rFonts w:hint="eastAsia"/>
          <w:lang w:bidi="ar"/>
        </w:rPr>
        <w:t>、授权管理委员会监督员工持股计划的日常管理；</w:t>
      </w:r>
    </w:p>
    <w:p w14:paraId="18DB9379">
      <w:pPr>
        <w:spacing w:before="156" w:after="156"/>
        <w:ind w:firstLine="480"/>
        <w:rPr>
          <w:lang w:bidi="ar"/>
        </w:rPr>
      </w:pPr>
      <w:r>
        <w:rPr>
          <w:lang w:bidi="ar"/>
        </w:rPr>
        <w:t>5</w:t>
      </w:r>
      <w:r>
        <w:rPr>
          <w:rFonts w:hint="eastAsia"/>
          <w:lang w:bidi="ar"/>
        </w:rPr>
        <w:t>、授权管理委员会行使员工持股计划资产所对应的股东权利；</w:t>
      </w:r>
    </w:p>
    <w:p w14:paraId="58315940">
      <w:pPr>
        <w:spacing w:before="156" w:after="156"/>
        <w:ind w:firstLine="480"/>
        <w:rPr>
          <w:lang w:bidi="ar"/>
        </w:rPr>
      </w:pPr>
      <w:r>
        <w:rPr>
          <w:rFonts w:hint="eastAsia"/>
          <w:lang w:bidi="ar"/>
        </w:rPr>
        <w:t>6、授权管理委员会负责与外部对接工作；</w:t>
      </w:r>
    </w:p>
    <w:p w14:paraId="3AB55B01">
      <w:pPr>
        <w:spacing w:before="156" w:after="156"/>
        <w:ind w:firstLine="480"/>
        <w:rPr>
          <w:lang w:bidi="ar"/>
        </w:rPr>
      </w:pPr>
      <w:r>
        <w:rPr>
          <w:lang w:bidi="ar"/>
        </w:rPr>
        <w:t>7</w:t>
      </w:r>
      <w:r>
        <w:rPr>
          <w:rFonts w:hint="eastAsia"/>
          <w:lang w:bidi="ar"/>
        </w:rPr>
        <w:t>、制定和修订员工持股计划的管理办法；</w:t>
      </w:r>
    </w:p>
    <w:p w14:paraId="5A710B3B">
      <w:pPr>
        <w:spacing w:before="156" w:after="156"/>
        <w:ind w:firstLine="480"/>
        <w:rPr>
          <w:lang w:bidi="ar"/>
        </w:rPr>
      </w:pPr>
      <w:r>
        <w:rPr>
          <w:lang w:bidi="ar"/>
        </w:rPr>
        <w:t>8</w:t>
      </w:r>
      <w:r>
        <w:rPr>
          <w:rFonts w:hint="eastAsia"/>
          <w:lang w:bidi="ar"/>
        </w:rPr>
        <w:t>、授权管理委员会负责本员工持股计划的清算和财产分配；</w:t>
      </w:r>
    </w:p>
    <w:p w14:paraId="3DC8B66B">
      <w:pPr>
        <w:spacing w:before="156" w:after="156"/>
        <w:ind w:firstLine="480"/>
        <w:rPr>
          <w:lang w:bidi="ar"/>
        </w:rPr>
      </w:pPr>
      <w:r>
        <w:rPr>
          <w:lang w:bidi="ar"/>
        </w:rPr>
        <w:t>9</w:t>
      </w:r>
      <w:r>
        <w:rPr>
          <w:rFonts w:hint="eastAsia"/>
          <w:lang w:bidi="ar"/>
        </w:rPr>
        <w:t>、授权管理委员会开立并管理本员工持股计划的证券账户、资金账户及其他相关账户；</w:t>
      </w:r>
    </w:p>
    <w:p w14:paraId="580AF47F">
      <w:pPr>
        <w:spacing w:before="156" w:after="156"/>
        <w:ind w:firstLine="480"/>
        <w:rPr>
          <w:lang w:bidi="ar"/>
        </w:rPr>
      </w:pPr>
      <w:r>
        <w:rPr>
          <w:lang w:bidi="ar"/>
        </w:rPr>
        <w:t>10</w:t>
      </w:r>
      <w:r>
        <w:rPr>
          <w:rFonts w:hint="eastAsia"/>
          <w:lang w:bidi="ar"/>
        </w:rPr>
        <w:t>、授权管理委员会行使员工持股计划资产管理职责，包括但不限于在锁定期届满后出售公司股票进行变现，</w:t>
      </w:r>
      <w:r>
        <w:rPr>
          <w:rFonts w:hint="eastAsia" w:asciiTheme="minorEastAsia" w:hAnsiTheme="minorEastAsia"/>
        </w:rPr>
        <w:t>根据持有人会议授权，</w:t>
      </w:r>
      <w:r>
        <w:rPr>
          <w:rFonts w:hint="eastAsia"/>
          <w:lang w:bidi="ar"/>
        </w:rPr>
        <w:t>将员工持股计划的闲置资金投资于银行理财产品（仅限于保本型理财产品）；</w:t>
      </w:r>
    </w:p>
    <w:p w14:paraId="37528CDF">
      <w:pPr>
        <w:spacing w:before="156" w:after="156"/>
        <w:ind w:firstLine="480"/>
        <w:rPr>
          <w:lang w:bidi="ar"/>
        </w:rPr>
      </w:pPr>
      <w:r>
        <w:rPr>
          <w:rFonts w:hint="eastAsia"/>
          <w:lang w:bidi="ar"/>
        </w:rPr>
        <w:t>1</w:t>
      </w:r>
      <w:r>
        <w:rPr>
          <w:lang w:bidi="ar"/>
        </w:rPr>
        <w:t>1</w:t>
      </w:r>
      <w:r>
        <w:rPr>
          <w:rFonts w:hint="eastAsia"/>
          <w:lang w:bidi="ar"/>
        </w:rPr>
        <w:t>、法律、法规、规章、规范性文件或本员工持股计划规定的持有人会议其他职权。</w:t>
      </w:r>
    </w:p>
    <w:p w14:paraId="0087079C">
      <w:pPr>
        <w:spacing w:before="156" w:after="156"/>
        <w:ind w:firstLine="480"/>
        <w:rPr>
          <w:lang w:bidi="ar"/>
        </w:rPr>
      </w:pPr>
      <w:r>
        <w:rPr>
          <w:rFonts w:hint="eastAsia"/>
          <w:lang w:bidi="ar"/>
        </w:rPr>
        <w:t>（二）持有人会议的召集和召开程序</w:t>
      </w:r>
    </w:p>
    <w:p w14:paraId="163C8007">
      <w:pPr>
        <w:spacing w:before="156" w:after="156"/>
        <w:ind w:firstLine="480"/>
        <w:rPr>
          <w:lang w:bidi="ar"/>
        </w:rPr>
      </w:pPr>
      <w:r>
        <w:rPr>
          <w:lang w:bidi="ar"/>
        </w:rPr>
        <w:t>1</w:t>
      </w:r>
      <w:r>
        <w:rPr>
          <w:rFonts w:hint="eastAsia"/>
          <w:lang w:bidi="ar"/>
        </w:rPr>
        <w:t>、持有人会议应有过半数的持有人出席方可举行。首次持有人会议由公司董事长负责召集和主持，此后的持有人会议由管理委员会负责召集，管理委员会主任负责主持；管理委员会主任不能履行义务时，由其指派一名管理委员会委员负责主持。</w:t>
      </w:r>
    </w:p>
    <w:p w14:paraId="2A0859A5">
      <w:pPr>
        <w:spacing w:before="156" w:after="156"/>
        <w:ind w:firstLine="480"/>
        <w:rPr>
          <w:lang w:bidi="ar"/>
        </w:rPr>
      </w:pPr>
      <w:r>
        <w:rPr>
          <w:lang w:bidi="ar"/>
        </w:rPr>
        <w:t>2</w:t>
      </w:r>
      <w:r>
        <w:rPr>
          <w:rFonts w:hint="eastAsia"/>
          <w:lang w:bidi="ar"/>
        </w:rPr>
        <w:t>、单独或合计持有员工持股计划三分之一（不含）以上份额的持有人可以提议召开持有人会议。</w:t>
      </w:r>
    </w:p>
    <w:p w14:paraId="1D63E543">
      <w:pPr>
        <w:spacing w:before="156" w:after="156"/>
        <w:ind w:firstLine="480"/>
        <w:rPr>
          <w:lang w:bidi="ar"/>
        </w:rPr>
      </w:pPr>
      <w:r>
        <w:rPr>
          <w:lang w:bidi="ar"/>
        </w:rPr>
        <w:t>3</w:t>
      </w:r>
      <w:r>
        <w:rPr>
          <w:rFonts w:hint="eastAsia"/>
          <w:lang w:bidi="ar"/>
        </w:rPr>
        <w:t>、单独或合计持有员工持股计划</w:t>
      </w:r>
      <w:r>
        <w:rPr>
          <w:lang w:bidi="ar"/>
        </w:rPr>
        <w:t>20%</w:t>
      </w:r>
      <w:r>
        <w:rPr>
          <w:rFonts w:hint="eastAsia"/>
          <w:lang w:bidi="ar"/>
        </w:rPr>
        <w:t>（不含）以上份额的持有人可以向持有人会议提交临时提案，临时提案须在持有人会议召开前</w:t>
      </w:r>
      <w:r>
        <w:rPr>
          <w:lang w:bidi="ar"/>
        </w:rPr>
        <w:t>3</w:t>
      </w:r>
      <w:r>
        <w:rPr>
          <w:rFonts w:hint="eastAsia"/>
          <w:lang w:bidi="ar"/>
        </w:rPr>
        <w:t>个工作日向管理委员会提交。</w:t>
      </w:r>
    </w:p>
    <w:p w14:paraId="1C5EF869">
      <w:pPr>
        <w:spacing w:before="156" w:after="156"/>
        <w:ind w:firstLine="480"/>
        <w:rPr>
          <w:lang w:bidi="ar"/>
        </w:rPr>
      </w:pPr>
      <w:r>
        <w:rPr>
          <w:lang w:bidi="ar"/>
        </w:rPr>
        <w:t>4</w:t>
      </w:r>
      <w:r>
        <w:rPr>
          <w:rFonts w:hint="eastAsia"/>
          <w:lang w:bidi="ar"/>
        </w:rPr>
        <w:t>、应当召开持有人会议的情形：</w:t>
      </w:r>
    </w:p>
    <w:p w14:paraId="026C890C">
      <w:pPr>
        <w:spacing w:before="156" w:after="156"/>
        <w:ind w:firstLine="480"/>
        <w:rPr>
          <w:lang w:bidi="ar"/>
        </w:rPr>
      </w:pPr>
      <w:r>
        <w:rPr>
          <w:rFonts w:hint="eastAsia"/>
          <w:lang w:bidi="ar"/>
        </w:rPr>
        <w:t>（</w:t>
      </w:r>
      <w:r>
        <w:rPr>
          <w:lang w:bidi="ar"/>
        </w:rPr>
        <w:t>1</w:t>
      </w:r>
      <w:r>
        <w:rPr>
          <w:rFonts w:hint="eastAsia"/>
          <w:lang w:bidi="ar"/>
        </w:rPr>
        <w:t>）制定和修订员工持股计划的管理办法；</w:t>
      </w:r>
    </w:p>
    <w:p w14:paraId="18D24DFB">
      <w:pPr>
        <w:spacing w:before="156" w:after="156"/>
        <w:ind w:firstLine="480"/>
        <w:rPr>
          <w:lang w:bidi="ar"/>
        </w:rPr>
      </w:pPr>
      <w:r>
        <w:rPr>
          <w:rFonts w:hint="eastAsia"/>
          <w:lang w:bidi="ar"/>
        </w:rPr>
        <w:t>（</w:t>
      </w:r>
      <w:r>
        <w:rPr>
          <w:lang w:bidi="ar"/>
        </w:rPr>
        <w:t>2</w:t>
      </w:r>
      <w:r>
        <w:rPr>
          <w:rFonts w:hint="eastAsia"/>
          <w:lang w:bidi="ar"/>
        </w:rPr>
        <w:t>）选举和罢免管理委员会委员；</w:t>
      </w:r>
    </w:p>
    <w:p w14:paraId="570647A3">
      <w:pPr>
        <w:spacing w:before="156" w:after="156"/>
        <w:ind w:firstLine="480"/>
        <w:rPr>
          <w:lang w:bidi="ar"/>
        </w:rPr>
      </w:pPr>
      <w:r>
        <w:rPr>
          <w:rFonts w:hint="eastAsia"/>
          <w:lang w:bidi="ar"/>
        </w:rPr>
        <w:t>（</w:t>
      </w:r>
      <w:r>
        <w:rPr>
          <w:lang w:bidi="ar"/>
        </w:rPr>
        <w:t>3</w:t>
      </w:r>
      <w:r>
        <w:rPr>
          <w:rFonts w:hint="eastAsia"/>
          <w:lang w:bidi="ar"/>
        </w:rPr>
        <w:t>）员工持股计划的变更、终止、存续期的延长和提前终止；</w:t>
      </w:r>
    </w:p>
    <w:p w14:paraId="26F72490">
      <w:pPr>
        <w:spacing w:before="156" w:after="156"/>
        <w:ind w:firstLine="480"/>
        <w:rPr>
          <w:lang w:bidi="ar"/>
        </w:rPr>
      </w:pPr>
      <w:r>
        <w:rPr>
          <w:rFonts w:hint="eastAsia"/>
          <w:lang w:bidi="ar"/>
        </w:rPr>
        <w:t>（</w:t>
      </w:r>
      <w:r>
        <w:rPr>
          <w:lang w:bidi="ar"/>
        </w:rPr>
        <w:t>4</w:t>
      </w:r>
      <w:r>
        <w:rPr>
          <w:rFonts w:hint="eastAsia"/>
          <w:lang w:bidi="ar"/>
        </w:rPr>
        <w:t>）员工持股计划存续期内，需要决定员工持股计划是否参与公司配股、增发、可转债等融资计划；</w:t>
      </w:r>
    </w:p>
    <w:p w14:paraId="724274D0">
      <w:pPr>
        <w:spacing w:before="156" w:after="156"/>
        <w:ind w:firstLine="480"/>
        <w:rPr>
          <w:lang w:bidi="ar"/>
        </w:rPr>
      </w:pPr>
      <w:r>
        <w:rPr>
          <w:rFonts w:hint="eastAsia"/>
          <w:lang w:bidi="ar"/>
        </w:rPr>
        <w:t>（</w:t>
      </w:r>
      <w:r>
        <w:rPr>
          <w:lang w:bidi="ar"/>
        </w:rPr>
        <w:t>5</w:t>
      </w:r>
      <w:r>
        <w:rPr>
          <w:rFonts w:hint="eastAsia"/>
          <w:lang w:bidi="ar"/>
        </w:rPr>
        <w:t>）出现本员工持股计划规定的其他需要持有人会议审议的事项。</w:t>
      </w:r>
    </w:p>
    <w:p w14:paraId="7A883ADB">
      <w:pPr>
        <w:spacing w:before="156" w:after="156"/>
        <w:ind w:firstLine="480"/>
        <w:rPr>
          <w:lang w:bidi="ar"/>
        </w:rPr>
      </w:pPr>
      <w:r>
        <w:rPr>
          <w:lang w:bidi="ar"/>
        </w:rPr>
        <w:t>5</w:t>
      </w:r>
      <w:r>
        <w:rPr>
          <w:rFonts w:hint="eastAsia"/>
          <w:lang w:bidi="ar"/>
        </w:rPr>
        <w:t>、召开持有人会议，会议召集人应提前</w:t>
      </w:r>
      <w:r>
        <w:rPr>
          <w:lang w:bidi="ar"/>
        </w:rPr>
        <w:t>5</w:t>
      </w:r>
      <w:r>
        <w:rPr>
          <w:rFonts w:hint="eastAsia"/>
          <w:lang w:bidi="ar"/>
        </w:rPr>
        <w:t>日发出会议通知，会议通知通过直接送达、邮寄、传真、电子邮件或者其他方式，提交给全体持有人。会议通知应当至少包括会议的时间、地点、方式，会议拟审议的主要事项，联系人和联系方式，发出通知的日期。</w:t>
      </w:r>
    </w:p>
    <w:p w14:paraId="03C9F791">
      <w:pPr>
        <w:spacing w:before="156" w:after="156"/>
        <w:ind w:firstLine="480"/>
        <w:rPr>
          <w:lang w:bidi="ar"/>
        </w:rPr>
      </w:pPr>
      <w:r>
        <w:rPr>
          <w:rFonts w:hint="eastAsia"/>
          <w:lang w:bidi="ar"/>
        </w:rPr>
        <w:t>（三）持有人会议的表决程序</w:t>
      </w:r>
    </w:p>
    <w:p w14:paraId="44F18569">
      <w:pPr>
        <w:spacing w:before="156" w:after="156"/>
        <w:ind w:firstLine="480"/>
        <w:rPr>
          <w:lang w:bidi="ar"/>
        </w:rPr>
      </w:pPr>
      <w:r>
        <w:rPr>
          <w:lang w:bidi="ar"/>
        </w:rPr>
        <w:t>1</w:t>
      </w:r>
      <w:r>
        <w:rPr>
          <w:rFonts w:hint="eastAsia"/>
          <w:lang w:bidi="ar"/>
        </w:rPr>
        <w:t>、持有人以其持有的本员工持股计划份额行使表决权，每</w:t>
      </w:r>
      <w:r>
        <w:rPr>
          <w:lang w:bidi="ar"/>
        </w:rPr>
        <w:t>1</w:t>
      </w:r>
      <w:r>
        <w:rPr>
          <w:rFonts w:hint="eastAsia"/>
          <w:lang w:bidi="ar"/>
        </w:rPr>
        <w:t>单位计划份额具有</w:t>
      </w:r>
      <w:r>
        <w:rPr>
          <w:lang w:bidi="ar"/>
        </w:rPr>
        <w:t>1</w:t>
      </w:r>
      <w:r>
        <w:rPr>
          <w:rFonts w:hint="eastAsia"/>
          <w:lang w:bidi="ar"/>
        </w:rPr>
        <w:t>票表决权，持有人会议以记名方式投票表决。</w:t>
      </w:r>
    </w:p>
    <w:p w14:paraId="0097F6F3">
      <w:pPr>
        <w:spacing w:before="156" w:after="156"/>
        <w:ind w:firstLine="480"/>
        <w:rPr>
          <w:lang w:bidi="ar"/>
        </w:rPr>
      </w:pPr>
      <w:r>
        <w:rPr>
          <w:lang w:bidi="ar"/>
        </w:rPr>
        <w:t>2</w:t>
      </w:r>
      <w:r>
        <w:rPr>
          <w:rFonts w:hint="eastAsia"/>
          <w:lang w:bidi="ar"/>
        </w:rPr>
        <w:t>、持有人会议对所有提案进行逐项表决，持有人会议作出决议可采取填写表决票的书面表决方式或举手表决方式。持有人会议在保障持有人充分表达意见的前提下，可以用传真、电话或视频会议等方式进行并作出决议，并由参会持有人签字。</w:t>
      </w:r>
    </w:p>
    <w:p w14:paraId="60E967AC">
      <w:pPr>
        <w:spacing w:before="156" w:after="156"/>
        <w:ind w:firstLine="480"/>
        <w:rPr>
          <w:lang w:bidi="ar"/>
        </w:rPr>
      </w:pPr>
      <w:r>
        <w:rPr>
          <w:lang w:bidi="ar"/>
        </w:rPr>
        <w:t>3</w:t>
      </w:r>
      <w:r>
        <w:rPr>
          <w:rFonts w:hint="eastAsia"/>
          <w:lang w:bidi="ar"/>
        </w:rPr>
        <w:t>、持有人对提交持有人会议审议的事项发表以下意见之一：同意、反对或弃权。未填、错填、字迹无法辨认的表决票或未投的表决票均视为投票人放弃表决权利，其所持股份数的表决结果应计为</w:t>
      </w:r>
      <w:r>
        <w:rPr>
          <w:lang w:bidi="ar"/>
        </w:rPr>
        <w:t>“</w:t>
      </w:r>
      <w:r>
        <w:rPr>
          <w:rFonts w:hint="eastAsia"/>
          <w:lang w:bidi="ar"/>
        </w:rPr>
        <w:t>弃权</w:t>
      </w:r>
      <w:r>
        <w:rPr>
          <w:lang w:bidi="ar"/>
        </w:rPr>
        <w:t>”</w:t>
      </w:r>
      <w:r>
        <w:rPr>
          <w:rFonts w:hint="eastAsia"/>
          <w:lang w:bidi="ar"/>
        </w:rPr>
        <w:t>。</w:t>
      </w:r>
    </w:p>
    <w:p w14:paraId="753B0F71">
      <w:pPr>
        <w:spacing w:before="156" w:after="156"/>
        <w:ind w:firstLine="480"/>
        <w:rPr>
          <w:lang w:bidi="ar"/>
        </w:rPr>
      </w:pPr>
      <w:r>
        <w:rPr>
          <w:lang w:bidi="ar"/>
        </w:rPr>
        <w:t>4</w:t>
      </w:r>
      <w:r>
        <w:rPr>
          <w:rFonts w:hint="eastAsia"/>
          <w:lang w:bidi="ar"/>
        </w:rPr>
        <w:t>、选举管理委员会委员时，按得票多少依次当选。</w:t>
      </w:r>
    </w:p>
    <w:p w14:paraId="75CC652C">
      <w:pPr>
        <w:spacing w:before="156" w:after="156"/>
        <w:ind w:firstLine="480"/>
        <w:rPr>
          <w:lang w:bidi="ar"/>
        </w:rPr>
      </w:pPr>
      <w:r>
        <w:rPr>
          <w:lang w:bidi="ar"/>
        </w:rPr>
        <w:t>5</w:t>
      </w:r>
      <w:r>
        <w:rPr>
          <w:rFonts w:hint="eastAsia"/>
          <w:lang w:bidi="ar"/>
        </w:rPr>
        <w:t>、除选举管理委员会委员外，持有人会议作出决议，每项决议应当经过出席持有人会议的持有人所持表决权的三分之二（不含）以上表决通过。</w:t>
      </w:r>
    </w:p>
    <w:p w14:paraId="3D524464">
      <w:pPr>
        <w:spacing w:before="156" w:after="156"/>
        <w:ind w:firstLine="480"/>
        <w:rPr>
          <w:lang w:bidi="ar"/>
        </w:rPr>
      </w:pPr>
      <w:r>
        <w:rPr>
          <w:lang w:bidi="ar"/>
        </w:rPr>
        <w:t>6</w:t>
      </w:r>
      <w:r>
        <w:rPr>
          <w:rFonts w:hint="eastAsia"/>
          <w:lang w:bidi="ar"/>
        </w:rPr>
        <w:t>、持有人会议应当推举</w:t>
      </w:r>
      <w:r>
        <w:rPr>
          <w:lang w:bidi="ar"/>
        </w:rPr>
        <w:t>2</w:t>
      </w:r>
      <w:r>
        <w:rPr>
          <w:rFonts w:hint="eastAsia"/>
          <w:lang w:bidi="ar"/>
        </w:rPr>
        <w:t>名持有人负责计票和监票。持有人会议主持人应当场宣布表决结果，且持有人会议应形成会议记录。</w:t>
      </w:r>
    </w:p>
    <w:p w14:paraId="18169077">
      <w:pPr>
        <w:spacing w:before="156" w:after="156"/>
        <w:ind w:firstLine="480"/>
        <w:rPr>
          <w:lang w:bidi="ar"/>
        </w:rPr>
      </w:pPr>
      <w:r>
        <w:rPr>
          <w:lang w:bidi="ar"/>
        </w:rPr>
        <w:t>7</w:t>
      </w:r>
      <w:r>
        <w:rPr>
          <w:rFonts w:hint="eastAsia"/>
          <w:lang w:bidi="ar"/>
        </w:rPr>
        <w:t>、持有人会议决议需报公司董事会、股东大会审议的，须按照《公司章程》的规定提交公司董事会、股东大会审议。</w:t>
      </w:r>
    </w:p>
    <w:p w14:paraId="67C44D87">
      <w:pPr>
        <w:spacing w:before="156" w:after="156"/>
        <w:ind w:firstLine="482"/>
        <w:rPr>
          <w:lang w:bidi="ar"/>
        </w:rPr>
      </w:pPr>
      <w:bookmarkStart w:id="8" w:name="_Toc81239687"/>
      <w:r>
        <w:rPr>
          <w:rFonts w:hint="eastAsia"/>
          <w:b/>
          <w:bCs/>
          <w:lang w:bidi="ar"/>
        </w:rPr>
        <w:t>第十条</w:t>
      </w:r>
      <w:r>
        <w:rPr>
          <w:lang w:bidi="ar"/>
        </w:rPr>
        <w:t xml:space="preserve"> </w:t>
      </w:r>
      <w:r>
        <w:rPr>
          <w:rFonts w:hint="eastAsia"/>
          <w:lang w:bidi="ar"/>
        </w:rPr>
        <w:t>管理委员会</w:t>
      </w:r>
      <w:bookmarkEnd w:id="8"/>
    </w:p>
    <w:p w14:paraId="1822F944">
      <w:pPr>
        <w:spacing w:before="156" w:after="156"/>
        <w:ind w:firstLine="480"/>
        <w:rPr>
          <w:lang w:bidi="ar"/>
        </w:rPr>
      </w:pPr>
      <w:r>
        <w:rPr>
          <w:rFonts w:hint="eastAsia"/>
          <w:lang w:bidi="ar"/>
        </w:rPr>
        <w:t>本员工持股计划设管理委员会，负责员工持股计划的日常管理，对员工持股计划持有人会议负责，代表持有人行使股东权利</w:t>
      </w:r>
      <w:r>
        <w:rPr>
          <w:rFonts w:hint="eastAsia" w:asciiTheme="minorEastAsia" w:hAnsiTheme="minorEastAsia"/>
        </w:rPr>
        <w:t>，包括但不限于公司股东大会的出席、提案、表决等的安排，以及参加公司现金分红、债券兑息、送股、转增股份、配股和配售债券等的安排</w:t>
      </w:r>
      <w:r>
        <w:rPr>
          <w:rFonts w:hint="eastAsia"/>
          <w:lang w:bidi="ar"/>
        </w:rPr>
        <w:t>。</w:t>
      </w:r>
    </w:p>
    <w:p w14:paraId="77ED9E61">
      <w:pPr>
        <w:spacing w:before="156" w:after="156"/>
        <w:ind w:firstLine="480"/>
        <w:rPr>
          <w:lang w:bidi="ar"/>
        </w:rPr>
      </w:pPr>
      <w:r>
        <w:rPr>
          <w:rFonts w:hint="eastAsia"/>
          <w:lang w:bidi="ar"/>
        </w:rPr>
        <w:t>（一）管理委员会委员的选任程序</w:t>
      </w:r>
    </w:p>
    <w:p w14:paraId="3E5FBB13">
      <w:pPr>
        <w:spacing w:before="156" w:after="156"/>
        <w:ind w:firstLine="480"/>
        <w:rPr>
          <w:lang w:bidi="ar"/>
        </w:rPr>
      </w:pPr>
      <w:r>
        <w:rPr>
          <w:rFonts w:hint="eastAsia"/>
          <w:lang w:bidi="ar"/>
        </w:rPr>
        <w:t>管理委员会由5名委员组成，设管理委员会主任1名。管理委员会委员均由持有人会议选举产生。管理委员会主任由管理委员会以全体委员的过半数选举产生，任期为员工持股计划的存续期。</w:t>
      </w:r>
    </w:p>
    <w:p w14:paraId="01CB8953">
      <w:pPr>
        <w:spacing w:before="156" w:after="156"/>
        <w:ind w:firstLine="480"/>
        <w:rPr>
          <w:lang w:bidi="ar"/>
        </w:rPr>
      </w:pPr>
      <w:r>
        <w:rPr>
          <w:rFonts w:hint="eastAsia"/>
          <w:lang w:bidi="ar"/>
        </w:rPr>
        <w:t>（二）管理委员会委员的义务</w:t>
      </w:r>
    </w:p>
    <w:p w14:paraId="316982FC">
      <w:pPr>
        <w:spacing w:before="156" w:after="156"/>
        <w:ind w:firstLine="480"/>
        <w:rPr>
          <w:lang w:bidi="ar"/>
        </w:rPr>
      </w:pPr>
      <w:r>
        <w:rPr>
          <w:rFonts w:hint="eastAsia"/>
          <w:lang w:bidi="ar"/>
        </w:rPr>
        <w:t>管理委员会根据相关法律、行政法规、部门规章、本管理办法管理员工持股计划资产，并维护员工持股计划持有人的合法权益，确保员工持股计划的资产安全，对员工持股计划负有下列忠实义务：</w:t>
      </w:r>
    </w:p>
    <w:p w14:paraId="37D2CCD2">
      <w:pPr>
        <w:spacing w:before="156" w:after="156"/>
        <w:ind w:firstLine="480"/>
        <w:rPr>
          <w:lang w:bidi="ar"/>
        </w:rPr>
      </w:pPr>
      <w:r>
        <w:rPr>
          <w:rFonts w:hint="eastAsia"/>
          <w:lang w:bidi="ar"/>
        </w:rPr>
        <w:t>1、不得利用职权收受贿赂或者其他非法收入，不得侵占员工持股计划的财产；</w:t>
      </w:r>
    </w:p>
    <w:p w14:paraId="2D0874E0">
      <w:pPr>
        <w:spacing w:before="156" w:after="156"/>
        <w:ind w:firstLine="480"/>
        <w:rPr>
          <w:lang w:bidi="ar"/>
        </w:rPr>
      </w:pPr>
      <w:r>
        <w:rPr>
          <w:rFonts w:hint="eastAsia"/>
          <w:lang w:bidi="ar"/>
        </w:rPr>
        <w:t>2、不得挪用员工持股计划资金；</w:t>
      </w:r>
    </w:p>
    <w:p w14:paraId="38786E06">
      <w:pPr>
        <w:spacing w:before="156" w:after="156"/>
        <w:ind w:firstLine="480"/>
        <w:rPr>
          <w:lang w:bidi="ar"/>
        </w:rPr>
      </w:pPr>
      <w:r>
        <w:rPr>
          <w:rFonts w:hint="eastAsia"/>
          <w:lang w:bidi="ar"/>
        </w:rPr>
        <w:t>3、未经持有人会议同意，不得将员工持股计划资产或者资金以其个人名义或者其他个人名义开立账户储存；</w:t>
      </w:r>
    </w:p>
    <w:p w14:paraId="7F219BF1">
      <w:pPr>
        <w:spacing w:before="156" w:after="156"/>
        <w:ind w:firstLine="480"/>
        <w:rPr>
          <w:lang w:bidi="ar"/>
        </w:rPr>
      </w:pPr>
      <w:r>
        <w:rPr>
          <w:rFonts w:hint="eastAsia"/>
          <w:lang w:bidi="ar"/>
        </w:rPr>
        <w:t>4、未经持有人会议同意，不得将员工持股计划资金借贷给他人或者以员工持股计划财产为他人提供担保；</w:t>
      </w:r>
    </w:p>
    <w:p w14:paraId="47685C7E">
      <w:pPr>
        <w:spacing w:before="156" w:after="156"/>
        <w:ind w:firstLine="480"/>
        <w:rPr>
          <w:lang w:bidi="ar"/>
        </w:rPr>
      </w:pPr>
      <w:r>
        <w:rPr>
          <w:rFonts w:hint="eastAsia"/>
          <w:lang w:bidi="ar"/>
        </w:rPr>
        <w:t>5、不得利用职权损害员工持股计划利益。</w:t>
      </w:r>
    </w:p>
    <w:p w14:paraId="09B13601">
      <w:pPr>
        <w:spacing w:before="156" w:after="156"/>
        <w:ind w:firstLine="480"/>
        <w:rPr>
          <w:lang w:bidi="ar"/>
        </w:rPr>
      </w:pPr>
      <w:r>
        <w:rPr>
          <w:rFonts w:hint="eastAsia"/>
          <w:lang w:bidi="ar"/>
        </w:rPr>
        <w:t>管理委员会委员违反忠实义务给员工持股计划造成损失的，应当承担赔偿责任。</w:t>
      </w:r>
    </w:p>
    <w:p w14:paraId="18D018BC">
      <w:pPr>
        <w:spacing w:before="156" w:after="156"/>
        <w:ind w:firstLine="480"/>
        <w:rPr>
          <w:lang w:bidi="ar"/>
        </w:rPr>
      </w:pPr>
      <w:r>
        <w:rPr>
          <w:rFonts w:hint="eastAsia"/>
          <w:lang w:bidi="ar"/>
        </w:rPr>
        <w:t>（三）管理委员会行使的职责</w:t>
      </w:r>
    </w:p>
    <w:p w14:paraId="471FB1CD">
      <w:pPr>
        <w:spacing w:before="156" w:after="156"/>
        <w:ind w:firstLine="480"/>
        <w:rPr>
          <w:lang w:bidi="ar"/>
        </w:rPr>
      </w:pPr>
      <w:r>
        <w:rPr>
          <w:rFonts w:hint="eastAsia"/>
          <w:lang w:bidi="ar"/>
        </w:rPr>
        <w:t>1、负责召集持有人会议；</w:t>
      </w:r>
    </w:p>
    <w:p w14:paraId="25F4D8CB">
      <w:pPr>
        <w:spacing w:before="156" w:after="156"/>
        <w:ind w:firstLine="480"/>
        <w:rPr>
          <w:lang w:bidi="ar"/>
        </w:rPr>
      </w:pPr>
      <w:r>
        <w:rPr>
          <w:rFonts w:hint="eastAsia"/>
          <w:lang w:bidi="ar"/>
        </w:rPr>
        <w:t>2、代表全体持有人监督员工持股计划的日常管理；</w:t>
      </w:r>
    </w:p>
    <w:p w14:paraId="3D2DBCFC">
      <w:pPr>
        <w:spacing w:before="156" w:after="156"/>
        <w:ind w:firstLine="480"/>
        <w:rPr>
          <w:lang w:bidi="ar"/>
        </w:rPr>
      </w:pPr>
      <w:r>
        <w:rPr>
          <w:rFonts w:hint="eastAsia"/>
          <w:lang w:bidi="ar"/>
        </w:rPr>
        <w:t>3、代表全体持有人行使股东权利；</w:t>
      </w:r>
    </w:p>
    <w:p w14:paraId="06AE9A14">
      <w:pPr>
        <w:spacing w:before="156" w:after="156"/>
        <w:ind w:firstLine="480"/>
        <w:rPr>
          <w:lang w:bidi="ar"/>
        </w:rPr>
      </w:pPr>
      <w:r>
        <w:rPr>
          <w:rFonts w:hint="eastAsia"/>
          <w:lang w:bidi="ar"/>
        </w:rPr>
        <w:t>4、负责外部对接工作；</w:t>
      </w:r>
    </w:p>
    <w:p w14:paraId="1EB7F633">
      <w:pPr>
        <w:spacing w:before="156" w:after="156"/>
        <w:ind w:firstLine="480"/>
        <w:rPr>
          <w:lang w:bidi="ar"/>
        </w:rPr>
      </w:pPr>
      <w:r>
        <w:rPr>
          <w:lang w:bidi="ar"/>
        </w:rPr>
        <w:t>5</w:t>
      </w:r>
      <w:r>
        <w:rPr>
          <w:rFonts w:hint="eastAsia"/>
          <w:lang w:bidi="ar"/>
        </w:rPr>
        <w:t>、管理员工持股计划利益分配；</w:t>
      </w:r>
    </w:p>
    <w:p w14:paraId="126CD686">
      <w:pPr>
        <w:spacing w:before="156" w:after="156"/>
        <w:ind w:firstLine="480"/>
        <w:rPr>
          <w:lang w:bidi="ar"/>
        </w:rPr>
      </w:pPr>
      <w:r>
        <w:rPr>
          <w:lang w:bidi="ar"/>
        </w:rPr>
        <w:t>6</w:t>
      </w:r>
      <w:r>
        <w:rPr>
          <w:rFonts w:hint="eastAsia"/>
          <w:lang w:bidi="ar"/>
        </w:rPr>
        <w:t>、决策员工持股计划被强制转让份额的归属；</w:t>
      </w:r>
    </w:p>
    <w:p w14:paraId="746E9DE8">
      <w:pPr>
        <w:spacing w:before="156" w:after="156"/>
        <w:ind w:firstLine="480"/>
        <w:rPr>
          <w:lang w:bidi="ar"/>
        </w:rPr>
      </w:pPr>
      <w:r>
        <w:rPr>
          <w:lang w:bidi="ar"/>
        </w:rPr>
        <w:t>7</w:t>
      </w:r>
      <w:r>
        <w:rPr>
          <w:rFonts w:hint="eastAsia"/>
          <w:lang w:bidi="ar"/>
        </w:rPr>
        <w:t>、办理员工持股计划份额继承登记；</w:t>
      </w:r>
    </w:p>
    <w:p w14:paraId="7D9F4A87">
      <w:pPr>
        <w:spacing w:before="156" w:after="156"/>
        <w:ind w:firstLine="480"/>
        <w:rPr>
          <w:lang w:bidi="ar"/>
        </w:rPr>
      </w:pPr>
      <w:r>
        <w:rPr>
          <w:lang w:bidi="ar"/>
        </w:rPr>
        <w:t>8</w:t>
      </w:r>
      <w:r>
        <w:rPr>
          <w:rFonts w:hint="eastAsia"/>
          <w:lang w:bidi="ar"/>
        </w:rPr>
        <w:t>、持有人会议授予的其他职责。</w:t>
      </w:r>
    </w:p>
    <w:p w14:paraId="7BB83CA7">
      <w:pPr>
        <w:spacing w:before="156" w:after="156"/>
        <w:ind w:firstLine="480"/>
        <w:rPr>
          <w:lang w:bidi="ar"/>
        </w:rPr>
      </w:pPr>
      <w:r>
        <w:rPr>
          <w:rFonts w:hint="eastAsia"/>
          <w:lang w:bidi="ar"/>
        </w:rPr>
        <w:t>（四）管理委员会主任行使的职权</w:t>
      </w:r>
    </w:p>
    <w:p w14:paraId="0E519993">
      <w:pPr>
        <w:spacing w:before="156" w:after="156"/>
        <w:ind w:firstLine="480"/>
        <w:rPr>
          <w:lang w:bidi="ar"/>
        </w:rPr>
      </w:pPr>
      <w:r>
        <w:rPr>
          <w:rFonts w:hint="eastAsia"/>
          <w:lang w:bidi="ar"/>
        </w:rPr>
        <w:t>1、主持持有人会议和召集、主持管理委员会会议；</w:t>
      </w:r>
    </w:p>
    <w:p w14:paraId="6B7D51D3">
      <w:pPr>
        <w:spacing w:before="156" w:after="156"/>
        <w:ind w:firstLine="480"/>
        <w:rPr>
          <w:lang w:bidi="ar"/>
        </w:rPr>
      </w:pPr>
      <w:r>
        <w:rPr>
          <w:rFonts w:hint="eastAsia"/>
          <w:lang w:bidi="ar"/>
        </w:rPr>
        <w:t>2、督促、检查持有人会议、管理委员会会议决议的执行；</w:t>
      </w:r>
    </w:p>
    <w:p w14:paraId="41B8F90C">
      <w:pPr>
        <w:spacing w:before="156" w:after="156"/>
        <w:ind w:firstLine="480"/>
        <w:rPr>
          <w:lang w:bidi="ar"/>
        </w:rPr>
      </w:pPr>
      <w:r>
        <w:rPr>
          <w:rFonts w:hint="eastAsia"/>
          <w:lang w:bidi="ar"/>
        </w:rPr>
        <w:t>3、管理委员会授予的其他职权。</w:t>
      </w:r>
    </w:p>
    <w:p w14:paraId="28B64ADF">
      <w:pPr>
        <w:spacing w:before="156" w:after="156"/>
        <w:ind w:firstLine="480"/>
        <w:rPr>
          <w:lang w:bidi="ar"/>
        </w:rPr>
      </w:pPr>
      <w:r>
        <w:rPr>
          <w:rFonts w:hint="eastAsia"/>
          <w:lang w:bidi="ar"/>
        </w:rPr>
        <w:t>（五）管理委员会的召集程序</w:t>
      </w:r>
    </w:p>
    <w:p w14:paraId="13BEA31C">
      <w:pPr>
        <w:spacing w:before="156" w:after="156"/>
        <w:ind w:firstLine="480"/>
        <w:rPr>
          <w:lang w:bidi="ar"/>
        </w:rPr>
      </w:pPr>
      <w:r>
        <w:rPr>
          <w:rFonts w:hint="eastAsia"/>
          <w:lang w:bidi="ar"/>
        </w:rPr>
        <w:t>管理委员会不定期召开会议，由管理委员会主任召集，于会议召开一日前通知全体管理委员会委员。会议通知包括以下内容：</w:t>
      </w:r>
    </w:p>
    <w:p w14:paraId="13842C50">
      <w:pPr>
        <w:spacing w:before="156" w:after="156"/>
        <w:ind w:firstLine="480"/>
        <w:rPr>
          <w:lang w:bidi="ar"/>
        </w:rPr>
      </w:pPr>
      <w:r>
        <w:rPr>
          <w:rFonts w:hint="eastAsia"/>
          <w:lang w:bidi="ar"/>
        </w:rPr>
        <w:t>1、会议日期和地点；</w:t>
      </w:r>
    </w:p>
    <w:p w14:paraId="50A4A2F2">
      <w:pPr>
        <w:spacing w:before="156" w:after="156"/>
        <w:ind w:firstLine="480"/>
        <w:rPr>
          <w:lang w:bidi="ar"/>
        </w:rPr>
      </w:pPr>
      <w:r>
        <w:rPr>
          <w:rFonts w:hint="eastAsia"/>
          <w:lang w:bidi="ar"/>
        </w:rPr>
        <w:t>2、会议事由和议题；</w:t>
      </w:r>
    </w:p>
    <w:p w14:paraId="570C0C5B">
      <w:pPr>
        <w:spacing w:before="156" w:after="156"/>
        <w:ind w:firstLine="480"/>
        <w:rPr>
          <w:lang w:bidi="ar"/>
        </w:rPr>
      </w:pPr>
      <w:r>
        <w:rPr>
          <w:rFonts w:hint="eastAsia"/>
          <w:lang w:bidi="ar"/>
        </w:rPr>
        <w:t>3、会议所必需的会议材料；</w:t>
      </w:r>
    </w:p>
    <w:p w14:paraId="0442F539">
      <w:pPr>
        <w:spacing w:before="156" w:after="156"/>
        <w:ind w:firstLine="480"/>
        <w:rPr>
          <w:lang w:bidi="ar"/>
        </w:rPr>
      </w:pPr>
      <w:r>
        <w:rPr>
          <w:rFonts w:hint="eastAsia"/>
          <w:lang w:bidi="ar"/>
        </w:rPr>
        <w:t>4、发出通知的日期。</w:t>
      </w:r>
    </w:p>
    <w:p w14:paraId="184F3DC4">
      <w:pPr>
        <w:spacing w:before="156" w:after="156"/>
        <w:ind w:firstLine="480"/>
        <w:rPr>
          <w:lang w:bidi="ar"/>
        </w:rPr>
      </w:pPr>
      <w:r>
        <w:rPr>
          <w:rFonts w:hint="eastAsia"/>
          <w:lang w:bidi="ar"/>
        </w:rPr>
        <w:t>（六）代表三分之一（不含）以上份额的持有人、三分之一（不含）以上的管理委员会委员，可以提议召开管理委员会临时会议。管理委员会主任应当自接到提议后五日内，召集和主持管理委员会会议。</w:t>
      </w:r>
    </w:p>
    <w:p w14:paraId="330158C1">
      <w:pPr>
        <w:spacing w:before="156" w:after="156"/>
        <w:ind w:firstLine="480"/>
        <w:rPr>
          <w:lang w:bidi="ar"/>
        </w:rPr>
      </w:pPr>
      <w:r>
        <w:rPr>
          <w:rFonts w:hint="eastAsia"/>
          <w:lang w:bidi="ar"/>
        </w:rPr>
        <w:t>（七）管理委员会的召开和表决程序</w:t>
      </w:r>
    </w:p>
    <w:p w14:paraId="7CA3BCB2">
      <w:pPr>
        <w:spacing w:before="156" w:after="156"/>
        <w:ind w:firstLine="480"/>
        <w:rPr>
          <w:lang w:bidi="ar"/>
        </w:rPr>
      </w:pPr>
      <w:r>
        <w:rPr>
          <w:lang w:bidi="ar"/>
        </w:rPr>
        <w:t>1</w:t>
      </w:r>
      <w:r>
        <w:rPr>
          <w:rFonts w:hint="eastAsia"/>
          <w:lang w:bidi="ar"/>
        </w:rPr>
        <w:t>、管理委员会应有过半数的管理委员会委员出席方可举行。管理委员会作出决议，必须经全体管理委员会的过半数通过。管理委员会决议的表决，实行一人一票。</w:t>
      </w:r>
    </w:p>
    <w:p w14:paraId="308AF32C">
      <w:pPr>
        <w:spacing w:before="156" w:after="156"/>
        <w:ind w:firstLine="480"/>
        <w:rPr>
          <w:lang w:bidi="ar"/>
        </w:rPr>
      </w:pPr>
      <w:r>
        <w:rPr>
          <w:lang w:bidi="ar"/>
        </w:rPr>
        <w:t>2</w:t>
      </w:r>
      <w:r>
        <w:rPr>
          <w:rFonts w:hint="eastAsia"/>
          <w:lang w:bidi="ar"/>
        </w:rPr>
        <w:t>、管理委员会决议表决方式为记名投票表决。管理委员会会议在保障管理委员会委员充分表达意见的前提下，可以用传真</w:t>
      </w:r>
      <w:r>
        <w:rPr>
          <w:lang w:bidi="ar"/>
        </w:rPr>
        <w:t>/</w:t>
      </w:r>
      <w:r>
        <w:rPr>
          <w:rFonts w:hint="eastAsia"/>
          <w:lang w:bidi="ar"/>
        </w:rPr>
        <w:t>网络方式进行并作出决议，并由参会管理委员会委员签字。</w:t>
      </w:r>
    </w:p>
    <w:p w14:paraId="5D9FB839">
      <w:pPr>
        <w:spacing w:before="156" w:after="156"/>
        <w:ind w:firstLine="480"/>
        <w:rPr>
          <w:lang w:bidi="ar"/>
        </w:rPr>
      </w:pPr>
      <w:r>
        <w:rPr>
          <w:lang w:bidi="ar"/>
        </w:rPr>
        <w:t>3</w:t>
      </w:r>
      <w:r>
        <w:rPr>
          <w:rFonts w:hint="eastAsia"/>
          <w:lang w:bidi="ar"/>
        </w:rPr>
        <w:t>、管理委员会会议，应由管理委员会委员本人出席；管理委员会委员因故不能出席的，可以书面委托其他管理委员会委员代为出席，委托书中应载明代理人的姓名、代理事项、授权范围和有效期限，并由委托人签名或盖章。代为出席会议的管理委员会委员应当在授权范围内行使管理委员会委员的权利。管理委员会委员未出席管理委员会会议，亦未委托代表出席的，视为放弃在该次会议上的投票权。</w:t>
      </w:r>
    </w:p>
    <w:p w14:paraId="536B495C">
      <w:pPr>
        <w:spacing w:before="156" w:after="156"/>
        <w:ind w:firstLine="480"/>
        <w:rPr>
          <w:lang w:bidi="ar"/>
        </w:rPr>
      </w:pPr>
      <w:r>
        <w:rPr>
          <w:lang w:bidi="ar"/>
        </w:rPr>
        <w:t>4</w:t>
      </w:r>
      <w:r>
        <w:rPr>
          <w:rFonts w:hint="eastAsia"/>
          <w:lang w:bidi="ar"/>
        </w:rPr>
        <w:t>、管理委员会应当对会议所议事项的决定形成会议记录，出席会议的管理委员会委员应当在会议记录上签名。</w:t>
      </w:r>
    </w:p>
    <w:p w14:paraId="0C2780C8">
      <w:pPr>
        <w:spacing w:before="156" w:after="156"/>
        <w:ind w:firstLine="0" w:firstLineChars="0"/>
        <w:rPr>
          <w:rFonts w:cs="宋体"/>
          <w:color w:val="000000"/>
          <w:kern w:val="0"/>
          <w:lang w:bidi="ar"/>
        </w:rPr>
      </w:pPr>
      <w:r>
        <w:rPr>
          <w:rFonts w:hint="eastAsia" w:cs="宋体"/>
          <w:color w:val="000000"/>
          <w:kern w:val="0"/>
          <w:lang w:bidi="ar"/>
        </w:rPr>
        <w:br w:type="page"/>
      </w:r>
    </w:p>
    <w:p w14:paraId="62844275">
      <w:pPr>
        <w:pStyle w:val="2"/>
        <w:numPr>
          <w:ilvl w:val="0"/>
          <w:numId w:val="1"/>
        </w:numPr>
        <w:spacing w:before="156" w:after="156"/>
        <w:rPr>
          <w:lang w:bidi="ar"/>
        </w:rPr>
      </w:pPr>
      <w:bookmarkStart w:id="9" w:name="_Toc82787550"/>
      <w:r>
        <w:rPr>
          <w:rFonts w:hint="eastAsia"/>
          <w:lang w:bidi="ar"/>
        </w:rPr>
        <w:t>员工持股计划的资产构成、权益处置和分配</w:t>
      </w:r>
      <w:bookmarkEnd w:id="9"/>
    </w:p>
    <w:p w14:paraId="06F67F7D">
      <w:pPr>
        <w:spacing w:before="156" w:after="156"/>
        <w:ind w:firstLine="482"/>
        <w:rPr>
          <w:lang w:bidi="ar"/>
        </w:rPr>
      </w:pPr>
      <w:r>
        <w:rPr>
          <w:rFonts w:hint="eastAsia"/>
          <w:b/>
          <w:bCs/>
          <w:lang w:bidi="ar"/>
        </w:rPr>
        <w:t>第十一条</w:t>
      </w:r>
      <w:r>
        <w:rPr>
          <w:lang w:bidi="ar"/>
        </w:rPr>
        <w:t xml:space="preserve"> </w:t>
      </w:r>
      <w:r>
        <w:rPr>
          <w:rFonts w:hint="eastAsia"/>
          <w:lang w:bidi="ar"/>
        </w:rPr>
        <w:t>本员工持股计划的资产独立于公司财产，公司不得将员工持股计划资产归入其固有财产。因员工持股计划的管理、运用或者其他情形而取得的财产和收益归入员工持股计划资产。本员工持股计划存续期内，公司发生派息时，本员工持股计划因持有公司股份而获得的现金股利计入员工持股计划货币性资产。</w:t>
      </w:r>
    </w:p>
    <w:p w14:paraId="7A68A597">
      <w:pPr>
        <w:spacing w:before="156" w:after="156"/>
        <w:ind w:firstLine="482"/>
        <w:rPr>
          <w:lang w:bidi="ar"/>
        </w:rPr>
      </w:pPr>
      <w:r>
        <w:rPr>
          <w:rFonts w:hint="eastAsia"/>
          <w:b/>
          <w:bCs/>
          <w:lang w:bidi="ar"/>
        </w:rPr>
        <w:t>第十二条</w:t>
      </w:r>
      <w:r>
        <w:rPr>
          <w:b/>
          <w:bCs/>
          <w:lang w:bidi="ar"/>
        </w:rPr>
        <w:t xml:space="preserve"> </w:t>
      </w:r>
      <w:r>
        <w:rPr>
          <w:rFonts w:hint="eastAsia"/>
          <w:lang w:bidi="ar"/>
        </w:rPr>
        <w:t>员工持股计划的权益处置和分配</w:t>
      </w:r>
    </w:p>
    <w:p w14:paraId="21BBDA62">
      <w:pPr>
        <w:spacing w:before="156" w:after="156"/>
        <w:ind w:firstLine="480"/>
        <w:rPr>
          <w:lang w:bidi="ar"/>
        </w:rPr>
      </w:pPr>
      <w:r>
        <w:rPr>
          <w:rFonts w:hint="eastAsia"/>
          <w:lang w:bidi="ar"/>
        </w:rPr>
        <w:t>（一）在本员工持股计划存续期内，除法律、行政法规、部门规章另有规定，持有人所持本员工持股计划份额不得质押、担保、偿还债务。</w:t>
      </w:r>
    </w:p>
    <w:p w14:paraId="7FB9A55F">
      <w:pPr>
        <w:spacing w:before="156" w:after="156"/>
        <w:ind w:firstLine="480"/>
        <w:rPr>
          <w:lang w:bidi="ar"/>
        </w:rPr>
      </w:pPr>
      <w:r>
        <w:rPr>
          <w:rFonts w:hint="eastAsia"/>
          <w:lang w:bidi="ar"/>
        </w:rPr>
        <w:t>（二）存续期内，持有人所持有的员工持股计划权益未经管理委员会同意不得转让，未经同意擅自转让的，该转让行为无效。</w:t>
      </w:r>
    </w:p>
    <w:p w14:paraId="10B2296B">
      <w:pPr>
        <w:spacing w:before="156" w:after="156"/>
        <w:ind w:firstLine="480"/>
        <w:rPr>
          <w:lang w:bidi="ar"/>
        </w:rPr>
      </w:pPr>
      <w:r>
        <w:rPr>
          <w:rFonts w:hint="eastAsia"/>
          <w:lang w:bidi="ar"/>
        </w:rPr>
        <w:t>（三）在锁定期内，持有人不得要求对员工持股计划的权益进行分配。</w:t>
      </w:r>
    </w:p>
    <w:p w14:paraId="1DEB9EBA">
      <w:pPr>
        <w:spacing w:before="156" w:after="156"/>
        <w:ind w:firstLine="480"/>
        <w:rPr>
          <w:lang w:bidi="ar"/>
        </w:rPr>
      </w:pPr>
      <w:r>
        <w:rPr>
          <w:rFonts w:hint="eastAsia"/>
          <w:lang w:bidi="ar"/>
        </w:rPr>
        <w:t>（四）在锁定期内，公司发生资本公积转增股本、派送股票红利时，本员工持股计划因持有公司股份而新取得的股份一并锁定，不得在二级市场出售或以其他方式转让，该等股票的解锁期与相对应股票相同。</w:t>
      </w:r>
    </w:p>
    <w:p w14:paraId="4B2BE13A">
      <w:pPr>
        <w:spacing w:before="156" w:after="156"/>
        <w:ind w:firstLine="480"/>
        <w:rPr>
          <w:lang w:bidi="ar"/>
        </w:rPr>
      </w:pPr>
      <w:r>
        <w:rPr>
          <w:rFonts w:hint="eastAsia"/>
          <w:lang w:bidi="ar"/>
        </w:rPr>
        <w:t>（五）本员工持股计划存续期满不展期或拟提前终止的，由持有人会议授权管理委员会对本员工持股计划资产进行清算，在存续期届满后30个工作日内完成清算，并在依法扣除相关税费后，按照持有人所持份额进行分配。</w:t>
      </w:r>
    </w:p>
    <w:p w14:paraId="78BE4829">
      <w:pPr>
        <w:spacing w:before="156" w:after="156"/>
        <w:ind w:firstLine="480"/>
        <w:rPr>
          <w:lang w:bidi="ar"/>
        </w:rPr>
      </w:pPr>
      <w:r>
        <w:rPr>
          <w:rFonts w:hint="eastAsia"/>
          <w:lang w:bidi="ar"/>
        </w:rPr>
        <w:br w:type="page"/>
      </w:r>
    </w:p>
    <w:p w14:paraId="36E355A4">
      <w:pPr>
        <w:pStyle w:val="2"/>
        <w:numPr>
          <w:ilvl w:val="0"/>
          <w:numId w:val="1"/>
        </w:numPr>
        <w:spacing w:before="156" w:after="156"/>
        <w:rPr>
          <w:lang w:bidi="ar"/>
        </w:rPr>
      </w:pPr>
      <w:bookmarkStart w:id="10" w:name="_Toc82787551"/>
      <w:r>
        <w:rPr>
          <w:rFonts w:hint="eastAsia"/>
          <w:lang w:bidi="ar"/>
        </w:rPr>
        <w:t>员工持股计划的变更、终止及持有人权益的处置</w:t>
      </w:r>
      <w:bookmarkEnd w:id="10"/>
    </w:p>
    <w:p w14:paraId="4A593B16">
      <w:pPr>
        <w:spacing w:before="156" w:after="156"/>
        <w:ind w:firstLine="482"/>
        <w:rPr>
          <w:lang w:bidi="ar"/>
        </w:rPr>
      </w:pPr>
      <w:bookmarkStart w:id="11" w:name="_Toc81239691"/>
      <w:r>
        <w:rPr>
          <w:rFonts w:hint="eastAsia"/>
          <w:b/>
          <w:bCs/>
          <w:lang w:bidi="ar"/>
        </w:rPr>
        <w:t>第十三条</w:t>
      </w:r>
      <w:r>
        <w:rPr>
          <w:rFonts w:hint="eastAsia"/>
          <w:lang w:bidi="ar"/>
        </w:rPr>
        <w:t xml:space="preserve"> 公司发生合并、分立、实际控制权变更</w:t>
      </w:r>
      <w:bookmarkEnd w:id="11"/>
    </w:p>
    <w:p w14:paraId="336BFFD3">
      <w:pPr>
        <w:spacing w:before="156" w:after="156"/>
        <w:ind w:firstLine="480"/>
        <w:rPr>
          <w:lang w:bidi="ar"/>
        </w:rPr>
      </w:pPr>
      <w:r>
        <w:rPr>
          <w:rFonts w:asciiTheme="minorEastAsia" w:hAnsiTheme="minorEastAsia" w:cstheme="minorBidi"/>
        </w:rPr>
        <w:t>若公司发生合并、分立、实际控制权变更等情形，本员工持股计划不作变更</w:t>
      </w:r>
      <w:r>
        <w:rPr>
          <w:rFonts w:hint="eastAsia" w:asciiTheme="minorEastAsia" w:hAnsiTheme="minorEastAsia" w:cstheme="minorBidi"/>
        </w:rPr>
        <w:t>。</w:t>
      </w:r>
    </w:p>
    <w:p w14:paraId="1AB66619">
      <w:pPr>
        <w:spacing w:before="156" w:after="156"/>
        <w:ind w:firstLine="482"/>
        <w:rPr>
          <w:lang w:bidi="ar"/>
        </w:rPr>
      </w:pPr>
      <w:bookmarkStart w:id="12" w:name="_Toc81239692"/>
      <w:r>
        <w:rPr>
          <w:rFonts w:hint="eastAsia"/>
          <w:b/>
          <w:bCs/>
          <w:lang w:bidi="ar"/>
        </w:rPr>
        <w:t xml:space="preserve">第十四条 </w:t>
      </w:r>
      <w:r>
        <w:rPr>
          <w:rFonts w:hint="eastAsia"/>
          <w:lang w:bidi="ar"/>
        </w:rPr>
        <w:t>员工持股计划的变更</w:t>
      </w:r>
      <w:bookmarkEnd w:id="12"/>
    </w:p>
    <w:p w14:paraId="0E1CA3A5">
      <w:pPr>
        <w:spacing w:before="156" w:after="156"/>
        <w:ind w:firstLine="480"/>
        <w:rPr>
          <w:lang w:bidi="ar"/>
        </w:rPr>
      </w:pPr>
      <w:r>
        <w:rPr>
          <w:rFonts w:hint="eastAsia"/>
          <w:lang w:bidi="ar"/>
        </w:rPr>
        <w:t>在本员工持股计划的存续期内，员工持股计划的变更须经出席持有人会议的持有人所持三分之二（不含）以上份额同意，并提交公司董事会审议通过。</w:t>
      </w:r>
    </w:p>
    <w:p w14:paraId="1E9153DB">
      <w:pPr>
        <w:spacing w:before="156" w:after="156"/>
        <w:ind w:firstLine="482"/>
        <w:rPr>
          <w:lang w:bidi="ar"/>
        </w:rPr>
      </w:pPr>
      <w:bookmarkStart w:id="13" w:name="_Toc81239693"/>
      <w:r>
        <w:rPr>
          <w:rFonts w:hint="eastAsia"/>
          <w:b/>
          <w:bCs/>
          <w:lang w:bidi="ar"/>
        </w:rPr>
        <w:t>第十五条</w:t>
      </w:r>
      <w:r>
        <w:rPr>
          <w:lang w:bidi="ar"/>
        </w:rPr>
        <w:t xml:space="preserve"> </w:t>
      </w:r>
      <w:r>
        <w:rPr>
          <w:rFonts w:hint="eastAsia"/>
          <w:lang w:bidi="ar"/>
        </w:rPr>
        <w:t>员工持股计划的终止</w:t>
      </w:r>
      <w:bookmarkEnd w:id="13"/>
    </w:p>
    <w:p w14:paraId="61E07B8A">
      <w:pPr>
        <w:spacing w:before="156" w:after="156"/>
        <w:ind w:firstLine="480"/>
        <w:rPr>
          <w:lang w:bidi="ar"/>
        </w:rPr>
      </w:pPr>
      <w:r>
        <w:rPr>
          <w:rFonts w:hint="eastAsia"/>
          <w:lang w:bidi="ar"/>
        </w:rPr>
        <w:t>（一）本员工持股计划存续期满后自行终止。</w:t>
      </w:r>
    </w:p>
    <w:p w14:paraId="7BF03A0A">
      <w:pPr>
        <w:spacing w:before="156" w:after="156"/>
        <w:ind w:firstLine="480"/>
        <w:rPr>
          <w:lang w:bidi="ar"/>
        </w:rPr>
      </w:pPr>
      <w:r>
        <w:rPr>
          <w:rFonts w:hint="eastAsia"/>
          <w:lang w:bidi="ar"/>
        </w:rPr>
        <w:t>（二）本员工持股计划的锁定期满后，当本员工持股计划账户所持资产已全部变现时，本员工持股计划可提前终止。</w:t>
      </w:r>
    </w:p>
    <w:p w14:paraId="54918B6F">
      <w:pPr>
        <w:spacing w:before="156" w:after="156"/>
        <w:ind w:firstLine="480"/>
        <w:rPr>
          <w:lang w:bidi="ar"/>
        </w:rPr>
      </w:pPr>
      <w:r>
        <w:rPr>
          <w:rFonts w:hint="eastAsia"/>
          <w:lang w:bidi="ar"/>
        </w:rPr>
        <w:t>（三）本员工持股计划的存续期届满前2个月，经出席持有人会议的持有人所持三分之二（不含）以上份额同意并提交公司董事会审议通过后，本员工持股计划的存续期可以提前终止或延长。</w:t>
      </w:r>
    </w:p>
    <w:p w14:paraId="4D71F980">
      <w:pPr>
        <w:spacing w:before="156" w:after="156"/>
        <w:ind w:firstLine="482"/>
        <w:rPr>
          <w:lang w:bidi="ar"/>
        </w:rPr>
      </w:pPr>
      <w:bookmarkStart w:id="14" w:name="_Toc81239696"/>
      <w:r>
        <w:rPr>
          <w:rFonts w:hint="eastAsia"/>
          <w:b/>
          <w:bCs/>
          <w:lang w:bidi="ar"/>
        </w:rPr>
        <w:t xml:space="preserve">第十六条 </w:t>
      </w:r>
      <w:r>
        <w:rPr>
          <w:rFonts w:hint="eastAsia"/>
          <w:lang w:bidi="ar"/>
        </w:rPr>
        <w:t>持有人权益处置</w:t>
      </w:r>
      <w:bookmarkEnd w:id="14"/>
    </w:p>
    <w:p w14:paraId="70CA073B">
      <w:pPr>
        <w:spacing w:before="156" w:after="156"/>
        <w:ind w:firstLine="480"/>
        <w:rPr>
          <w:lang w:bidi="ar"/>
        </w:rPr>
      </w:pPr>
      <w:r>
        <w:rPr>
          <w:rFonts w:hint="eastAsia"/>
          <w:lang w:bidi="ar"/>
        </w:rPr>
        <w:t>（一）在员工持股计划存续期内，如持有人出现以下情形，管理委员会有权取消该持有人参与本员工持股计划的资格，并将其持有的员工持股计划权益按照原始出资金额与所持份额对应的累计净值孰低的原则强制转让给管理委员会指定的受让人，</w:t>
      </w:r>
      <w:r>
        <w:rPr>
          <w:lang w:bidi="ar"/>
        </w:rPr>
        <w:t>持有份额转让后单个持有人持有对应标的股票数量不能超过公司股本总额的1%</w:t>
      </w:r>
      <w:r>
        <w:rPr>
          <w:rFonts w:hint="eastAsia"/>
          <w:lang w:bidi="ar"/>
        </w:rPr>
        <w:t>：</w:t>
      </w:r>
    </w:p>
    <w:p w14:paraId="1184682F">
      <w:pPr>
        <w:spacing w:before="156" w:after="156"/>
        <w:ind w:firstLine="480"/>
        <w:rPr>
          <w:lang w:bidi="ar"/>
        </w:rPr>
      </w:pPr>
      <w:r>
        <w:rPr>
          <w:rFonts w:hint="eastAsia"/>
          <w:lang w:bidi="ar"/>
        </w:rPr>
        <w:t>1、持有人辞职或擅自离职的；</w:t>
      </w:r>
    </w:p>
    <w:p w14:paraId="1F9D8F65">
      <w:pPr>
        <w:spacing w:before="156" w:after="156"/>
        <w:ind w:firstLine="480"/>
        <w:rPr>
          <w:lang w:bidi="ar"/>
        </w:rPr>
      </w:pPr>
      <w:r>
        <w:rPr>
          <w:rFonts w:hint="eastAsia"/>
          <w:lang w:bidi="ar"/>
        </w:rPr>
        <w:t>2、持有人在劳动合同到期后不再与公司续签劳动合同或公司不与其续签劳动合同的；</w:t>
      </w:r>
    </w:p>
    <w:p w14:paraId="7A92D1A1">
      <w:pPr>
        <w:spacing w:before="156" w:after="156"/>
        <w:ind w:firstLine="480"/>
        <w:rPr>
          <w:lang w:bidi="ar"/>
        </w:rPr>
      </w:pPr>
      <w:r>
        <w:rPr>
          <w:rFonts w:hint="eastAsia"/>
          <w:lang w:bidi="ar"/>
        </w:rPr>
        <w:t>3、持有人因违反法律、法规或公司规章制度而被公司解除劳动合同或给公司造成重大损失的；</w:t>
      </w:r>
    </w:p>
    <w:p w14:paraId="6D8119AD">
      <w:pPr>
        <w:spacing w:before="156" w:after="156"/>
        <w:ind w:firstLine="480"/>
        <w:rPr>
          <w:lang w:bidi="ar"/>
        </w:rPr>
      </w:pPr>
      <w:r>
        <w:rPr>
          <w:rFonts w:hint="eastAsia"/>
          <w:lang w:bidi="ar"/>
        </w:rPr>
        <w:t>4、持有人出现重大过错或业绩考核不达标等原因而被降职、降级，导致其不符合参与本员工持股计划条件的。</w:t>
      </w:r>
    </w:p>
    <w:p w14:paraId="0CC2FC5C">
      <w:pPr>
        <w:spacing w:before="156" w:after="156"/>
        <w:ind w:firstLine="480"/>
        <w:rPr>
          <w:lang w:bidi="ar"/>
        </w:rPr>
      </w:pPr>
      <w:r>
        <w:rPr>
          <w:rFonts w:hint="eastAsia"/>
          <w:lang w:bidi="ar"/>
        </w:rPr>
        <w:t>（二）持有人所持权益不作变更的情形</w:t>
      </w:r>
    </w:p>
    <w:p w14:paraId="2F58084D">
      <w:pPr>
        <w:spacing w:before="156" w:after="156"/>
        <w:ind w:firstLine="480"/>
        <w:rPr>
          <w:lang w:bidi="ar"/>
        </w:rPr>
      </w:pPr>
      <w:r>
        <w:rPr>
          <w:rFonts w:hint="eastAsia"/>
          <w:lang w:bidi="ar"/>
        </w:rPr>
        <w:t>1、职务变更</w:t>
      </w:r>
    </w:p>
    <w:p w14:paraId="5F433242">
      <w:pPr>
        <w:spacing w:before="156" w:after="156"/>
        <w:ind w:firstLine="480"/>
        <w:rPr>
          <w:lang w:bidi="ar"/>
        </w:rPr>
      </w:pPr>
      <w:r>
        <w:rPr>
          <w:rFonts w:hint="eastAsia"/>
          <w:lang w:bidi="ar"/>
        </w:rPr>
        <w:t>存续期内，持有人职务变动但仍符合参与条件的，其持有的员工持股计划权益不作变更。</w:t>
      </w:r>
    </w:p>
    <w:p w14:paraId="2FEC0856">
      <w:pPr>
        <w:spacing w:before="156" w:after="156"/>
        <w:ind w:firstLine="480"/>
        <w:rPr>
          <w:lang w:bidi="ar"/>
        </w:rPr>
      </w:pPr>
      <w:r>
        <w:rPr>
          <w:rFonts w:hint="eastAsia"/>
          <w:lang w:bidi="ar"/>
        </w:rPr>
        <w:t>2、丧失劳动能力</w:t>
      </w:r>
    </w:p>
    <w:p w14:paraId="0D089679">
      <w:pPr>
        <w:spacing w:before="156" w:after="156"/>
        <w:ind w:firstLine="480"/>
        <w:rPr>
          <w:lang w:bidi="ar"/>
        </w:rPr>
      </w:pPr>
      <w:r>
        <w:rPr>
          <w:rFonts w:hint="eastAsia"/>
          <w:lang w:bidi="ar"/>
        </w:rPr>
        <w:t>存续期内，持有人丧失劳动能力的，其持有的员工持股计划权益不作变更。</w:t>
      </w:r>
    </w:p>
    <w:p w14:paraId="1D816186">
      <w:pPr>
        <w:spacing w:before="156" w:after="156"/>
        <w:ind w:firstLine="480"/>
        <w:rPr>
          <w:lang w:bidi="ar"/>
        </w:rPr>
      </w:pPr>
      <w:r>
        <w:rPr>
          <w:rFonts w:hint="eastAsia"/>
          <w:lang w:bidi="ar"/>
        </w:rPr>
        <w:t>3、退休</w:t>
      </w:r>
    </w:p>
    <w:p w14:paraId="078702B0">
      <w:pPr>
        <w:spacing w:before="156" w:after="156"/>
        <w:ind w:firstLine="480"/>
        <w:rPr>
          <w:lang w:bidi="ar"/>
        </w:rPr>
      </w:pPr>
      <w:r>
        <w:rPr>
          <w:rFonts w:hint="eastAsia"/>
          <w:lang w:bidi="ar"/>
        </w:rPr>
        <w:t>存续期内，持有人达到国家规定的退休年龄而退休的，其持有的员工持股计划权益不作变更。</w:t>
      </w:r>
    </w:p>
    <w:p w14:paraId="617EC578">
      <w:pPr>
        <w:spacing w:before="156" w:after="156"/>
        <w:ind w:firstLine="480"/>
        <w:rPr>
          <w:lang w:bidi="ar"/>
        </w:rPr>
      </w:pPr>
      <w:r>
        <w:rPr>
          <w:rFonts w:hint="eastAsia"/>
          <w:lang w:bidi="ar"/>
        </w:rPr>
        <w:t>4、死亡</w:t>
      </w:r>
    </w:p>
    <w:p w14:paraId="576A7AE3">
      <w:pPr>
        <w:spacing w:before="156" w:after="156"/>
        <w:ind w:firstLine="480"/>
        <w:rPr>
          <w:lang w:bidi="ar"/>
        </w:rPr>
      </w:pPr>
      <w:r>
        <w:rPr>
          <w:rFonts w:hint="eastAsia"/>
          <w:lang w:bidi="ar"/>
        </w:rPr>
        <w:t>存续期内，持有人死亡的，其持有的员工持股计划权益不作变更，由其合法继承人继承并继续享有；该等继承人不受需具备参与本员工持股计划资格的限制。</w:t>
      </w:r>
    </w:p>
    <w:p w14:paraId="2AF93EB1">
      <w:pPr>
        <w:spacing w:before="156" w:after="156"/>
        <w:ind w:firstLine="480"/>
        <w:rPr>
          <w:lang w:bidi="ar"/>
        </w:rPr>
      </w:pPr>
      <w:r>
        <w:rPr>
          <w:rFonts w:hint="eastAsia"/>
          <w:lang w:bidi="ar"/>
        </w:rPr>
        <w:t>5、管理委员会认定的其他情形。</w:t>
      </w:r>
    </w:p>
    <w:p w14:paraId="0DB67ACB">
      <w:pPr>
        <w:spacing w:before="156" w:after="156"/>
        <w:ind w:firstLine="482"/>
        <w:rPr>
          <w:lang w:bidi="ar"/>
        </w:rPr>
      </w:pPr>
      <w:bookmarkStart w:id="15" w:name="_Toc81239695"/>
      <w:r>
        <w:rPr>
          <w:rFonts w:hint="eastAsia"/>
          <w:b/>
          <w:bCs/>
          <w:lang w:bidi="ar"/>
        </w:rPr>
        <w:t>第十七条</w:t>
      </w:r>
      <w:r>
        <w:rPr>
          <w:rFonts w:hint="eastAsia"/>
          <w:lang w:bidi="ar"/>
        </w:rPr>
        <w:t xml:space="preserve"> </w:t>
      </w:r>
      <w:bookmarkEnd w:id="15"/>
      <w:r>
        <w:rPr>
          <w:rFonts w:hint="eastAsia"/>
        </w:rPr>
        <w:t>员工持股计划期满后员工所持有股份的处置办法</w:t>
      </w:r>
    </w:p>
    <w:p w14:paraId="2C917BB7">
      <w:pPr>
        <w:spacing w:before="156" w:after="156"/>
        <w:ind w:firstLine="480"/>
        <w:rPr>
          <w:lang w:bidi="ar"/>
        </w:rPr>
      </w:pPr>
      <w:r>
        <w:rPr>
          <w:rFonts w:hint="eastAsia"/>
          <w:lang w:bidi="ar"/>
        </w:rPr>
        <w:t>（一）若本员工持股计划所持有的公司股票全部出售，且本员工持股计划资产依照本员工持股计划规定清算、分配完毕的，本员工持股计划即可终止。</w:t>
      </w:r>
    </w:p>
    <w:p w14:paraId="6443D745">
      <w:pPr>
        <w:spacing w:before="156" w:after="156"/>
        <w:ind w:firstLine="480"/>
        <w:rPr>
          <w:lang w:bidi="ar"/>
        </w:rPr>
      </w:pPr>
      <w:r>
        <w:rPr>
          <w:rFonts w:hint="eastAsia"/>
          <w:lang w:bidi="ar"/>
        </w:rPr>
        <w:t>（二）本员工持股计划的存续期届满前2个月，如持有的公司股票仍未全部出售，经出席持有人会议的持有人所持2/3（不含）以上份额同意，并提交公司董事会审议通过后，本员工持股计划的存续期可以延长。</w:t>
      </w:r>
    </w:p>
    <w:p w14:paraId="19A67053">
      <w:pPr>
        <w:spacing w:before="156" w:after="156"/>
        <w:ind w:firstLine="480"/>
        <w:rPr>
          <w:lang w:bidi="ar"/>
        </w:rPr>
      </w:pPr>
      <w:r>
        <w:rPr>
          <w:rFonts w:hint="eastAsia"/>
          <w:lang w:bidi="ar"/>
        </w:rPr>
        <w:t>（三）本员工持股计划存续期满不展期的，由持有人会议授权管理委员会对本员工持股计划资产进行清算，在存续期届满后30个工作日内完成清算，并在依法扣除相关税费后，按照持有人所持份额进行分配。</w:t>
      </w:r>
    </w:p>
    <w:p w14:paraId="212FD61A">
      <w:pPr>
        <w:spacing w:before="156" w:after="156"/>
        <w:ind w:firstLine="480"/>
        <w:rPr>
          <w:lang w:bidi="ar"/>
        </w:rPr>
      </w:pPr>
      <w:r>
        <w:rPr>
          <w:rFonts w:hint="eastAsia"/>
          <w:lang w:bidi="ar"/>
        </w:rPr>
        <w:t>（四）本员工持股计划存续期满后，若本员工持股计划所持资产仍包含公司股票的，由管理委员会确定处置办法。</w:t>
      </w:r>
    </w:p>
    <w:p w14:paraId="4F166F4F">
      <w:pPr>
        <w:spacing w:before="156" w:after="156"/>
        <w:ind w:firstLine="480"/>
        <w:rPr>
          <w:lang w:bidi="ar"/>
        </w:rPr>
      </w:pPr>
    </w:p>
    <w:p w14:paraId="7DB39ADC">
      <w:pPr>
        <w:spacing w:before="156" w:after="156"/>
        <w:ind w:firstLine="199" w:firstLineChars="83"/>
        <w:rPr>
          <w:lang w:bidi="ar"/>
        </w:rPr>
      </w:pPr>
      <w:r>
        <w:rPr>
          <w:rFonts w:hint="eastAsia"/>
          <w:lang w:bidi="ar"/>
        </w:rPr>
        <w:br w:type="page"/>
      </w:r>
    </w:p>
    <w:p w14:paraId="6E48D2D2">
      <w:pPr>
        <w:pStyle w:val="2"/>
        <w:numPr>
          <w:ilvl w:val="0"/>
          <w:numId w:val="1"/>
        </w:numPr>
        <w:spacing w:before="156" w:after="156"/>
        <w:rPr>
          <w:lang w:bidi="ar"/>
        </w:rPr>
      </w:pPr>
      <w:r>
        <w:rPr>
          <w:rFonts w:hint="eastAsia"/>
          <w:lang w:bidi="ar"/>
        </w:rPr>
        <w:t>其他</w:t>
      </w:r>
    </w:p>
    <w:p w14:paraId="0782CAA0">
      <w:pPr>
        <w:spacing w:before="156" w:after="156"/>
        <w:ind w:firstLine="482"/>
        <w:rPr>
          <w:lang w:bidi="ar"/>
        </w:rPr>
      </w:pPr>
      <w:r>
        <w:rPr>
          <w:rFonts w:hint="eastAsia"/>
          <w:b/>
          <w:bCs/>
          <w:lang w:bidi="ar"/>
        </w:rPr>
        <w:t xml:space="preserve">第十八条 </w:t>
      </w:r>
      <w:r>
        <w:rPr>
          <w:rFonts w:hint="eastAsia"/>
          <w:lang w:bidi="ar"/>
        </w:rPr>
        <w:t>公司董事会与股东大会审议通过本员工持股计划不意味着持有人享有继续在公司或子公司服务的权利，不构成公司或子公司对员工聘用期限的承诺，公司或子公司与员工的劳动关系仍按公司或子公司与持有人签订的劳动合同执行。</w:t>
      </w:r>
    </w:p>
    <w:p w14:paraId="1C286367">
      <w:pPr>
        <w:spacing w:before="156" w:after="156"/>
        <w:ind w:firstLine="482"/>
        <w:rPr>
          <w:lang w:bidi="ar"/>
        </w:rPr>
      </w:pPr>
      <w:r>
        <w:rPr>
          <w:rFonts w:hint="eastAsia"/>
          <w:b/>
          <w:bCs/>
          <w:lang w:bidi="ar"/>
        </w:rPr>
        <w:t>第十九条</w:t>
      </w:r>
      <w:r>
        <w:rPr>
          <w:rFonts w:hint="eastAsia"/>
          <w:lang w:bidi="ar"/>
        </w:rPr>
        <w:t xml:space="preserve"> 公司实施本员工持股计划的财务、会计处理及其税收等问题，按有关财务制度、会计准则、税务制度规定执行。</w:t>
      </w:r>
    </w:p>
    <w:p w14:paraId="73943319">
      <w:pPr>
        <w:spacing w:before="156" w:after="156"/>
        <w:ind w:firstLine="482"/>
        <w:rPr>
          <w:rFonts w:hint="eastAsia"/>
          <w:lang w:bidi="ar"/>
        </w:rPr>
      </w:pPr>
      <w:r>
        <w:rPr>
          <w:rFonts w:hint="eastAsia"/>
          <w:b/>
          <w:bCs/>
          <w:lang w:bidi="ar"/>
        </w:rPr>
        <w:t xml:space="preserve">第二十条 </w:t>
      </w:r>
      <w:r>
        <w:rPr>
          <w:rFonts w:hint="eastAsia"/>
          <w:lang w:bidi="ar"/>
        </w:rPr>
        <w:t>公司股东大会审议公司与股东、董事、监事、高级管理人员等本员工持股计划参与对象的交易相关提案时，本员工持股计划应回避表决。</w:t>
      </w:r>
    </w:p>
    <w:p w14:paraId="41E3A6F8">
      <w:pPr>
        <w:spacing w:before="156" w:after="156"/>
        <w:ind w:firstLine="482"/>
        <w:rPr>
          <w:lang w:bidi="ar"/>
        </w:rPr>
      </w:pPr>
      <w:r>
        <w:rPr>
          <w:rFonts w:hint="eastAsia"/>
          <w:b/>
          <w:bCs/>
          <w:lang w:bidi="ar"/>
        </w:rPr>
        <w:t xml:space="preserve">第二十一条 </w:t>
      </w:r>
      <w:r>
        <w:rPr>
          <w:rFonts w:hint="eastAsia"/>
          <w:lang w:bidi="ar"/>
        </w:rPr>
        <w:t>本管理办法经公司股东大会审议通过后生效，解释权属于公司董事会。</w:t>
      </w:r>
    </w:p>
    <w:p w14:paraId="55895CA6">
      <w:pPr>
        <w:spacing w:before="156" w:after="156"/>
        <w:ind w:firstLine="480"/>
        <w:rPr>
          <w:lang w:bidi="ar"/>
        </w:rPr>
      </w:pPr>
    </w:p>
    <w:p w14:paraId="11B41D01">
      <w:pPr>
        <w:spacing w:before="156" w:after="156"/>
        <w:ind w:firstLine="480"/>
        <w:rPr>
          <w:lang w:bidi="ar"/>
        </w:rPr>
      </w:pPr>
    </w:p>
    <w:p w14:paraId="45C97AE4">
      <w:pPr>
        <w:spacing w:before="156" w:after="156"/>
        <w:ind w:firstLine="480"/>
        <w:rPr>
          <w:lang w:bidi="ar"/>
        </w:rPr>
      </w:pPr>
    </w:p>
    <w:p w14:paraId="5E908EAC">
      <w:pPr>
        <w:spacing w:before="156" w:after="156"/>
        <w:ind w:firstLine="480"/>
        <w:jc w:val="right"/>
        <w:rPr>
          <w:rFonts w:ascii="宋体" w:hAnsi="宋体"/>
          <w:lang w:bidi="ar"/>
        </w:rPr>
      </w:pPr>
    </w:p>
    <w:p w14:paraId="6ABE3F03">
      <w:pPr>
        <w:spacing w:before="156" w:after="156"/>
        <w:ind w:firstLine="480"/>
        <w:rPr>
          <w:rFonts w:ascii="宋体" w:hAnsi="宋体"/>
          <w:lang w:bidi="ar"/>
        </w:rPr>
      </w:pPr>
    </w:p>
    <w:sectPr>
      <w:headerReference r:id="rId11" w:type="default"/>
      <w:footerReference r:id="rId12"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59977">
    <w:pPr>
      <w:pStyle w:val="7"/>
      <w:spacing w:before="120" w:after="120"/>
      <w:ind w:firstLine="360"/>
    </w:pPr>
  </w:p>
  <w:p w14:paraId="0F1D4712">
    <w:pPr>
      <w:pStyle w:val="7"/>
      <w:spacing w:before="120" w:after="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4E86F">
    <w:pPr>
      <w:pStyle w:val="7"/>
      <w:spacing w:before="120"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0A607">
    <w:pPr>
      <w:pStyle w:val="7"/>
      <w:spacing w:before="120" w:after="1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3373682"/>
    </w:sdtPr>
    <w:sdtContent>
      <w:p w14:paraId="138346BC">
        <w:pPr>
          <w:pStyle w:val="7"/>
          <w:spacing w:before="120" w:after="120"/>
          <w:ind w:firstLine="360"/>
          <w:jc w:val="center"/>
        </w:pPr>
        <w:r>
          <w:fldChar w:fldCharType="begin"/>
        </w:r>
        <w:r>
          <w:instrText xml:space="preserve">PAGE   \* MERGEFORMAT</w:instrText>
        </w:r>
        <w:r>
          <w:fldChar w:fldCharType="separate"/>
        </w:r>
        <w:r>
          <w:rPr>
            <w:lang w:val="zh-CN"/>
          </w:rPr>
          <w:t>15</w:t>
        </w:r>
        <w:r>
          <w:fldChar w:fldCharType="end"/>
        </w:r>
      </w:p>
    </w:sdtContent>
  </w:sdt>
  <w:p w14:paraId="2E3D5AF6">
    <w:pPr>
      <w:pStyle w:val="7"/>
      <w:spacing w:before="120" w:after="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80"/>
      </w:pPr>
      <w:r>
        <w:separator/>
      </w:r>
    </w:p>
  </w:footnote>
  <w:footnote w:type="continuationSeparator" w:id="1">
    <w:p>
      <w:pPr>
        <w:spacing w:before="0" w:after="0"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5BD09">
    <w:pPr>
      <w:pStyle w:val="8"/>
      <w:pBdr>
        <w:bottom w:val="none" w:color="auto" w:sz="0" w:space="0"/>
      </w:pBdr>
      <w:spacing w:before="120" w:after="120"/>
      <w:ind w:firstLine="420"/>
      <w:rPr>
        <w:rFonts w:ascii="宋体" w:hAnsi="宋体" w:eastAsia="宋体"/>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4B098">
    <w:pPr>
      <w:pStyle w:val="8"/>
      <w:spacing w:before="120"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ED4A2">
    <w:pPr>
      <w:pStyle w:val="8"/>
      <w:spacing w:before="120" w:after="12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1A463">
    <w:pPr>
      <w:pStyle w:val="8"/>
      <w:spacing w:before="0" w:beforeLines="0" w:after="0" w:afterLines="0" w:line="240" w:lineRule="auto"/>
      <w:ind w:firstLine="0" w:firstLineChars="0"/>
      <w:jc w:val="both"/>
      <w:rPr>
        <w:rFonts w:ascii="宋体" w:hAnsi="宋体" w:eastAsia="宋体"/>
      </w:rPr>
    </w:pPr>
    <w:r>
      <w:rPr>
        <w:rFonts w:hint="eastAsia" w:ascii="宋体" w:hAnsi="宋体" w:eastAsia="宋体"/>
        <w:color w:val="333333"/>
        <w:sz w:val="20"/>
        <w:szCs w:val="20"/>
        <w:shd w:val="clear" w:color="auto" w:fill="FFFFFF"/>
      </w:rPr>
      <w:t>华孚时尚股份有限公司</w:t>
    </w:r>
    <w:r>
      <w:rPr>
        <w:rFonts w:hint="eastAsia" w:ascii="宋体" w:hAnsi="宋体" w:eastAsia="宋体"/>
        <w:sz w:val="20"/>
        <w:szCs w:val="20"/>
      </w:rPr>
      <w:t xml:space="preserve"> </w:t>
    </w:r>
    <w:r>
      <w:rPr>
        <w:rFonts w:ascii="宋体" w:hAnsi="宋体" w:eastAsia="宋体"/>
        <w:sz w:val="20"/>
        <w:szCs w:val="20"/>
      </w:rPr>
      <w:t xml:space="preserve">                                   </w:t>
    </w:r>
    <w:r>
      <w:rPr>
        <w:rFonts w:hint="eastAsia" w:ascii="宋体" w:hAnsi="宋体" w:eastAsia="宋体"/>
        <w:sz w:val="20"/>
        <w:szCs w:val="20"/>
      </w:rPr>
      <w:t>第四期员工持股计划管理办法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D06B5"/>
    <w:multiLevelType w:val="multilevel"/>
    <w:tmpl w:val="0F6D06B5"/>
    <w:lvl w:ilvl="0" w:tentative="0">
      <w:start w:val="1"/>
      <w:numFmt w:val="chineseCountingThousand"/>
      <w:lvlText w:val="第%1章"/>
      <w:lvlJc w:val="left"/>
      <w:pPr>
        <w:ind w:left="0" w:firstLine="0"/>
      </w:pPr>
      <w:rPr>
        <w:rFonts w:hint="eastAsia" w:eastAsia="宋体"/>
        <w:b/>
        <w:i w:val="0"/>
        <w:color w:val="auto"/>
        <w:sz w:val="32"/>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5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sota_documentID" w:val="8180378885533794304"/>
  </w:docVars>
  <w:rsids>
    <w:rsidRoot w:val="00B3278D"/>
    <w:rsid w:val="000004D2"/>
    <w:rsid w:val="000054C8"/>
    <w:rsid w:val="00011A08"/>
    <w:rsid w:val="00011E9C"/>
    <w:rsid w:val="00011F8C"/>
    <w:rsid w:val="00021FDF"/>
    <w:rsid w:val="000256ED"/>
    <w:rsid w:val="00027B89"/>
    <w:rsid w:val="00032566"/>
    <w:rsid w:val="0003317D"/>
    <w:rsid w:val="00034306"/>
    <w:rsid w:val="000343FE"/>
    <w:rsid w:val="000347E4"/>
    <w:rsid w:val="00043265"/>
    <w:rsid w:val="00052B5A"/>
    <w:rsid w:val="00053136"/>
    <w:rsid w:val="0005691B"/>
    <w:rsid w:val="00060C5B"/>
    <w:rsid w:val="00061255"/>
    <w:rsid w:val="0006174A"/>
    <w:rsid w:val="00091266"/>
    <w:rsid w:val="000B1026"/>
    <w:rsid w:val="000B4DC0"/>
    <w:rsid w:val="000C1111"/>
    <w:rsid w:val="000C6884"/>
    <w:rsid w:val="000D4EF3"/>
    <w:rsid w:val="000E24B9"/>
    <w:rsid w:val="000E3BDF"/>
    <w:rsid w:val="000F1177"/>
    <w:rsid w:val="000F3826"/>
    <w:rsid w:val="000F632F"/>
    <w:rsid w:val="000F6F25"/>
    <w:rsid w:val="001047A6"/>
    <w:rsid w:val="0011061C"/>
    <w:rsid w:val="00113A3D"/>
    <w:rsid w:val="00115E4C"/>
    <w:rsid w:val="001164AC"/>
    <w:rsid w:val="001309FF"/>
    <w:rsid w:val="001317F8"/>
    <w:rsid w:val="001332E9"/>
    <w:rsid w:val="00133469"/>
    <w:rsid w:val="0013515B"/>
    <w:rsid w:val="00140D17"/>
    <w:rsid w:val="00140EF6"/>
    <w:rsid w:val="00142B6A"/>
    <w:rsid w:val="0014400E"/>
    <w:rsid w:val="00156628"/>
    <w:rsid w:val="001575B2"/>
    <w:rsid w:val="00160CDB"/>
    <w:rsid w:val="001636A3"/>
    <w:rsid w:val="0016499A"/>
    <w:rsid w:val="00176EF9"/>
    <w:rsid w:val="00177052"/>
    <w:rsid w:val="00184754"/>
    <w:rsid w:val="001853F9"/>
    <w:rsid w:val="00186E6C"/>
    <w:rsid w:val="00187381"/>
    <w:rsid w:val="00191597"/>
    <w:rsid w:val="00192554"/>
    <w:rsid w:val="001946A4"/>
    <w:rsid w:val="001977C1"/>
    <w:rsid w:val="00197F1C"/>
    <w:rsid w:val="001A1FBE"/>
    <w:rsid w:val="001A2589"/>
    <w:rsid w:val="001A3F72"/>
    <w:rsid w:val="001B2E9B"/>
    <w:rsid w:val="001B7FFE"/>
    <w:rsid w:val="001C7022"/>
    <w:rsid w:val="001D2AD8"/>
    <w:rsid w:val="001E109D"/>
    <w:rsid w:val="001E4117"/>
    <w:rsid w:val="001F1D84"/>
    <w:rsid w:val="001F3063"/>
    <w:rsid w:val="001F6EC1"/>
    <w:rsid w:val="00207530"/>
    <w:rsid w:val="0021049E"/>
    <w:rsid w:val="0021082E"/>
    <w:rsid w:val="00214D2A"/>
    <w:rsid w:val="002200C0"/>
    <w:rsid w:val="0023297A"/>
    <w:rsid w:val="00233D18"/>
    <w:rsid w:val="002379A1"/>
    <w:rsid w:val="00237EC0"/>
    <w:rsid w:val="002404FD"/>
    <w:rsid w:val="002504A0"/>
    <w:rsid w:val="00250E54"/>
    <w:rsid w:val="00253076"/>
    <w:rsid w:val="00255A71"/>
    <w:rsid w:val="002577F2"/>
    <w:rsid w:val="00264238"/>
    <w:rsid w:val="002677B9"/>
    <w:rsid w:val="00271D6C"/>
    <w:rsid w:val="002875F9"/>
    <w:rsid w:val="0029153D"/>
    <w:rsid w:val="002929BB"/>
    <w:rsid w:val="002A1CAD"/>
    <w:rsid w:val="002A246F"/>
    <w:rsid w:val="002A6650"/>
    <w:rsid w:val="002A68AE"/>
    <w:rsid w:val="002A6F2E"/>
    <w:rsid w:val="002B1940"/>
    <w:rsid w:val="002C235D"/>
    <w:rsid w:val="002C4A52"/>
    <w:rsid w:val="002C58B2"/>
    <w:rsid w:val="002C6E55"/>
    <w:rsid w:val="002C6FAC"/>
    <w:rsid w:val="002D5602"/>
    <w:rsid w:val="002E1218"/>
    <w:rsid w:val="002F3C09"/>
    <w:rsid w:val="002F3E27"/>
    <w:rsid w:val="002F4177"/>
    <w:rsid w:val="002F75B1"/>
    <w:rsid w:val="0030062A"/>
    <w:rsid w:val="003006CF"/>
    <w:rsid w:val="00301AF7"/>
    <w:rsid w:val="00302165"/>
    <w:rsid w:val="003033E2"/>
    <w:rsid w:val="00306B12"/>
    <w:rsid w:val="00314BDA"/>
    <w:rsid w:val="00317F10"/>
    <w:rsid w:val="003229CE"/>
    <w:rsid w:val="003234A5"/>
    <w:rsid w:val="00327B17"/>
    <w:rsid w:val="0033149F"/>
    <w:rsid w:val="0034066D"/>
    <w:rsid w:val="003409CD"/>
    <w:rsid w:val="00342C80"/>
    <w:rsid w:val="003433B8"/>
    <w:rsid w:val="003453D4"/>
    <w:rsid w:val="00357343"/>
    <w:rsid w:val="00361822"/>
    <w:rsid w:val="003619A0"/>
    <w:rsid w:val="003722F1"/>
    <w:rsid w:val="003743E7"/>
    <w:rsid w:val="00376782"/>
    <w:rsid w:val="00382655"/>
    <w:rsid w:val="00390245"/>
    <w:rsid w:val="00394A2D"/>
    <w:rsid w:val="00394D17"/>
    <w:rsid w:val="003A5A33"/>
    <w:rsid w:val="003A7179"/>
    <w:rsid w:val="003B1414"/>
    <w:rsid w:val="003B1B64"/>
    <w:rsid w:val="003B3D00"/>
    <w:rsid w:val="003C32E8"/>
    <w:rsid w:val="003C3791"/>
    <w:rsid w:val="003C4875"/>
    <w:rsid w:val="003C4E75"/>
    <w:rsid w:val="003D154C"/>
    <w:rsid w:val="003D67F2"/>
    <w:rsid w:val="003D6868"/>
    <w:rsid w:val="003D70DD"/>
    <w:rsid w:val="003D7D7C"/>
    <w:rsid w:val="003E0E82"/>
    <w:rsid w:val="003F32EE"/>
    <w:rsid w:val="003F3664"/>
    <w:rsid w:val="003F48D0"/>
    <w:rsid w:val="003F4F63"/>
    <w:rsid w:val="003F5B16"/>
    <w:rsid w:val="003F5FCD"/>
    <w:rsid w:val="004006B6"/>
    <w:rsid w:val="00406276"/>
    <w:rsid w:val="00406910"/>
    <w:rsid w:val="00407334"/>
    <w:rsid w:val="00411CC6"/>
    <w:rsid w:val="0041355F"/>
    <w:rsid w:val="00424751"/>
    <w:rsid w:val="004261E6"/>
    <w:rsid w:val="00432EF2"/>
    <w:rsid w:val="00436430"/>
    <w:rsid w:val="00437FA1"/>
    <w:rsid w:val="0044211A"/>
    <w:rsid w:val="004439D2"/>
    <w:rsid w:val="004478A4"/>
    <w:rsid w:val="00447CCD"/>
    <w:rsid w:val="00447F99"/>
    <w:rsid w:val="00452EEA"/>
    <w:rsid w:val="004530B3"/>
    <w:rsid w:val="0045629E"/>
    <w:rsid w:val="00457C29"/>
    <w:rsid w:val="004618D1"/>
    <w:rsid w:val="004629EB"/>
    <w:rsid w:val="00467367"/>
    <w:rsid w:val="00477049"/>
    <w:rsid w:val="00484F4A"/>
    <w:rsid w:val="0048602D"/>
    <w:rsid w:val="00486E25"/>
    <w:rsid w:val="004A2E4B"/>
    <w:rsid w:val="004A6617"/>
    <w:rsid w:val="004A702A"/>
    <w:rsid w:val="004B1A58"/>
    <w:rsid w:val="004B508F"/>
    <w:rsid w:val="004B73A6"/>
    <w:rsid w:val="004C6A51"/>
    <w:rsid w:val="004C77A2"/>
    <w:rsid w:val="004D059D"/>
    <w:rsid w:val="004D4CD6"/>
    <w:rsid w:val="004D6A77"/>
    <w:rsid w:val="004E4586"/>
    <w:rsid w:val="004E4A50"/>
    <w:rsid w:val="004F044A"/>
    <w:rsid w:val="004F0741"/>
    <w:rsid w:val="004F094F"/>
    <w:rsid w:val="004F3FFD"/>
    <w:rsid w:val="004F6DF3"/>
    <w:rsid w:val="00502085"/>
    <w:rsid w:val="005133D1"/>
    <w:rsid w:val="00514FB9"/>
    <w:rsid w:val="00516F21"/>
    <w:rsid w:val="0052171E"/>
    <w:rsid w:val="00523B1E"/>
    <w:rsid w:val="00531354"/>
    <w:rsid w:val="00543D57"/>
    <w:rsid w:val="00545AFE"/>
    <w:rsid w:val="005462ED"/>
    <w:rsid w:val="00546DEE"/>
    <w:rsid w:val="00550D0F"/>
    <w:rsid w:val="005517A4"/>
    <w:rsid w:val="00551986"/>
    <w:rsid w:val="00553EA4"/>
    <w:rsid w:val="0056623D"/>
    <w:rsid w:val="00567EA5"/>
    <w:rsid w:val="00571CD6"/>
    <w:rsid w:val="00571D39"/>
    <w:rsid w:val="00572758"/>
    <w:rsid w:val="00577B68"/>
    <w:rsid w:val="005823C9"/>
    <w:rsid w:val="00593A79"/>
    <w:rsid w:val="00595F24"/>
    <w:rsid w:val="005A3E7F"/>
    <w:rsid w:val="005A402B"/>
    <w:rsid w:val="005A7E57"/>
    <w:rsid w:val="005C145B"/>
    <w:rsid w:val="005C4B93"/>
    <w:rsid w:val="005C5270"/>
    <w:rsid w:val="005E1610"/>
    <w:rsid w:val="005E3F6E"/>
    <w:rsid w:val="005E6391"/>
    <w:rsid w:val="005E6EDB"/>
    <w:rsid w:val="005F0F85"/>
    <w:rsid w:val="005F1CE2"/>
    <w:rsid w:val="005F3023"/>
    <w:rsid w:val="005F45FF"/>
    <w:rsid w:val="005F656D"/>
    <w:rsid w:val="005F7E7E"/>
    <w:rsid w:val="0061256A"/>
    <w:rsid w:val="006143A3"/>
    <w:rsid w:val="00614699"/>
    <w:rsid w:val="00615E30"/>
    <w:rsid w:val="00616AAD"/>
    <w:rsid w:val="0061795E"/>
    <w:rsid w:val="0062105F"/>
    <w:rsid w:val="006235B9"/>
    <w:rsid w:val="00625710"/>
    <w:rsid w:val="00626DAC"/>
    <w:rsid w:val="0064154E"/>
    <w:rsid w:val="00654041"/>
    <w:rsid w:val="006548A0"/>
    <w:rsid w:val="00655859"/>
    <w:rsid w:val="006713D1"/>
    <w:rsid w:val="006720B5"/>
    <w:rsid w:val="00672B0F"/>
    <w:rsid w:val="0067509A"/>
    <w:rsid w:val="0067536E"/>
    <w:rsid w:val="0067759E"/>
    <w:rsid w:val="00684612"/>
    <w:rsid w:val="00690A67"/>
    <w:rsid w:val="00693499"/>
    <w:rsid w:val="006A3948"/>
    <w:rsid w:val="006A4896"/>
    <w:rsid w:val="006A6852"/>
    <w:rsid w:val="006B2ADB"/>
    <w:rsid w:val="006B31AC"/>
    <w:rsid w:val="006C4163"/>
    <w:rsid w:val="006D45EF"/>
    <w:rsid w:val="006D7822"/>
    <w:rsid w:val="006E70DF"/>
    <w:rsid w:val="006F6A54"/>
    <w:rsid w:val="006F7D3D"/>
    <w:rsid w:val="00701B8C"/>
    <w:rsid w:val="007043E5"/>
    <w:rsid w:val="00704AB4"/>
    <w:rsid w:val="00704BA8"/>
    <w:rsid w:val="00707BC8"/>
    <w:rsid w:val="00713FE9"/>
    <w:rsid w:val="0072366F"/>
    <w:rsid w:val="00730037"/>
    <w:rsid w:val="0073058C"/>
    <w:rsid w:val="007354C3"/>
    <w:rsid w:val="00740CA8"/>
    <w:rsid w:val="007457D9"/>
    <w:rsid w:val="00750EF4"/>
    <w:rsid w:val="007552B1"/>
    <w:rsid w:val="00756705"/>
    <w:rsid w:val="0076003D"/>
    <w:rsid w:val="00762673"/>
    <w:rsid w:val="00763319"/>
    <w:rsid w:val="00764280"/>
    <w:rsid w:val="00764F02"/>
    <w:rsid w:val="00781105"/>
    <w:rsid w:val="007811C6"/>
    <w:rsid w:val="00782F09"/>
    <w:rsid w:val="007850F8"/>
    <w:rsid w:val="007860A7"/>
    <w:rsid w:val="007864FD"/>
    <w:rsid w:val="00794200"/>
    <w:rsid w:val="007959BE"/>
    <w:rsid w:val="007A22B2"/>
    <w:rsid w:val="007A7259"/>
    <w:rsid w:val="007B0D66"/>
    <w:rsid w:val="007B120F"/>
    <w:rsid w:val="007B4249"/>
    <w:rsid w:val="007B58B6"/>
    <w:rsid w:val="007C06DE"/>
    <w:rsid w:val="007C0DD2"/>
    <w:rsid w:val="007C434B"/>
    <w:rsid w:val="007D158E"/>
    <w:rsid w:val="007D6B82"/>
    <w:rsid w:val="007E062D"/>
    <w:rsid w:val="007E464C"/>
    <w:rsid w:val="007E59B0"/>
    <w:rsid w:val="007F0849"/>
    <w:rsid w:val="007F3AA2"/>
    <w:rsid w:val="007F3D0E"/>
    <w:rsid w:val="007F5B74"/>
    <w:rsid w:val="007F6087"/>
    <w:rsid w:val="007F7386"/>
    <w:rsid w:val="007F7CBE"/>
    <w:rsid w:val="00805596"/>
    <w:rsid w:val="0080603E"/>
    <w:rsid w:val="00815833"/>
    <w:rsid w:val="00816E83"/>
    <w:rsid w:val="00821776"/>
    <w:rsid w:val="008223B4"/>
    <w:rsid w:val="00827ED8"/>
    <w:rsid w:val="0083061F"/>
    <w:rsid w:val="008336AF"/>
    <w:rsid w:val="00833E09"/>
    <w:rsid w:val="00837443"/>
    <w:rsid w:val="008428F0"/>
    <w:rsid w:val="00842900"/>
    <w:rsid w:val="0084584B"/>
    <w:rsid w:val="00846F9E"/>
    <w:rsid w:val="008559EF"/>
    <w:rsid w:val="00855B32"/>
    <w:rsid w:val="008605F0"/>
    <w:rsid w:val="00864521"/>
    <w:rsid w:val="00864E60"/>
    <w:rsid w:val="008675EF"/>
    <w:rsid w:val="0087061A"/>
    <w:rsid w:val="00871FA1"/>
    <w:rsid w:val="00883593"/>
    <w:rsid w:val="008835E7"/>
    <w:rsid w:val="00895E1F"/>
    <w:rsid w:val="00896F37"/>
    <w:rsid w:val="008A19A7"/>
    <w:rsid w:val="008A4EF6"/>
    <w:rsid w:val="008A6624"/>
    <w:rsid w:val="008B5572"/>
    <w:rsid w:val="008C0D74"/>
    <w:rsid w:val="008C24AF"/>
    <w:rsid w:val="008C5EA8"/>
    <w:rsid w:val="008D237C"/>
    <w:rsid w:val="008D3AD3"/>
    <w:rsid w:val="008D5E83"/>
    <w:rsid w:val="008D6087"/>
    <w:rsid w:val="008E1776"/>
    <w:rsid w:val="008E17C9"/>
    <w:rsid w:val="008F0684"/>
    <w:rsid w:val="008F550E"/>
    <w:rsid w:val="008F5CE7"/>
    <w:rsid w:val="009000BE"/>
    <w:rsid w:val="00904D49"/>
    <w:rsid w:val="0092422D"/>
    <w:rsid w:val="0092436C"/>
    <w:rsid w:val="00924C75"/>
    <w:rsid w:val="0093058D"/>
    <w:rsid w:val="0093401E"/>
    <w:rsid w:val="00942547"/>
    <w:rsid w:val="00944783"/>
    <w:rsid w:val="00952C78"/>
    <w:rsid w:val="00955E03"/>
    <w:rsid w:val="0095711B"/>
    <w:rsid w:val="00970BAA"/>
    <w:rsid w:val="009802E8"/>
    <w:rsid w:val="00980987"/>
    <w:rsid w:val="00980E80"/>
    <w:rsid w:val="00982B71"/>
    <w:rsid w:val="009838D9"/>
    <w:rsid w:val="00985BE9"/>
    <w:rsid w:val="00991046"/>
    <w:rsid w:val="00991F88"/>
    <w:rsid w:val="009933D0"/>
    <w:rsid w:val="00997DD5"/>
    <w:rsid w:val="009A1535"/>
    <w:rsid w:val="009A49D8"/>
    <w:rsid w:val="009A4DAC"/>
    <w:rsid w:val="009A67E0"/>
    <w:rsid w:val="009B1CC3"/>
    <w:rsid w:val="009C2CA3"/>
    <w:rsid w:val="009C5927"/>
    <w:rsid w:val="009C760B"/>
    <w:rsid w:val="009D4EEC"/>
    <w:rsid w:val="009D6D9B"/>
    <w:rsid w:val="009E332A"/>
    <w:rsid w:val="009E7050"/>
    <w:rsid w:val="009E7B46"/>
    <w:rsid w:val="009F2B7E"/>
    <w:rsid w:val="00A041D8"/>
    <w:rsid w:val="00A060EE"/>
    <w:rsid w:val="00A06DEB"/>
    <w:rsid w:val="00A12D7A"/>
    <w:rsid w:val="00A238C0"/>
    <w:rsid w:val="00A25692"/>
    <w:rsid w:val="00A31AEA"/>
    <w:rsid w:val="00A31F4C"/>
    <w:rsid w:val="00A331FD"/>
    <w:rsid w:val="00A33A7B"/>
    <w:rsid w:val="00A33E17"/>
    <w:rsid w:val="00A36829"/>
    <w:rsid w:val="00A37FDD"/>
    <w:rsid w:val="00A47673"/>
    <w:rsid w:val="00A52E2C"/>
    <w:rsid w:val="00A62A7F"/>
    <w:rsid w:val="00A63621"/>
    <w:rsid w:val="00A6384B"/>
    <w:rsid w:val="00A63D4D"/>
    <w:rsid w:val="00A662E0"/>
    <w:rsid w:val="00A8139C"/>
    <w:rsid w:val="00A8367B"/>
    <w:rsid w:val="00A87435"/>
    <w:rsid w:val="00A94AFF"/>
    <w:rsid w:val="00AA58C5"/>
    <w:rsid w:val="00AB06CD"/>
    <w:rsid w:val="00AC0E80"/>
    <w:rsid w:val="00AC7160"/>
    <w:rsid w:val="00AD2838"/>
    <w:rsid w:val="00AE070B"/>
    <w:rsid w:val="00AE1A8D"/>
    <w:rsid w:val="00AE1FD4"/>
    <w:rsid w:val="00AF0C18"/>
    <w:rsid w:val="00AF73B2"/>
    <w:rsid w:val="00B04364"/>
    <w:rsid w:val="00B07321"/>
    <w:rsid w:val="00B07FCF"/>
    <w:rsid w:val="00B101E7"/>
    <w:rsid w:val="00B279C6"/>
    <w:rsid w:val="00B3278D"/>
    <w:rsid w:val="00B33278"/>
    <w:rsid w:val="00B43B94"/>
    <w:rsid w:val="00B51305"/>
    <w:rsid w:val="00B536EC"/>
    <w:rsid w:val="00B5766C"/>
    <w:rsid w:val="00B57A4A"/>
    <w:rsid w:val="00B62BB3"/>
    <w:rsid w:val="00B664F7"/>
    <w:rsid w:val="00B703EF"/>
    <w:rsid w:val="00B724ED"/>
    <w:rsid w:val="00B740B8"/>
    <w:rsid w:val="00B750E9"/>
    <w:rsid w:val="00B76C2A"/>
    <w:rsid w:val="00B77D0F"/>
    <w:rsid w:val="00B9234B"/>
    <w:rsid w:val="00BA02B8"/>
    <w:rsid w:val="00BA1604"/>
    <w:rsid w:val="00BA33CF"/>
    <w:rsid w:val="00BB044A"/>
    <w:rsid w:val="00BB096D"/>
    <w:rsid w:val="00BB6CC0"/>
    <w:rsid w:val="00BB6E1A"/>
    <w:rsid w:val="00BC2E3E"/>
    <w:rsid w:val="00BD0759"/>
    <w:rsid w:val="00BE018C"/>
    <w:rsid w:val="00BE4AA7"/>
    <w:rsid w:val="00BE50D3"/>
    <w:rsid w:val="00BE511A"/>
    <w:rsid w:val="00BF1EA0"/>
    <w:rsid w:val="00C06F96"/>
    <w:rsid w:val="00C17CA2"/>
    <w:rsid w:val="00C2337A"/>
    <w:rsid w:val="00C23404"/>
    <w:rsid w:val="00C2745F"/>
    <w:rsid w:val="00C27C4C"/>
    <w:rsid w:val="00C30CD4"/>
    <w:rsid w:val="00C346DD"/>
    <w:rsid w:val="00C3565B"/>
    <w:rsid w:val="00C3769F"/>
    <w:rsid w:val="00C37D6D"/>
    <w:rsid w:val="00C40013"/>
    <w:rsid w:val="00C40209"/>
    <w:rsid w:val="00C41B74"/>
    <w:rsid w:val="00C445E5"/>
    <w:rsid w:val="00C567C9"/>
    <w:rsid w:val="00C64EC8"/>
    <w:rsid w:val="00C67F2D"/>
    <w:rsid w:val="00C70185"/>
    <w:rsid w:val="00C81EC1"/>
    <w:rsid w:val="00C82E36"/>
    <w:rsid w:val="00C8442C"/>
    <w:rsid w:val="00C8485C"/>
    <w:rsid w:val="00C8640F"/>
    <w:rsid w:val="00C86F3B"/>
    <w:rsid w:val="00C90850"/>
    <w:rsid w:val="00C9113A"/>
    <w:rsid w:val="00C930CA"/>
    <w:rsid w:val="00C9319A"/>
    <w:rsid w:val="00C957B7"/>
    <w:rsid w:val="00C966DF"/>
    <w:rsid w:val="00CA1951"/>
    <w:rsid w:val="00CA2F22"/>
    <w:rsid w:val="00CA3D2C"/>
    <w:rsid w:val="00CB1389"/>
    <w:rsid w:val="00CC26CE"/>
    <w:rsid w:val="00CC3088"/>
    <w:rsid w:val="00CC6733"/>
    <w:rsid w:val="00CC7EC5"/>
    <w:rsid w:val="00CD4442"/>
    <w:rsid w:val="00CD6561"/>
    <w:rsid w:val="00CD7C43"/>
    <w:rsid w:val="00CE2C19"/>
    <w:rsid w:val="00CE3B7E"/>
    <w:rsid w:val="00CF548D"/>
    <w:rsid w:val="00CF7AA8"/>
    <w:rsid w:val="00D03F84"/>
    <w:rsid w:val="00D14D98"/>
    <w:rsid w:val="00D160BB"/>
    <w:rsid w:val="00D16C99"/>
    <w:rsid w:val="00D21B39"/>
    <w:rsid w:val="00D26CF4"/>
    <w:rsid w:val="00D2729E"/>
    <w:rsid w:val="00D27895"/>
    <w:rsid w:val="00D32BEB"/>
    <w:rsid w:val="00D350C2"/>
    <w:rsid w:val="00D36F26"/>
    <w:rsid w:val="00D44457"/>
    <w:rsid w:val="00D624FD"/>
    <w:rsid w:val="00D71141"/>
    <w:rsid w:val="00D73B77"/>
    <w:rsid w:val="00D73E1B"/>
    <w:rsid w:val="00D7608B"/>
    <w:rsid w:val="00D87330"/>
    <w:rsid w:val="00DA1FB8"/>
    <w:rsid w:val="00DA7423"/>
    <w:rsid w:val="00DB215F"/>
    <w:rsid w:val="00DB480D"/>
    <w:rsid w:val="00DD2718"/>
    <w:rsid w:val="00DD2E99"/>
    <w:rsid w:val="00DE5B0D"/>
    <w:rsid w:val="00DE7104"/>
    <w:rsid w:val="00E00C99"/>
    <w:rsid w:val="00E02D97"/>
    <w:rsid w:val="00E11BE9"/>
    <w:rsid w:val="00E13248"/>
    <w:rsid w:val="00E205BF"/>
    <w:rsid w:val="00E20EB3"/>
    <w:rsid w:val="00E2424A"/>
    <w:rsid w:val="00E24E72"/>
    <w:rsid w:val="00E266F1"/>
    <w:rsid w:val="00E2779A"/>
    <w:rsid w:val="00E35880"/>
    <w:rsid w:val="00E36364"/>
    <w:rsid w:val="00E52276"/>
    <w:rsid w:val="00E524DB"/>
    <w:rsid w:val="00E55BBF"/>
    <w:rsid w:val="00E65FDF"/>
    <w:rsid w:val="00E71F62"/>
    <w:rsid w:val="00E74F31"/>
    <w:rsid w:val="00E753F5"/>
    <w:rsid w:val="00E75CA8"/>
    <w:rsid w:val="00E77467"/>
    <w:rsid w:val="00E86B79"/>
    <w:rsid w:val="00E90DA0"/>
    <w:rsid w:val="00E9271C"/>
    <w:rsid w:val="00E95EA9"/>
    <w:rsid w:val="00EA3125"/>
    <w:rsid w:val="00EA47B0"/>
    <w:rsid w:val="00EA79BB"/>
    <w:rsid w:val="00EA7C78"/>
    <w:rsid w:val="00EB0A9A"/>
    <w:rsid w:val="00EB102A"/>
    <w:rsid w:val="00EB19B6"/>
    <w:rsid w:val="00EB2615"/>
    <w:rsid w:val="00EB31FD"/>
    <w:rsid w:val="00EB47D7"/>
    <w:rsid w:val="00EB4ED2"/>
    <w:rsid w:val="00EB5152"/>
    <w:rsid w:val="00EC2F46"/>
    <w:rsid w:val="00ED24CB"/>
    <w:rsid w:val="00ED2CA9"/>
    <w:rsid w:val="00ED3BF4"/>
    <w:rsid w:val="00EE3929"/>
    <w:rsid w:val="00EF1E34"/>
    <w:rsid w:val="00EF1EE8"/>
    <w:rsid w:val="00EF2E73"/>
    <w:rsid w:val="00F00D4E"/>
    <w:rsid w:val="00F01622"/>
    <w:rsid w:val="00F05F8F"/>
    <w:rsid w:val="00F233B2"/>
    <w:rsid w:val="00F358C3"/>
    <w:rsid w:val="00F3695A"/>
    <w:rsid w:val="00F369E5"/>
    <w:rsid w:val="00F37307"/>
    <w:rsid w:val="00F37DCB"/>
    <w:rsid w:val="00F4501A"/>
    <w:rsid w:val="00F52860"/>
    <w:rsid w:val="00F609E6"/>
    <w:rsid w:val="00F6326F"/>
    <w:rsid w:val="00F63803"/>
    <w:rsid w:val="00F63959"/>
    <w:rsid w:val="00F75B5E"/>
    <w:rsid w:val="00F83702"/>
    <w:rsid w:val="00F84C92"/>
    <w:rsid w:val="00F84E9A"/>
    <w:rsid w:val="00F86578"/>
    <w:rsid w:val="00F90D01"/>
    <w:rsid w:val="00F91D50"/>
    <w:rsid w:val="00F91EC7"/>
    <w:rsid w:val="00F92AF8"/>
    <w:rsid w:val="00F92E73"/>
    <w:rsid w:val="00F937B7"/>
    <w:rsid w:val="00FA2273"/>
    <w:rsid w:val="00FA39FA"/>
    <w:rsid w:val="00FA4363"/>
    <w:rsid w:val="00FA542C"/>
    <w:rsid w:val="00FA5B5B"/>
    <w:rsid w:val="00FB1825"/>
    <w:rsid w:val="00FB28B7"/>
    <w:rsid w:val="00FC131D"/>
    <w:rsid w:val="00FC5369"/>
    <w:rsid w:val="00FC62B4"/>
    <w:rsid w:val="00FC6B84"/>
    <w:rsid w:val="00FD5938"/>
    <w:rsid w:val="00FD5996"/>
    <w:rsid w:val="00FE0C1C"/>
    <w:rsid w:val="00FE2869"/>
    <w:rsid w:val="00FE536E"/>
    <w:rsid w:val="00FE6E03"/>
    <w:rsid w:val="00FF7059"/>
    <w:rsid w:val="00FF7A4F"/>
    <w:rsid w:val="043C78BF"/>
    <w:rsid w:val="049474EB"/>
    <w:rsid w:val="07DA1AE6"/>
    <w:rsid w:val="09B76D55"/>
    <w:rsid w:val="0AF970F8"/>
    <w:rsid w:val="0B753E68"/>
    <w:rsid w:val="0E24584A"/>
    <w:rsid w:val="0F3E768E"/>
    <w:rsid w:val="0FBC7B93"/>
    <w:rsid w:val="16167B1B"/>
    <w:rsid w:val="16E8044B"/>
    <w:rsid w:val="19D13670"/>
    <w:rsid w:val="1A516839"/>
    <w:rsid w:val="1C060D95"/>
    <w:rsid w:val="1C134843"/>
    <w:rsid w:val="1D632E00"/>
    <w:rsid w:val="1D8F00F1"/>
    <w:rsid w:val="1E0A0ABC"/>
    <w:rsid w:val="1F5152A2"/>
    <w:rsid w:val="20C879E9"/>
    <w:rsid w:val="216C4B48"/>
    <w:rsid w:val="217417EB"/>
    <w:rsid w:val="218174F3"/>
    <w:rsid w:val="229C5671"/>
    <w:rsid w:val="23A0523F"/>
    <w:rsid w:val="23B22B6B"/>
    <w:rsid w:val="24542979"/>
    <w:rsid w:val="26074A42"/>
    <w:rsid w:val="28AB3D13"/>
    <w:rsid w:val="28C02E05"/>
    <w:rsid w:val="29EE54D2"/>
    <w:rsid w:val="2A331EEC"/>
    <w:rsid w:val="30175D42"/>
    <w:rsid w:val="31DA6512"/>
    <w:rsid w:val="328E09C7"/>
    <w:rsid w:val="32C83951"/>
    <w:rsid w:val="32F44EF6"/>
    <w:rsid w:val="34D51846"/>
    <w:rsid w:val="34DF1475"/>
    <w:rsid w:val="35D05407"/>
    <w:rsid w:val="36B92282"/>
    <w:rsid w:val="3A9113FA"/>
    <w:rsid w:val="3BF17ADB"/>
    <w:rsid w:val="3D32406F"/>
    <w:rsid w:val="3E265A58"/>
    <w:rsid w:val="3E556B20"/>
    <w:rsid w:val="3E8A18BB"/>
    <w:rsid w:val="3F8B5B82"/>
    <w:rsid w:val="43844994"/>
    <w:rsid w:val="45182697"/>
    <w:rsid w:val="45B77585"/>
    <w:rsid w:val="45D06F94"/>
    <w:rsid w:val="48514768"/>
    <w:rsid w:val="48606B3A"/>
    <w:rsid w:val="4AB26D83"/>
    <w:rsid w:val="4C26323B"/>
    <w:rsid w:val="4C4C5BBC"/>
    <w:rsid w:val="4F49280A"/>
    <w:rsid w:val="51502B5F"/>
    <w:rsid w:val="52834516"/>
    <w:rsid w:val="52940145"/>
    <w:rsid w:val="55E30ACA"/>
    <w:rsid w:val="57324BB1"/>
    <w:rsid w:val="59F4104E"/>
    <w:rsid w:val="5B156258"/>
    <w:rsid w:val="5E714085"/>
    <w:rsid w:val="5E806078"/>
    <w:rsid w:val="60166FE5"/>
    <w:rsid w:val="61CA6C8D"/>
    <w:rsid w:val="63184822"/>
    <w:rsid w:val="67CC0D05"/>
    <w:rsid w:val="683137DE"/>
    <w:rsid w:val="69A80A00"/>
    <w:rsid w:val="6A3438FE"/>
    <w:rsid w:val="6B5E33CC"/>
    <w:rsid w:val="6B9E5217"/>
    <w:rsid w:val="6C33579E"/>
    <w:rsid w:val="6C814B4E"/>
    <w:rsid w:val="6EC6269A"/>
    <w:rsid w:val="6FE14413"/>
    <w:rsid w:val="704614F5"/>
    <w:rsid w:val="73B95BE5"/>
    <w:rsid w:val="74D36C0D"/>
    <w:rsid w:val="74F00191"/>
    <w:rsid w:val="75924DBE"/>
    <w:rsid w:val="76282629"/>
    <w:rsid w:val="76EC0893"/>
    <w:rsid w:val="787E57BF"/>
    <w:rsid w:val="798D309E"/>
    <w:rsid w:val="7CE03129"/>
    <w:rsid w:val="7EE07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50" w:beforeLines="50" w:after="50" w:afterLines="50"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19"/>
    <w:qFormat/>
    <w:uiPriority w:val="9"/>
    <w:pPr>
      <w:keepNext/>
      <w:keepLines/>
      <w:spacing w:line="480" w:lineRule="auto"/>
      <w:ind w:firstLine="0" w:firstLineChars="0"/>
      <w:jc w:val="center"/>
      <w:outlineLvl w:val="0"/>
    </w:pPr>
    <w:rPr>
      <w:b/>
      <w:bCs/>
      <w:kern w:val="44"/>
      <w:sz w:val="32"/>
      <w:szCs w:val="44"/>
    </w:rPr>
  </w:style>
  <w:style w:type="paragraph" w:styleId="3">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6"/>
    <w:semiHidden/>
    <w:unhideWhenUsed/>
    <w:qFormat/>
    <w:uiPriority w:val="99"/>
    <w:pPr>
      <w:jc w:val="left"/>
    </w:pPr>
  </w:style>
  <w:style w:type="paragraph" w:styleId="5">
    <w:name w:val="Date"/>
    <w:basedOn w:val="1"/>
    <w:next w:val="1"/>
    <w:link w:val="21"/>
    <w:semiHidden/>
    <w:unhideWhenUsed/>
    <w:qFormat/>
    <w:uiPriority w:val="99"/>
    <w:pPr>
      <w:ind w:left="100" w:leftChars="2500"/>
    </w:pPr>
  </w:style>
  <w:style w:type="paragraph" w:styleId="6">
    <w:name w:val="Balloon Text"/>
    <w:basedOn w:val="1"/>
    <w:link w:val="25"/>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annotation subject"/>
    <w:basedOn w:val="4"/>
    <w:next w:val="4"/>
    <w:link w:val="27"/>
    <w:semiHidden/>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character" w:styleId="16">
    <w:name w:val="annotation reference"/>
    <w:basedOn w:val="14"/>
    <w:semiHidden/>
    <w:unhideWhenUsed/>
    <w:qFormat/>
    <w:uiPriority w:val="99"/>
    <w:rPr>
      <w:sz w:val="21"/>
      <w:szCs w:val="21"/>
    </w:rPr>
  </w:style>
  <w:style w:type="character" w:customStyle="1" w:styleId="17">
    <w:name w:val="页眉 字符"/>
    <w:basedOn w:val="14"/>
    <w:link w:val="8"/>
    <w:qFormat/>
    <w:uiPriority w:val="99"/>
    <w:rPr>
      <w:sz w:val="18"/>
      <w:szCs w:val="18"/>
    </w:rPr>
  </w:style>
  <w:style w:type="character" w:customStyle="1" w:styleId="18">
    <w:name w:val="页脚 字符"/>
    <w:basedOn w:val="14"/>
    <w:link w:val="7"/>
    <w:qFormat/>
    <w:uiPriority w:val="99"/>
    <w:rPr>
      <w:sz w:val="18"/>
      <w:szCs w:val="18"/>
    </w:rPr>
  </w:style>
  <w:style w:type="character" w:customStyle="1" w:styleId="19">
    <w:name w:val="标题 1 字符"/>
    <w:basedOn w:val="14"/>
    <w:link w:val="2"/>
    <w:qFormat/>
    <w:uiPriority w:val="9"/>
    <w:rPr>
      <w:b/>
      <w:bCs/>
      <w:kern w:val="44"/>
      <w:sz w:val="32"/>
      <w:szCs w:val="44"/>
    </w:rPr>
  </w:style>
  <w:style w:type="paragraph" w:customStyle="1" w:styleId="20">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character" w:customStyle="1" w:styleId="21">
    <w:name w:val="日期 字符"/>
    <w:basedOn w:val="14"/>
    <w:link w:val="5"/>
    <w:semiHidden/>
    <w:qFormat/>
    <w:uiPriority w:val="99"/>
    <w:rPr>
      <w:rFonts w:ascii="Calibri" w:hAnsi="Calibri" w:eastAsia="宋体" w:cs="Times New Roman"/>
      <w:szCs w:val="24"/>
    </w:rPr>
  </w:style>
  <w:style w:type="paragraph" w:customStyle="1" w:styleId="22">
    <w:name w:val="文本内容"/>
    <w:basedOn w:val="1"/>
    <w:qFormat/>
    <w:uiPriority w:val="0"/>
    <w:pPr>
      <w:spacing w:before="120" w:line="360" w:lineRule="exact"/>
    </w:pPr>
  </w:style>
  <w:style w:type="paragraph" w:customStyle="1" w:styleId="23">
    <w:name w:val="修订1"/>
    <w:hidden/>
    <w:semiHidden/>
    <w:qFormat/>
    <w:uiPriority w:val="99"/>
    <w:rPr>
      <w:rFonts w:ascii="Calibri" w:hAnsi="Calibri" w:eastAsia="宋体" w:cs="Times New Roman"/>
      <w:kern w:val="2"/>
      <w:sz w:val="21"/>
      <w:szCs w:val="24"/>
      <w:lang w:val="en-US" w:eastAsia="zh-CN" w:bidi="ar-SA"/>
    </w:rPr>
  </w:style>
  <w:style w:type="paragraph" w:styleId="24">
    <w:name w:val="List Paragraph"/>
    <w:basedOn w:val="1"/>
    <w:qFormat/>
    <w:uiPriority w:val="99"/>
    <w:pPr>
      <w:ind w:firstLine="420"/>
    </w:pPr>
  </w:style>
  <w:style w:type="character" w:customStyle="1" w:styleId="25">
    <w:name w:val="批注框文本 字符"/>
    <w:basedOn w:val="14"/>
    <w:link w:val="6"/>
    <w:semiHidden/>
    <w:qFormat/>
    <w:uiPriority w:val="99"/>
    <w:rPr>
      <w:rFonts w:ascii="Calibri" w:hAnsi="Calibri"/>
      <w:kern w:val="2"/>
      <w:sz w:val="18"/>
      <w:szCs w:val="18"/>
    </w:rPr>
  </w:style>
  <w:style w:type="character" w:customStyle="1" w:styleId="26">
    <w:name w:val="批注文字 字符"/>
    <w:basedOn w:val="14"/>
    <w:link w:val="4"/>
    <w:semiHidden/>
    <w:qFormat/>
    <w:uiPriority w:val="99"/>
    <w:rPr>
      <w:rFonts w:ascii="Calibri" w:hAnsi="Calibri"/>
      <w:kern w:val="2"/>
      <w:sz w:val="21"/>
      <w:szCs w:val="24"/>
    </w:rPr>
  </w:style>
  <w:style w:type="character" w:customStyle="1" w:styleId="27">
    <w:name w:val="批注主题 字符"/>
    <w:basedOn w:val="26"/>
    <w:link w:val="11"/>
    <w:semiHidden/>
    <w:qFormat/>
    <w:uiPriority w:val="99"/>
    <w:rPr>
      <w:rFonts w:ascii="Calibri" w:hAnsi="Calibri"/>
      <w:b/>
      <w:bCs/>
      <w:kern w:val="2"/>
      <w:sz w:val="21"/>
      <w:szCs w:val="24"/>
    </w:rPr>
  </w:style>
  <w:style w:type="paragraph" w:customStyle="1" w:styleId="28">
    <w:name w:val="修订2"/>
    <w:hidden/>
    <w:semiHidden/>
    <w:qFormat/>
    <w:uiPriority w:val="99"/>
    <w:rPr>
      <w:rFonts w:ascii="Calibri" w:hAnsi="Calibri" w:eastAsia="宋体" w:cs="Times New Roman"/>
      <w:kern w:val="2"/>
      <w:sz w:val="21"/>
      <w:szCs w:val="24"/>
      <w:lang w:val="en-US" w:eastAsia="zh-CN" w:bidi="ar-SA"/>
    </w:rPr>
  </w:style>
  <w:style w:type="character" w:customStyle="1" w:styleId="29">
    <w:name w:val="highlight"/>
    <w:basedOn w:val="14"/>
    <w:qFormat/>
    <w:uiPriority w:val="0"/>
  </w:style>
  <w:style w:type="paragraph" w:customStyle="1" w:styleId="30">
    <w:name w:val="修订3"/>
    <w:hidden/>
    <w:semiHidden/>
    <w:qFormat/>
    <w:uiPriority w:val="99"/>
    <w:rPr>
      <w:rFonts w:ascii="Calibri" w:hAnsi="Calibri" w:eastAsia="宋体" w:cs="Times New Roman"/>
      <w:kern w:val="2"/>
      <w:sz w:val="21"/>
      <w:szCs w:val="24"/>
      <w:lang w:val="en-US" w:eastAsia="zh-CN" w:bidi="ar-SA"/>
    </w:rPr>
  </w:style>
  <w:style w:type="table" w:customStyle="1" w:styleId="31">
    <w:name w:val="网格型1"/>
    <w:basedOn w:val="12"/>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
    <w:name w:val="修订4"/>
    <w:hidden/>
    <w:semiHidden/>
    <w:qFormat/>
    <w:uiPriority w:val="99"/>
    <w:rPr>
      <w:rFonts w:ascii="Times New Roman" w:hAnsi="Times New Roman" w:eastAsia="宋体" w:cs="Times New Roman"/>
      <w:kern w:val="2"/>
      <w:sz w:val="24"/>
      <w:szCs w:val="24"/>
      <w:lang w:val="en-US" w:eastAsia="zh-CN" w:bidi="ar-SA"/>
    </w:rPr>
  </w:style>
  <w:style w:type="paragraph" w:customStyle="1" w:styleId="33">
    <w:name w:val="修订5"/>
    <w:hidden/>
    <w:semiHidden/>
    <w:qFormat/>
    <w:uiPriority w:val="99"/>
    <w:rPr>
      <w:rFonts w:ascii="Times New Roman" w:hAnsi="Times New Roman" w:eastAsia="宋体" w:cs="Times New Roman"/>
      <w:kern w:val="2"/>
      <w:sz w:val="24"/>
      <w:szCs w:val="24"/>
      <w:lang w:val="en-US" w:eastAsia="zh-CN" w:bidi="ar-SA"/>
    </w:rPr>
  </w:style>
  <w:style w:type="paragraph" w:customStyle="1" w:styleId="34">
    <w:name w:val="Revision"/>
    <w:hidden/>
    <w:semiHidden/>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C4331-D055-4B69-B6CF-799E60B50144}">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17</Pages>
  <Words>7564</Words>
  <Characters>7626</Characters>
  <Lines>55</Lines>
  <Paragraphs>15</Paragraphs>
  <TotalTime>6</TotalTime>
  <ScaleCrop>false</ScaleCrop>
  <LinksUpToDate>false</LinksUpToDate>
  <CharactersWithSpaces>7682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2024-12-04T08:14:00Z</dcterms:created>
  <dc:creator>杨雨璇;曹桐</dc:creator>
  <cp:lastModifiedBy>WSY</cp:lastModifiedBy>
  <dcterms:modified xsi:type="dcterms:W3CDTF">2025-06-20T09:34:35Z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eyJoZGlkIjoiMGYyMzhhMzNmNzJhMTU4YjMxZTc1YjkyNzFjZGE5ZTciLCJ1c2VySWQiOiIyNjU0NTI1NDMifQ==</vt:lpwstr>
  </property>
  <property fmtid="{D5CDD505-2E9C-101B-9397-08002B2CF9AE}" pid="4" name="ICV">
    <vt:lpwstr>A7FF67A073C14725AFC0AF23FADFC5B9_12</vt:lpwstr>
  </property>
</Properties>
</file>