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E370E">
      <w:pPr>
        <w:tabs>
          <w:tab w:val="left" w:pos="3120"/>
        </w:tabs>
        <w:spacing w:line="560" w:lineRule="exact"/>
        <w:jc w:val="center"/>
        <w:rPr>
          <w:rFonts w:ascii="黑体" w:hAnsi="黑体" w:eastAsia="黑体"/>
          <w:sz w:val="21"/>
          <w:szCs w:val="21"/>
        </w:rPr>
      </w:pPr>
      <w:r>
        <w:rPr>
          <w:rFonts w:hint="eastAsia" w:ascii="黑体" w:hAnsi="黑体" w:eastAsia="黑体"/>
          <w:sz w:val="21"/>
          <w:szCs w:val="21"/>
        </w:rPr>
        <w:t>证券代码：002042</w:t>
      </w:r>
      <w:r>
        <w:rPr>
          <w:rFonts w:hint="eastAsia" w:ascii="黑体" w:hAnsi="黑体" w:eastAsia="黑体"/>
          <w:sz w:val="21"/>
          <w:szCs w:val="21"/>
        </w:rPr>
        <w:tab/>
      </w:r>
      <w:r>
        <w:rPr>
          <w:rFonts w:ascii="黑体" w:hAnsi="黑体" w:eastAsia="黑体"/>
          <w:sz w:val="21"/>
          <w:szCs w:val="21"/>
        </w:rPr>
        <w:t xml:space="preserve"> </w:t>
      </w:r>
      <w:r>
        <w:rPr>
          <w:rFonts w:hint="eastAsia" w:ascii="黑体" w:hAnsi="黑体" w:eastAsia="黑体"/>
          <w:sz w:val="21"/>
          <w:szCs w:val="21"/>
        </w:rPr>
        <w:t>证券简称：华孚时尚</w:t>
      </w:r>
      <w:r>
        <w:rPr>
          <w:rFonts w:ascii="黑体" w:hAnsi="黑体" w:eastAsia="黑体"/>
          <w:sz w:val="21"/>
          <w:szCs w:val="21"/>
        </w:rPr>
        <w:t xml:space="preserve">    </w:t>
      </w:r>
      <w:r>
        <w:rPr>
          <w:rFonts w:hint="eastAsia" w:ascii="黑体" w:hAnsi="黑体" w:eastAsia="黑体"/>
          <w:sz w:val="21"/>
          <w:szCs w:val="21"/>
        </w:rPr>
        <w:t xml:space="preserve">    </w:t>
      </w:r>
      <w:r>
        <w:rPr>
          <w:rFonts w:ascii="黑体" w:hAnsi="黑体" w:eastAsia="黑体"/>
          <w:sz w:val="21"/>
          <w:szCs w:val="21"/>
        </w:rPr>
        <w:t xml:space="preserve">    </w:t>
      </w:r>
      <w:r>
        <w:rPr>
          <w:rFonts w:hint="eastAsia" w:ascii="黑体" w:hAnsi="黑体" w:eastAsia="黑体"/>
          <w:sz w:val="21"/>
          <w:szCs w:val="21"/>
        </w:rPr>
        <w:t>公告编号：2025-07</w:t>
      </w:r>
    </w:p>
    <w:p w14:paraId="6F802DED">
      <w:pPr>
        <w:tabs>
          <w:tab w:val="left" w:pos="3240"/>
        </w:tabs>
        <w:spacing w:before="326" w:beforeLines="100"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华孚时尚股份有限公司</w:t>
      </w:r>
    </w:p>
    <w:p w14:paraId="062457F3">
      <w:pPr>
        <w:tabs>
          <w:tab w:val="left" w:pos="3240"/>
        </w:tabs>
        <w:spacing w:after="326" w:afterLines="100" w:line="560" w:lineRule="exact"/>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关于募集资金专户销户完成的公告</w:t>
      </w:r>
    </w:p>
    <w:p w14:paraId="0FFE237D">
      <w:pPr>
        <w:widowControl/>
        <w:spacing w:before="163" w:beforeLines="50" w:after="163" w:afterLines="50"/>
        <w:ind w:firstLine="480" w:firstLineChars="200"/>
        <w:rPr>
          <w:rFonts w:ascii="楷体" w:hAnsi="楷体" w:eastAsia="楷体" w:cs="宋体"/>
          <w:szCs w:val="20"/>
        </w:rPr>
      </w:pPr>
      <w:r>
        <w:rPr>
          <w:rFonts w:hint="eastAsia" w:ascii="楷体" w:hAnsi="楷体" w:eastAsia="楷体" w:cs="宋体"/>
          <w:szCs w:val="20"/>
        </w:rPr>
        <w:t>本公司及董事会全体成员保证信息披露的内容真实、准确、完整，没有虚假记载、误导性陈述或重大遗漏。</w:t>
      </w:r>
    </w:p>
    <w:p w14:paraId="2EA0B900">
      <w:pPr>
        <w:spacing w:line="360" w:lineRule="auto"/>
        <w:ind w:firstLine="482" w:firstLineChars="200"/>
        <w:outlineLvl w:val="0"/>
        <w:rPr>
          <w:rFonts w:asciiTheme="minorEastAsia" w:hAnsiTheme="minorEastAsia" w:eastAsiaTheme="minorEastAsia"/>
          <w:b/>
        </w:rPr>
      </w:pPr>
      <w:r>
        <w:rPr>
          <w:rFonts w:asciiTheme="minorEastAsia" w:hAnsiTheme="minorEastAsia" w:eastAsiaTheme="minorEastAsia"/>
          <w:b/>
        </w:rPr>
        <w:t>一、募集资金基本情况</w:t>
      </w:r>
    </w:p>
    <w:p w14:paraId="1EDF3B6F">
      <w:pPr>
        <w:wordWrap w:val="0"/>
        <w:spacing w:line="360" w:lineRule="auto"/>
        <w:ind w:firstLine="480" w:firstLineChars="200"/>
        <w:jc w:val="both"/>
        <w:rPr>
          <w:rFonts w:cs="宋体" w:asciiTheme="minorEastAsia" w:hAnsiTheme="minorEastAsia" w:eastAsiaTheme="minorEastAsia"/>
        </w:rPr>
      </w:pPr>
      <w:r>
        <w:rPr>
          <w:rFonts w:hint="eastAsia" w:cs="宋体" w:asciiTheme="minorEastAsia" w:hAnsiTheme="minorEastAsia" w:eastAsiaTheme="minorEastAsia"/>
        </w:rPr>
        <w:t>经中国证券监督管理委员会（以下简称“中国证监会”）（证监许可[2020]2582号）《关于核准华孚时尚股份有限公司非公开发行股票的批复》核准，公司于2021年9月14日以非公开发行方式发行人民币普通股（A股）274,278,835股，发行价格为每股4.16元，募集资金总额1,140,999,953.60元，扣除承销费和保荐费10,660,000.00元后的募集资金为人民币1,130,339,953.60元，已由华泰联合证券有限责任公司于2021年9月14日存入公司开立在浙商银行绍兴上虞支行账号为3371020210120100198791和建设银行深圳罗湖支行账号为44250100002809999888的人民币账户；减除其他发行费用人民币3,964,568.82元后，募集资金净额为人民币1,126,375,384.78元。上述资金到位情况业经大华会计师事务所（特殊普通合伙）验证，并由其出具“大华验字[2021]000637号”验资报告。公司对募集资金采取了专户存储制度。</w:t>
      </w:r>
    </w:p>
    <w:p w14:paraId="1CBD7041">
      <w:pPr>
        <w:spacing w:line="360" w:lineRule="auto"/>
        <w:ind w:firstLine="482" w:firstLineChars="200"/>
        <w:outlineLvl w:val="0"/>
        <w:rPr>
          <w:rFonts w:asciiTheme="minorEastAsia" w:hAnsiTheme="minorEastAsia" w:eastAsiaTheme="minorEastAsia"/>
          <w:b/>
        </w:rPr>
      </w:pPr>
      <w:r>
        <w:rPr>
          <w:rFonts w:hint="eastAsia" w:asciiTheme="minorEastAsia" w:hAnsiTheme="minorEastAsia" w:eastAsiaTheme="minorEastAsia"/>
          <w:b/>
        </w:rPr>
        <w:t>二</w:t>
      </w:r>
      <w:r>
        <w:rPr>
          <w:rFonts w:asciiTheme="minorEastAsia" w:hAnsiTheme="minorEastAsia" w:eastAsiaTheme="minorEastAsia"/>
          <w:b/>
        </w:rPr>
        <w:t>、募集资金管理情况</w:t>
      </w:r>
    </w:p>
    <w:p w14:paraId="2B805000">
      <w:pPr>
        <w:spacing w:line="360" w:lineRule="auto"/>
        <w:ind w:firstLine="480" w:firstLineChars="200"/>
        <w:jc w:val="both"/>
        <w:rPr>
          <w:rFonts w:cs="宋体" w:asciiTheme="minorEastAsia" w:hAnsiTheme="minorEastAsia" w:eastAsiaTheme="minorEastAsia"/>
        </w:rPr>
      </w:pPr>
      <w:r>
        <w:rPr>
          <w:rFonts w:hint="eastAsia" w:cs="宋体" w:asciiTheme="minorEastAsia" w:hAnsiTheme="minorEastAsia" w:eastAsiaTheme="minorEastAsia"/>
        </w:rPr>
        <w:t>为了规范募集资金的管理和使用，保护投资者权益，公司依照《中华人民共和国公司法》《中华人民共和国证券法》《深圳证券交易所股票上市规则》《深圳证券交易所上市公司自律监管指引第1号——主板上市公司规范运作》等法律法规，结合公司实际情况，制定了《华孚时尚股份有限公司募集资金管理制度》（以下简称“《管理制度》”），该《管理制度》经公司2020年第二次临时股东大会决议审议通过。</w:t>
      </w:r>
    </w:p>
    <w:p w14:paraId="50846247">
      <w:pPr>
        <w:spacing w:line="360" w:lineRule="auto"/>
        <w:ind w:firstLine="480" w:firstLineChars="200"/>
        <w:jc w:val="both"/>
        <w:rPr>
          <w:rFonts w:hint="eastAsia" w:cs="宋体" w:asciiTheme="minorEastAsia" w:hAnsiTheme="minorEastAsia" w:eastAsiaTheme="minorEastAsia"/>
        </w:rPr>
      </w:pPr>
      <w:r>
        <w:rPr>
          <w:rFonts w:hint="eastAsia" w:cs="宋体" w:asciiTheme="minorEastAsia" w:hAnsiTheme="minorEastAsia" w:eastAsiaTheme="minorEastAsia"/>
        </w:rPr>
        <w:t>根据《管理制度》的要求，并结合公司经营需要，公司在中国建设银行股份有限公司深圳罗湖支行、浙商银行股份有限公司绍兴上虞支行开设募集资金专项账户，其中中国建设银行股份有限公司深圳罗湖支行、浙商银行股份有限公司绍兴上虞支行两个账户均是用于华孚（越南）50万锭新型纱线项项目（一期），因该项目建设地在越南，投入该项目的募集资金在汇入公司越南账户前存在中国境内的中国建设银行股份有限公司深圳罗湖支行，并于2021年9月15日与保荐机构、存放募集资金的商业银行签署了募集资金三方监管协议，明确了各方权利和义务。2022年1月7日因变更募投项目公司与保荐机构、存放募集资金的商业银行签署了募集资金三方监管协议补充协议。公司严格按照内部制定的《管理制度》对募集资金的使用实行严格的审批手续，以保证专款专用；授权保荐代表人可以随时到开设募集资金专户的银行查询募集资金专户资料，并要求保荐代表人每半年度对募集资金管理和使用情况至少进行现场检查一次。</w:t>
      </w:r>
    </w:p>
    <w:p w14:paraId="25206EAC">
      <w:pPr>
        <w:spacing w:line="360" w:lineRule="auto"/>
        <w:ind w:firstLine="480" w:firstLineChars="200"/>
        <w:jc w:val="both"/>
        <w:rPr>
          <w:rFonts w:cs="宋体" w:asciiTheme="minorEastAsia" w:hAnsiTheme="minorEastAsia" w:eastAsiaTheme="minorEastAsia"/>
        </w:rPr>
      </w:pPr>
      <w:r>
        <w:rPr>
          <w:rFonts w:cs="宋体" w:asciiTheme="minorEastAsia" w:hAnsiTheme="minorEastAsia" w:eastAsiaTheme="minorEastAsia"/>
        </w:rPr>
        <w:t>在不影响募投项目建设进度的前提下，为提高资金使用效率，公司在履行相应的程序后使用闲置募集资金进行现金管理，并开立了闲置募集资金现金管理专户，详见公司于</w:t>
      </w:r>
      <w:r>
        <w:rPr>
          <w:rFonts w:hint="eastAsia" w:cs="宋体" w:asciiTheme="minorEastAsia" w:hAnsiTheme="minorEastAsia" w:eastAsiaTheme="minorEastAsia"/>
        </w:rPr>
        <w:t>2021年11月17日</w:t>
      </w:r>
      <w:r>
        <w:rPr>
          <w:rFonts w:cs="宋体" w:asciiTheme="minorEastAsia" w:hAnsiTheme="minorEastAsia" w:eastAsiaTheme="minorEastAsia"/>
        </w:rPr>
        <w:t>刊登于《证券时报》、《中国证券报》和巨</w:t>
      </w:r>
    </w:p>
    <w:p w14:paraId="323BFD86">
      <w:pPr>
        <w:spacing w:line="360" w:lineRule="auto"/>
        <w:jc w:val="both"/>
        <w:rPr>
          <w:rFonts w:cs="宋体" w:asciiTheme="minorEastAsia" w:hAnsiTheme="minorEastAsia" w:eastAsiaTheme="minorEastAsia"/>
        </w:rPr>
      </w:pPr>
      <w:r>
        <w:rPr>
          <w:rFonts w:cs="宋体" w:asciiTheme="minorEastAsia" w:hAnsiTheme="minorEastAsia" w:eastAsiaTheme="minorEastAsia"/>
        </w:rPr>
        <w:t>潮资讯网(http://www.cninfo.com.cn)上的《关于开立闲置募集资金现金管理专户的公告》（</w:t>
      </w:r>
      <w:r>
        <w:rPr>
          <w:rFonts w:hint="eastAsia" w:cs="宋体" w:asciiTheme="minorEastAsia" w:hAnsiTheme="minorEastAsia" w:eastAsiaTheme="minorEastAsia"/>
        </w:rPr>
        <w:t>2021-56</w:t>
      </w:r>
      <w:r>
        <w:rPr>
          <w:rFonts w:cs="宋体" w:asciiTheme="minorEastAsia" w:hAnsiTheme="minorEastAsia" w:eastAsiaTheme="minorEastAsia"/>
        </w:rPr>
        <w:t>）。</w:t>
      </w:r>
    </w:p>
    <w:p w14:paraId="4BC7781C">
      <w:pPr>
        <w:numPr>
          <w:ilvl w:val="0"/>
          <w:numId w:val="1"/>
        </w:numPr>
        <w:spacing w:line="360" w:lineRule="auto"/>
        <w:ind w:firstLine="482" w:firstLineChars="200"/>
        <w:outlineLvl w:val="0"/>
        <w:rPr>
          <w:rFonts w:asciiTheme="minorEastAsia" w:hAnsiTheme="minorEastAsia" w:eastAsiaTheme="minorEastAsia"/>
          <w:b/>
        </w:rPr>
      </w:pPr>
      <w:r>
        <w:rPr>
          <w:rFonts w:hint="eastAsia" w:asciiTheme="minorEastAsia" w:hAnsiTheme="minorEastAsia" w:eastAsiaTheme="minorEastAsia"/>
          <w:b/>
        </w:rPr>
        <w:t>本次注销的募集资金专户情况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263"/>
        <w:gridCol w:w="1559"/>
        <w:gridCol w:w="1276"/>
        <w:gridCol w:w="2035"/>
      </w:tblGrid>
      <w:tr w14:paraId="0F43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14:paraId="4A6797E1">
            <w:pPr>
              <w:spacing w:line="360" w:lineRule="auto"/>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开户单位</w:t>
            </w:r>
          </w:p>
        </w:tc>
        <w:tc>
          <w:tcPr>
            <w:tcW w:w="2263" w:type="dxa"/>
          </w:tcPr>
          <w:p w14:paraId="57CEECCD">
            <w:pPr>
              <w:spacing w:line="360" w:lineRule="auto"/>
              <w:ind w:firstLine="422"/>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开户行</w:t>
            </w:r>
          </w:p>
        </w:tc>
        <w:tc>
          <w:tcPr>
            <w:tcW w:w="1559" w:type="dxa"/>
          </w:tcPr>
          <w:p w14:paraId="60C95264">
            <w:pPr>
              <w:spacing w:line="360" w:lineRule="auto"/>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开户账号</w:t>
            </w:r>
          </w:p>
        </w:tc>
        <w:tc>
          <w:tcPr>
            <w:tcW w:w="1276" w:type="dxa"/>
          </w:tcPr>
          <w:p w14:paraId="671A736A">
            <w:pPr>
              <w:spacing w:line="360" w:lineRule="auto"/>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账户状态</w:t>
            </w:r>
          </w:p>
        </w:tc>
        <w:tc>
          <w:tcPr>
            <w:tcW w:w="2035" w:type="dxa"/>
          </w:tcPr>
          <w:p w14:paraId="6B1AE026">
            <w:pPr>
              <w:spacing w:line="360" w:lineRule="auto"/>
              <w:jc w:val="center"/>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对应项目</w:t>
            </w:r>
          </w:p>
        </w:tc>
      </w:tr>
      <w:tr w14:paraId="05D2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619463B6">
            <w:pPr>
              <w:jc w:val="left"/>
              <w:outlineLvl w:val="0"/>
              <w:rPr>
                <w:rFonts w:asciiTheme="minorEastAsia" w:hAnsiTheme="minorEastAsia" w:eastAsiaTheme="minorEastAsia"/>
                <w:b/>
                <w:sz w:val="21"/>
                <w:szCs w:val="21"/>
              </w:rPr>
            </w:pPr>
            <w:r>
              <w:rPr>
                <w:rFonts w:hint="eastAsia" w:asciiTheme="minorEastAsia" w:hAnsiTheme="minorEastAsia" w:eastAsiaTheme="minorEastAsia"/>
                <w:bCs/>
                <w:sz w:val="21"/>
                <w:szCs w:val="21"/>
              </w:rPr>
              <w:t>华孚时尚股份有限公司</w:t>
            </w:r>
          </w:p>
        </w:tc>
        <w:tc>
          <w:tcPr>
            <w:tcW w:w="2263" w:type="dxa"/>
            <w:shd w:val="clear" w:color="auto" w:fill="auto"/>
            <w:vAlign w:val="center"/>
          </w:tcPr>
          <w:p w14:paraId="65B321FF">
            <w:pPr>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浙商银行股份有限公司绍兴上虞支行</w:t>
            </w:r>
          </w:p>
        </w:tc>
        <w:tc>
          <w:tcPr>
            <w:tcW w:w="1559" w:type="dxa"/>
            <w:shd w:val="clear" w:color="auto" w:fill="auto"/>
            <w:vAlign w:val="center"/>
          </w:tcPr>
          <w:p w14:paraId="13960615">
            <w:pPr>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3371020210120100198791</w:t>
            </w:r>
          </w:p>
        </w:tc>
        <w:tc>
          <w:tcPr>
            <w:tcW w:w="1276" w:type="dxa"/>
            <w:vAlign w:val="center"/>
          </w:tcPr>
          <w:p w14:paraId="212B4881">
            <w:pPr>
              <w:jc w:val="left"/>
              <w:outlineLvl w:val="0"/>
              <w:rPr>
                <w:rFonts w:asciiTheme="minorEastAsia" w:hAnsiTheme="minorEastAsia" w:eastAsiaTheme="minorEastAsia"/>
                <w:b/>
                <w:sz w:val="21"/>
                <w:szCs w:val="21"/>
              </w:rPr>
            </w:pPr>
            <w:r>
              <w:rPr>
                <w:rFonts w:hint="eastAsia" w:cs="宋体" w:asciiTheme="minorEastAsia" w:hAnsiTheme="minorEastAsia" w:eastAsiaTheme="minorEastAsia"/>
                <w:sz w:val="21"/>
                <w:szCs w:val="21"/>
              </w:rPr>
              <w:t>本次注销</w:t>
            </w:r>
          </w:p>
        </w:tc>
        <w:tc>
          <w:tcPr>
            <w:tcW w:w="2035" w:type="dxa"/>
            <w:vAlign w:val="center"/>
          </w:tcPr>
          <w:p w14:paraId="5E7C6910">
            <w:pPr>
              <w:jc w:val="left"/>
              <w:outlineLvl w:val="0"/>
              <w:rPr>
                <w:rFonts w:asciiTheme="minorEastAsia" w:hAnsiTheme="minorEastAsia" w:eastAsiaTheme="minorEastAsia"/>
                <w:b/>
                <w:sz w:val="21"/>
                <w:szCs w:val="21"/>
              </w:rPr>
            </w:pPr>
            <w:r>
              <w:rPr>
                <w:rFonts w:hint="eastAsia" w:cs="宋体" w:asciiTheme="minorEastAsia" w:hAnsiTheme="minorEastAsia" w:eastAsiaTheme="minorEastAsia"/>
                <w:sz w:val="21"/>
                <w:szCs w:val="21"/>
              </w:rPr>
              <w:t>淮北30万锭智能纺纱产业园项目</w:t>
            </w:r>
          </w:p>
        </w:tc>
      </w:tr>
      <w:tr w14:paraId="3B8C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2B40BE25">
            <w:pPr>
              <w:jc w:val="left"/>
              <w:outlineLvl w:val="0"/>
              <w:rPr>
                <w:rFonts w:asciiTheme="minorEastAsia" w:hAnsiTheme="minorEastAsia" w:eastAsiaTheme="minorEastAsia"/>
                <w:b/>
                <w:sz w:val="21"/>
                <w:szCs w:val="21"/>
              </w:rPr>
            </w:pPr>
            <w:r>
              <w:rPr>
                <w:rFonts w:hint="eastAsia" w:asciiTheme="minorEastAsia" w:hAnsiTheme="minorEastAsia" w:eastAsiaTheme="minorEastAsia"/>
                <w:bCs/>
                <w:sz w:val="21"/>
                <w:szCs w:val="21"/>
              </w:rPr>
              <w:t>华孚时尚股份有限公司</w:t>
            </w:r>
          </w:p>
        </w:tc>
        <w:tc>
          <w:tcPr>
            <w:tcW w:w="2263" w:type="dxa"/>
            <w:shd w:val="clear" w:color="auto" w:fill="auto"/>
            <w:vAlign w:val="center"/>
          </w:tcPr>
          <w:p w14:paraId="300DF4B8">
            <w:pPr>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中国建设银行股份有限公司深圳罗湖支行</w:t>
            </w:r>
          </w:p>
        </w:tc>
        <w:tc>
          <w:tcPr>
            <w:tcW w:w="1559" w:type="dxa"/>
            <w:shd w:val="clear" w:color="auto" w:fill="auto"/>
            <w:vAlign w:val="center"/>
          </w:tcPr>
          <w:p w14:paraId="173C99A3">
            <w:pPr>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44250100002809999888</w:t>
            </w:r>
          </w:p>
        </w:tc>
        <w:tc>
          <w:tcPr>
            <w:tcW w:w="1276" w:type="dxa"/>
            <w:vAlign w:val="center"/>
          </w:tcPr>
          <w:p w14:paraId="658BC2DB">
            <w:pPr>
              <w:jc w:val="left"/>
              <w:outlineLvl w:val="0"/>
              <w:rPr>
                <w:rFonts w:asciiTheme="minorEastAsia" w:hAnsiTheme="minorEastAsia" w:eastAsiaTheme="minorEastAsia"/>
                <w:b/>
                <w:sz w:val="21"/>
                <w:szCs w:val="21"/>
              </w:rPr>
            </w:pPr>
            <w:r>
              <w:rPr>
                <w:rFonts w:hint="eastAsia" w:cs="宋体" w:asciiTheme="minorEastAsia" w:hAnsiTheme="minorEastAsia" w:eastAsiaTheme="minorEastAsia"/>
                <w:sz w:val="21"/>
                <w:szCs w:val="21"/>
              </w:rPr>
              <w:t>本次注销</w:t>
            </w:r>
          </w:p>
        </w:tc>
        <w:tc>
          <w:tcPr>
            <w:tcW w:w="2035" w:type="dxa"/>
            <w:vAlign w:val="center"/>
          </w:tcPr>
          <w:p w14:paraId="1E9F12D5">
            <w:pPr>
              <w:jc w:val="left"/>
              <w:outlineLvl w:val="0"/>
              <w:rPr>
                <w:rFonts w:asciiTheme="minorEastAsia" w:hAnsiTheme="minorEastAsia" w:eastAsiaTheme="minorEastAsia"/>
                <w:b/>
                <w:sz w:val="21"/>
                <w:szCs w:val="21"/>
              </w:rPr>
            </w:pPr>
            <w:r>
              <w:rPr>
                <w:rFonts w:hint="eastAsia" w:cs="宋体" w:asciiTheme="minorEastAsia" w:hAnsiTheme="minorEastAsia" w:eastAsiaTheme="minorEastAsia"/>
                <w:sz w:val="21"/>
                <w:szCs w:val="21"/>
              </w:rPr>
              <w:t>淮北30万锭智能纺纱产业园项目</w:t>
            </w:r>
          </w:p>
        </w:tc>
      </w:tr>
      <w:tr w14:paraId="31C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338E6C44">
            <w:pPr>
              <w:jc w:val="both"/>
              <w:outlineLvl w:val="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华孚时尚股份有限公司</w:t>
            </w:r>
          </w:p>
        </w:tc>
        <w:tc>
          <w:tcPr>
            <w:tcW w:w="2263" w:type="dxa"/>
            <w:shd w:val="clear" w:color="auto" w:fill="auto"/>
            <w:vAlign w:val="center"/>
          </w:tcPr>
          <w:p w14:paraId="79DC4078">
            <w:pPr>
              <w:jc w:val="both"/>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浙商银行股份有限公司绍兴上虞支行</w:t>
            </w:r>
          </w:p>
        </w:tc>
        <w:tc>
          <w:tcPr>
            <w:tcW w:w="1559" w:type="dxa"/>
            <w:shd w:val="clear" w:color="auto" w:fill="auto"/>
            <w:vAlign w:val="center"/>
          </w:tcPr>
          <w:p w14:paraId="11A23EA6">
            <w:pPr>
              <w:jc w:val="both"/>
              <w:rPr>
                <w:rFonts w:hint="eastAsia" w:cs="宋体" w:asciiTheme="minorEastAsia" w:hAnsiTheme="minorEastAsia" w:eastAsiaTheme="minorEastAsia"/>
                <w:sz w:val="21"/>
                <w:szCs w:val="21"/>
              </w:rPr>
            </w:pPr>
            <w:r>
              <w:rPr>
                <w:rFonts w:cs="Arial" w:asciiTheme="minorEastAsia" w:hAnsiTheme="minorEastAsia" w:eastAsiaTheme="minorEastAsia"/>
                <w:sz w:val="21"/>
                <w:szCs w:val="21"/>
              </w:rPr>
              <w:t>337102021012</w:t>
            </w:r>
            <w:r>
              <w:rPr>
                <w:rFonts w:hint="eastAsia" w:cs="Arial" w:asciiTheme="minorEastAsia" w:hAnsiTheme="minorEastAsia" w:eastAsiaTheme="minorEastAsia"/>
                <w:sz w:val="21"/>
                <w:szCs w:val="21"/>
              </w:rPr>
              <w:t>1800178756</w:t>
            </w:r>
          </w:p>
        </w:tc>
        <w:tc>
          <w:tcPr>
            <w:tcW w:w="1276" w:type="dxa"/>
            <w:vAlign w:val="center"/>
          </w:tcPr>
          <w:p w14:paraId="184A0DF2">
            <w:pPr>
              <w:jc w:val="both"/>
              <w:outlineLvl w:val="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本次注销</w:t>
            </w:r>
          </w:p>
        </w:tc>
        <w:tc>
          <w:tcPr>
            <w:tcW w:w="2035" w:type="dxa"/>
            <w:vAlign w:val="center"/>
          </w:tcPr>
          <w:p w14:paraId="6C05B3C2">
            <w:pPr>
              <w:jc w:val="both"/>
              <w:outlineLvl w:val="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闲置募集资金现金管理专户</w:t>
            </w:r>
          </w:p>
        </w:tc>
      </w:tr>
      <w:tr w14:paraId="58C2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vAlign w:val="center"/>
          </w:tcPr>
          <w:p w14:paraId="0A0D84EC">
            <w:pPr>
              <w:jc w:val="both"/>
              <w:outlineLvl w:val="0"/>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华孚时尚股份有限公司</w:t>
            </w:r>
          </w:p>
        </w:tc>
        <w:tc>
          <w:tcPr>
            <w:tcW w:w="2263" w:type="dxa"/>
            <w:shd w:val="clear" w:color="auto" w:fill="auto"/>
            <w:vAlign w:val="center"/>
          </w:tcPr>
          <w:p w14:paraId="43B10669">
            <w:pPr>
              <w:jc w:val="both"/>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中国建设银行股份有限公司深圳罗湖支行</w:t>
            </w:r>
          </w:p>
        </w:tc>
        <w:tc>
          <w:tcPr>
            <w:tcW w:w="1559" w:type="dxa"/>
            <w:shd w:val="clear" w:color="auto" w:fill="auto"/>
            <w:vAlign w:val="center"/>
          </w:tcPr>
          <w:p w14:paraId="794FB837">
            <w:pPr>
              <w:jc w:val="both"/>
              <w:rPr>
                <w:rFonts w:hint="eastAsia" w:cs="宋体" w:asciiTheme="minorEastAsia" w:hAnsiTheme="minorEastAsia" w:eastAsiaTheme="minorEastAsia"/>
                <w:sz w:val="21"/>
                <w:szCs w:val="21"/>
              </w:rPr>
            </w:pPr>
            <w:r>
              <w:rPr>
                <w:rFonts w:cs="Arial" w:asciiTheme="minorEastAsia" w:hAnsiTheme="minorEastAsia" w:eastAsiaTheme="minorEastAsia"/>
                <w:sz w:val="21"/>
                <w:szCs w:val="21"/>
              </w:rPr>
              <w:t>44250200002800000046</w:t>
            </w:r>
          </w:p>
        </w:tc>
        <w:tc>
          <w:tcPr>
            <w:tcW w:w="1276" w:type="dxa"/>
            <w:vAlign w:val="center"/>
          </w:tcPr>
          <w:p w14:paraId="025B2087">
            <w:pPr>
              <w:jc w:val="both"/>
              <w:outlineLvl w:val="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本次注销</w:t>
            </w:r>
          </w:p>
        </w:tc>
        <w:tc>
          <w:tcPr>
            <w:tcW w:w="2035" w:type="dxa"/>
            <w:vAlign w:val="center"/>
          </w:tcPr>
          <w:p w14:paraId="7CFB88F8">
            <w:pPr>
              <w:jc w:val="both"/>
              <w:outlineLvl w:val="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闲置募集资金现金管理专户</w:t>
            </w:r>
          </w:p>
        </w:tc>
      </w:tr>
    </w:tbl>
    <w:p w14:paraId="0A1FA070">
      <w:pPr>
        <w:spacing w:line="360" w:lineRule="auto"/>
        <w:ind w:firstLine="480" w:firstLineChars="200"/>
        <w:jc w:val="both"/>
        <w:rPr>
          <w:rFonts w:cs="宋体" w:asciiTheme="minorEastAsia" w:hAnsiTheme="minorEastAsia" w:eastAsiaTheme="minorEastAsia"/>
        </w:rPr>
      </w:pPr>
      <w:r>
        <w:rPr>
          <w:rFonts w:hint="eastAsia" w:cs="宋体" w:asciiTheme="minorEastAsia" w:hAnsiTheme="minorEastAsia" w:eastAsiaTheme="minorEastAsia"/>
        </w:rPr>
        <w:t>公司在浙商银行股份有限公司绍兴上虞支行账户</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3371020210120100198791</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销户时账户余额</w:t>
      </w:r>
      <w:r>
        <w:rPr>
          <w:rFonts w:cs="宋体" w:asciiTheme="minorEastAsia" w:hAnsiTheme="minorEastAsia" w:eastAsiaTheme="minorEastAsia"/>
        </w:rPr>
        <w:t>180.52</w:t>
      </w:r>
      <w:r>
        <w:rPr>
          <w:rFonts w:hint="eastAsia" w:cs="宋体" w:asciiTheme="minorEastAsia" w:hAnsiTheme="minorEastAsia" w:eastAsiaTheme="minorEastAsia"/>
        </w:rPr>
        <w:t>元、中国建设银行股份有限公司深圳罗湖支行</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44250100002809999888</w:t>
      </w:r>
      <w:r>
        <w:rPr>
          <w:rFonts w:hint="eastAsia" w:cs="宋体" w:asciiTheme="minorEastAsia" w:hAnsiTheme="minorEastAsia" w:eastAsiaTheme="minorEastAsia"/>
          <w:lang w:eastAsia="zh-CN"/>
        </w:rPr>
        <w:t>）</w:t>
      </w:r>
      <w:r>
        <w:rPr>
          <w:rFonts w:hint="eastAsia" w:cs="宋体" w:asciiTheme="minorEastAsia" w:hAnsiTheme="minorEastAsia" w:eastAsiaTheme="minorEastAsia"/>
        </w:rPr>
        <w:t>销户时账户余额</w:t>
      </w:r>
      <w:r>
        <w:rPr>
          <w:rFonts w:cs="宋体" w:asciiTheme="minorEastAsia" w:hAnsiTheme="minorEastAsia" w:eastAsiaTheme="minorEastAsia"/>
        </w:rPr>
        <w:t>1,767.15</w:t>
      </w:r>
      <w:r>
        <w:rPr>
          <w:rFonts w:hint="eastAsia" w:cs="宋体" w:asciiTheme="minorEastAsia" w:hAnsiTheme="minorEastAsia" w:eastAsiaTheme="minorEastAsia"/>
        </w:rPr>
        <w:t>元已经全部转入自有资金账户，用于继续投资淮北30万锭智能纺纱产业园项目。</w:t>
      </w:r>
      <w:r>
        <w:rPr>
          <w:rFonts w:hint="eastAsia" w:cs="宋体" w:asciiTheme="minorEastAsia" w:hAnsiTheme="minorEastAsia" w:eastAsiaTheme="minorEastAsia"/>
          <w:lang w:val="en-US" w:eastAsia="zh-CN"/>
        </w:rPr>
        <w:t>于2025年4月21日</w:t>
      </w:r>
      <w:bookmarkStart w:id="0" w:name="_GoBack"/>
      <w:bookmarkEnd w:id="0"/>
      <w:r>
        <w:rPr>
          <w:rFonts w:hint="eastAsia" w:cs="宋体" w:asciiTheme="minorEastAsia" w:hAnsiTheme="minorEastAsia" w:eastAsiaTheme="minorEastAsia"/>
        </w:rPr>
        <w:t>，公司募集资金专户已全部完成销户。上述专户注销后，公司与保荐机构、存放募集资金的商业银行签订的募集资金三方监管协议及补充协议相应终止。</w:t>
      </w:r>
    </w:p>
    <w:p w14:paraId="0CC1920D">
      <w:pPr>
        <w:spacing w:line="360" w:lineRule="auto"/>
        <w:ind w:firstLine="480" w:firstLineChars="200"/>
        <w:jc w:val="both"/>
        <w:rPr>
          <w:rFonts w:asciiTheme="minorEastAsia" w:hAnsiTheme="minorEastAsia" w:eastAsiaTheme="minorEastAsia"/>
        </w:rPr>
      </w:pPr>
      <w:r>
        <w:rPr>
          <w:rFonts w:hint="eastAsia" w:asciiTheme="minorEastAsia" w:hAnsiTheme="minorEastAsia" w:eastAsiaTheme="minorEastAsia"/>
        </w:rPr>
        <w:t>特此公告。</w:t>
      </w:r>
    </w:p>
    <w:p w14:paraId="4A8E5E96">
      <w:pPr>
        <w:spacing w:line="500" w:lineRule="exact"/>
        <w:jc w:val="right"/>
        <w:rPr>
          <w:rFonts w:cs="Times New Roman" w:asciiTheme="minorEastAsia" w:hAnsiTheme="minorEastAsia" w:eastAsiaTheme="minorEastAsia"/>
        </w:rPr>
      </w:pPr>
      <w:r>
        <w:rPr>
          <w:rFonts w:hint="eastAsia" w:cs="Times New Roman" w:asciiTheme="minorEastAsia" w:hAnsiTheme="minorEastAsia" w:eastAsiaTheme="minorEastAsia"/>
        </w:rPr>
        <w:t>华孚时尚股份有限公司董事会</w:t>
      </w:r>
    </w:p>
    <w:p w14:paraId="7E56DA57">
      <w:pPr>
        <w:pStyle w:val="5"/>
        <w:spacing w:after="0" w:line="500" w:lineRule="exact"/>
        <w:ind w:left="0" w:leftChars="0"/>
        <w:jc w:val="right"/>
        <w:rPr>
          <w:rFonts w:asciiTheme="minorEastAsia" w:hAnsiTheme="minorEastAsia" w:eastAsiaTheme="minorEastAsia"/>
          <w:szCs w:val="24"/>
        </w:rPr>
      </w:pPr>
      <w:r>
        <w:rPr>
          <w:rFonts w:hint="eastAsia" w:cs="Times New Roman" w:asciiTheme="minorEastAsia" w:hAnsiTheme="minorEastAsia" w:eastAsiaTheme="minorEastAsia"/>
          <w:szCs w:val="24"/>
        </w:rPr>
        <w:t>二〇二五年四月二十二日</w:t>
      </w:r>
    </w:p>
    <w:sectPr>
      <w:footerReference r:id="rId3" w:type="default"/>
      <w:pgSz w:w="11906" w:h="16838"/>
      <w:pgMar w:top="1134" w:right="1800" w:bottom="567" w:left="1800" w:header="851" w:footer="44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altName w:val="宋体"/>
    <w:panose1 w:val="00000000000000000000"/>
    <w:charset w:val="86"/>
    <w:family w:val="roman"/>
    <w:pitch w:val="default"/>
    <w:sig w:usb0="00000000" w:usb1="00000000" w:usb2="00000000" w:usb3="00000000" w:csb0="00000000" w:csb1="00000000"/>
  </w:font>
  <w:font w:name="DejaVu Sans">
    <w:altName w:val="Times New Roman"/>
    <w:panose1 w:val="00000000000000000000"/>
    <w:charset w:val="00"/>
    <w:family w:val="roman"/>
    <w:pitch w:val="default"/>
    <w:sig w:usb0="00000000" w:usb1="00000000" w:usb2="00000000" w:usb3="00000000" w:csb0="00000000" w:csb1="00000000"/>
  </w:font>
  <w:font w:name="Mangal">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2E9DA">
    <w:pPr>
      <w:pStyle w:val="7"/>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96D1F"/>
    <w:multiLevelType w:val="singleLevel"/>
    <w:tmpl w:val="26996D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B537AA"/>
    <w:rsid w:val="00004975"/>
    <w:rsid w:val="00005837"/>
    <w:rsid w:val="000070D2"/>
    <w:rsid w:val="0001608D"/>
    <w:rsid w:val="00026D45"/>
    <w:rsid w:val="000273FA"/>
    <w:rsid w:val="0003057E"/>
    <w:rsid w:val="00036B8D"/>
    <w:rsid w:val="0004268E"/>
    <w:rsid w:val="00050E7C"/>
    <w:rsid w:val="00052598"/>
    <w:rsid w:val="00073B91"/>
    <w:rsid w:val="0007490D"/>
    <w:rsid w:val="00082B2D"/>
    <w:rsid w:val="0008312B"/>
    <w:rsid w:val="00091A78"/>
    <w:rsid w:val="00091C4A"/>
    <w:rsid w:val="00093455"/>
    <w:rsid w:val="00094064"/>
    <w:rsid w:val="000942B7"/>
    <w:rsid w:val="000A071E"/>
    <w:rsid w:val="000A5B7C"/>
    <w:rsid w:val="000A666F"/>
    <w:rsid w:val="000B02FA"/>
    <w:rsid w:val="000C11F5"/>
    <w:rsid w:val="000C285B"/>
    <w:rsid w:val="000D591F"/>
    <w:rsid w:val="000E0E45"/>
    <w:rsid w:val="000E2C34"/>
    <w:rsid w:val="000F09BB"/>
    <w:rsid w:val="000F0D93"/>
    <w:rsid w:val="000F7A4F"/>
    <w:rsid w:val="001015D0"/>
    <w:rsid w:val="00105276"/>
    <w:rsid w:val="00107DA3"/>
    <w:rsid w:val="001147E9"/>
    <w:rsid w:val="001221FD"/>
    <w:rsid w:val="00125526"/>
    <w:rsid w:val="00132CF7"/>
    <w:rsid w:val="001414C1"/>
    <w:rsid w:val="00141F1B"/>
    <w:rsid w:val="00150818"/>
    <w:rsid w:val="00157045"/>
    <w:rsid w:val="001658BC"/>
    <w:rsid w:val="00166F79"/>
    <w:rsid w:val="00170E4F"/>
    <w:rsid w:val="00174B8F"/>
    <w:rsid w:val="001774F4"/>
    <w:rsid w:val="00197CA9"/>
    <w:rsid w:val="001A7109"/>
    <w:rsid w:val="001B1F0A"/>
    <w:rsid w:val="001B36C0"/>
    <w:rsid w:val="001C00AE"/>
    <w:rsid w:val="001C4141"/>
    <w:rsid w:val="001C42F4"/>
    <w:rsid w:val="001D69B8"/>
    <w:rsid w:val="001E7790"/>
    <w:rsid w:val="001F10B5"/>
    <w:rsid w:val="001F4D30"/>
    <w:rsid w:val="001F6741"/>
    <w:rsid w:val="0020102C"/>
    <w:rsid w:val="00202FD7"/>
    <w:rsid w:val="0020392E"/>
    <w:rsid w:val="0020407D"/>
    <w:rsid w:val="0021154B"/>
    <w:rsid w:val="002128A6"/>
    <w:rsid w:val="00214C7E"/>
    <w:rsid w:val="00220CEE"/>
    <w:rsid w:val="00224152"/>
    <w:rsid w:val="002309F0"/>
    <w:rsid w:val="00234228"/>
    <w:rsid w:val="00236BB8"/>
    <w:rsid w:val="00251F29"/>
    <w:rsid w:val="002534E1"/>
    <w:rsid w:val="00267B31"/>
    <w:rsid w:val="002726AA"/>
    <w:rsid w:val="00274A1E"/>
    <w:rsid w:val="002766A3"/>
    <w:rsid w:val="00281089"/>
    <w:rsid w:val="00282694"/>
    <w:rsid w:val="002879EE"/>
    <w:rsid w:val="0029244F"/>
    <w:rsid w:val="0029307B"/>
    <w:rsid w:val="002A3983"/>
    <w:rsid w:val="002A506F"/>
    <w:rsid w:val="002A62B5"/>
    <w:rsid w:val="002B4AF0"/>
    <w:rsid w:val="002B6B16"/>
    <w:rsid w:val="002B7D38"/>
    <w:rsid w:val="002C507E"/>
    <w:rsid w:val="002D65D5"/>
    <w:rsid w:val="002D71C8"/>
    <w:rsid w:val="002E3FE5"/>
    <w:rsid w:val="002E472F"/>
    <w:rsid w:val="002F465A"/>
    <w:rsid w:val="002F4F2C"/>
    <w:rsid w:val="0030593A"/>
    <w:rsid w:val="003214C7"/>
    <w:rsid w:val="0035460F"/>
    <w:rsid w:val="00360FCC"/>
    <w:rsid w:val="0039061A"/>
    <w:rsid w:val="003912C9"/>
    <w:rsid w:val="00394BEC"/>
    <w:rsid w:val="00396647"/>
    <w:rsid w:val="00397EF2"/>
    <w:rsid w:val="003A15C0"/>
    <w:rsid w:val="003A4ED5"/>
    <w:rsid w:val="003B4994"/>
    <w:rsid w:val="003C4615"/>
    <w:rsid w:val="003C5F43"/>
    <w:rsid w:val="003D2069"/>
    <w:rsid w:val="003E4F83"/>
    <w:rsid w:val="0040051B"/>
    <w:rsid w:val="004251D6"/>
    <w:rsid w:val="0043005F"/>
    <w:rsid w:val="00437474"/>
    <w:rsid w:val="00441F55"/>
    <w:rsid w:val="00447F2A"/>
    <w:rsid w:val="00453F2D"/>
    <w:rsid w:val="00455AE8"/>
    <w:rsid w:val="004654CF"/>
    <w:rsid w:val="00473FF0"/>
    <w:rsid w:val="004813E0"/>
    <w:rsid w:val="00484EDD"/>
    <w:rsid w:val="0048678F"/>
    <w:rsid w:val="004919DE"/>
    <w:rsid w:val="004C7758"/>
    <w:rsid w:val="004C791F"/>
    <w:rsid w:val="004D0141"/>
    <w:rsid w:val="004D3B39"/>
    <w:rsid w:val="004E38E9"/>
    <w:rsid w:val="004F04DF"/>
    <w:rsid w:val="004F073A"/>
    <w:rsid w:val="004F789E"/>
    <w:rsid w:val="00500994"/>
    <w:rsid w:val="00504437"/>
    <w:rsid w:val="005102B2"/>
    <w:rsid w:val="005207B6"/>
    <w:rsid w:val="0054245E"/>
    <w:rsid w:val="0054295C"/>
    <w:rsid w:val="00547718"/>
    <w:rsid w:val="005516CC"/>
    <w:rsid w:val="00561984"/>
    <w:rsid w:val="00561D32"/>
    <w:rsid w:val="00566159"/>
    <w:rsid w:val="00567B07"/>
    <w:rsid w:val="00567EE2"/>
    <w:rsid w:val="00570FC0"/>
    <w:rsid w:val="00580422"/>
    <w:rsid w:val="00585185"/>
    <w:rsid w:val="005909F5"/>
    <w:rsid w:val="00592815"/>
    <w:rsid w:val="00594A56"/>
    <w:rsid w:val="005A142D"/>
    <w:rsid w:val="005A3A0F"/>
    <w:rsid w:val="005A768A"/>
    <w:rsid w:val="005C04F8"/>
    <w:rsid w:val="005D03B0"/>
    <w:rsid w:val="005D4E98"/>
    <w:rsid w:val="005E5533"/>
    <w:rsid w:val="005F477E"/>
    <w:rsid w:val="005F5C34"/>
    <w:rsid w:val="005F75B7"/>
    <w:rsid w:val="006114AE"/>
    <w:rsid w:val="00611EEE"/>
    <w:rsid w:val="00626983"/>
    <w:rsid w:val="00630BA8"/>
    <w:rsid w:val="00634106"/>
    <w:rsid w:val="00653273"/>
    <w:rsid w:val="00653D56"/>
    <w:rsid w:val="00664DC0"/>
    <w:rsid w:val="0067429C"/>
    <w:rsid w:val="006753C1"/>
    <w:rsid w:val="00684AE1"/>
    <w:rsid w:val="006A3267"/>
    <w:rsid w:val="006A5C2C"/>
    <w:rsid w:val="006B0905"/>
    <w:rsid w:val="006B7D59"/>
    <w:rsid w:val="006C1B48"/>
    <w:rsid w:val="006C3F15"/>
    <w:rsid w:val="006D02C0"/>
    <w:rsid w:val="006D14F1"/>
    <w:rsid w:val="006D1F3F"/>
    <w:rsid w:val="006D720E"/>
    <w:rsid w:val="006E02D8"/>
    <w:rsid w:val="006F094E"/>
    <w:rsid w:val="006F48B4"/>
    <w:rsid w:val="006F4F65"/>
    <w:rsid w:val="00701C35"/>
    <w:rsid w:val="00707ED0"/>
    <w:rsid w:val="00712C07"/>
    <w:rsid w:val="00714120"/>
    <w:rsid w:val="00715E8F"/>
    <w:rsid w:val="007206FC"/>
    <w:rsid w:val="00721CAD"/>
    <w:rsid w:val="00734C8D"/>
    <w:rsid w:val="0074091A"/>
    <w:rsid w:val="007453C7"/>
    <w:rsid w:val="0075029B"/>
    <w:rsid w:val="00750FBB"/>
    <w:rsid w:val="00761CC4"/>
    <w:rsid w:val="0078083E"/>
    <w:rsid w:val="0078527A"/>
    <w:rsid w:val="00785AF8"/>
    <w:rsid w:val="0078626F"/>
    <w:rsid w:val="00791AF7"/>
    <w:rsid w:val="0079439F"/>
    <w:rsid w:val="00794C7F"/>
    <w:rsid w:val="007950F5"/>
    <w:rsid w:val="007967DB"/>
    <w:rsid w:val="007A235C"/>
    <w:rsid w:val="007A47FB"/>
    <w:rsid w:val="007C5F8C"/>
    <w:rsid w:val="007D20F4"/>
    <w:rsid w:val="007D2404"/>
    <w:rsid w:val="007D2493"/>
    <w:rsid w:val="007D7346"/>
    <w:rsid w:val="007E4ADB"/>
    <w:rsid w:val="007F24F2"/>
    <w:rsid w:val="007F2884"/>
    <w:rsid w:val="007F6EE0"/>
    <w:rsid w:val="0080345F"/>
    <w:rsid w:val="008056AC"/>
    <w:rsid w:val="00810FD6"/>
    <w:rsid w:val="0081327E"/>
    <w:rsid w:val="00817BBE"/>
    <w:rsid w:val="008223CB"/>
    <w:rsid w:val="0082289E"/>
    <w:rsid w:val="00823620"/>
    <w:rsid w:val="00823702"/>
    <w:rsid w:val="0083368F"/>
    <w:rsid w:val="00840933"/>
    <w:rsid w:val="00840E1E"/>
    <w:rsid w:val="00841EB7"/>
    <w:rsid w:val="00843DBE"/>
    <w:rsid w:val="00846D9C"/>
    <w:rsid w:val="00855A2F"/>
    <w:rsid w:val="008604E6"/>
    <w:rsid w:val="00876EC2"/>
    <w:rsid w:val="008771DE"/>
    <w:rsid w:val="00880D1F"/>
    <w:rsid w:val="0088758E"/>
    <w:rsid w:val="0089419D"/>
    <w:rsid w:val="008A4DBB"/>
    <w:rsid w:val="008A5C6B"/>
    <w:rsid w:val="008B02C1"/>
    <w:rsid w:val="008B6DA9"/>
    <w:rsid w:val="008C432F"/>
    <w:rsid w:val="008C59DC"/>
    <w:rsid w:val="008C604D"/>
    <w:rsid w:val="00904C7F"/>
    <w:rsid w:val="009126A2"/>
    <w:rsid w:val="00925463"/>
    <w:rsid w:val="00925EB2"/>
    <w:rsid w:val="009260A6"/>
    <w:rsid w:val="00926ECC"/>
    <w:rsid w:val="009272EF"/>
    <w:rsid w:val="0093101B"/>
    <w:rsid w:val="0093628B"/>
    <w:rsid w:val="00943EC0"/>
    <w:rsid w:val="00945A17"/>
    <w:rsid w:val="00947411"/>
    <w:rsid w:val="00955710"/>
    <w:rsid w:val="00957263"/>
    <w:rsid w:val="0097268D"/>
    <w:rsid w:val="0097575F"/>
    <w:rsid w:val="00987F3B"/>
    <w:rsid w:val="00993D8B"/>
    <w:rsid w:val="009A4C41"/>
    <w:rsid w:val="009B0733"/>
    <w:rsid w:val="009B08F7"/>
    <w:rsid w:val="009B15F1"/>
    <w:rsid w:val="009C1C81"/>
    <w:rsid w:val="009C3AD0"/>
    <w:rsid w:val="009D0DD9"/>
    <w:rsid w:val="009F1068"/>
    <w:rsid w:val="009F5981"/>
    <w:rsid w:val="009F79D6"/>
    <w:rsid w:val="00A05F0E"/>
    <w:rsid w:val="00A108F2"/>
    <w:rsid w:val="00A111CF"/>
    <w:rsid w:val="00A13743"/>
    <w:rsid w:val="00A13F00"/>
    <w:rsid w:val="00A21C14"/>
    <w:rsid w:val="00A34169"/>
    <w:rsid w:val="00A35AC8"/>
    <w:rsid w:val="00A36718"/>
    <w:rsid w:val="00A42DE6"/>
    <w:rsid w:val="00A5315A"/>
    <w:rsid w:val="00A54285"/>
    <w:rsid w:val="00A622FB"/>
    <w:rsid w:val="00A70350"/>
    <w:rsid w:val="00A71BEB"/>
    <w:rsid w:val="00A73DF9"/>
    <w:rsid w:val="00A748AF"/>
    <w:rsid w:val="00A74EB3"/>
    <w:rsid w:val="00A819C5"/>
    <w:rsid w:val="00A853F0"/>
    <w:rsid w:val="00A9010C"/>
    <w:rsid w:val="00A9325B"/>
    <w:rsid w:val="00A946FE"/>
    <w:rsid w:val="00AA0F17"/>
    <w:rsid w:val="00AA1D0B"/>
    <w:rsid w:val="00AA7AE4"/>
    <w:rsid w:val="00AB0AF4"/>
    <w:rsid w:val="00AB11E3"/>
    <w:rsid w:val="00AE0397"/>
    <w:rsid w:val="00AF39F2"/>
    <w:rsid w:val="00AF586A"/>
    <w:rsid w:val="00AF6164"/>
    <w:rsid w:val="00B03EA9"/>
    <w:rsid w:val="00B041A5"/>
    <w:rsid w:val="00B105D3"/>
    <w:rsid w:val="00B149B5"/>
    <w:rsid w:val="00B16E8D"/>
    <w:rsid w:val="00B24C31"/>
    <w:rsid w:val="00B372F4"/>
    <w:rsid w:val="00B37697"/>
    <w:rsid w:val="00B537AA"/>
    <w:rsid w:val="00B53954"/>
    <w:rsid w:val="00B572B6"/>
    <w:rsid w:val="00B60620"/>
    <w:rsid w:val="00B64232"/>
    <w:rsid w:val="00B66CB4"/>
    <w:rsid w:val="00B80EDF"/>
    <w:rsid w:val="00B852D2"/>
    <w:rsid w:val="00B85E5E"/>
    <w:rsid w:val="00BA5449"/>
    <w:rsid w:val="00BB065B"/>
    <w:rsid w:val="00BB32D5"/>
    <w:rsid w:val="00BB59BA"/>
    <w:rsid w:val="00BB7040"/>
    <w:rsid w:val="00BB7E1C"/>
    <w:rsid w:val="00BC0A47"/>
    <w:rsid w:val="00BC13C3"/>
    <w:rsid w:val="00BC2310"/>
    <w:rsid w:val="00BC35D0"/>
    <w:rsid w:val="00BC404E"/>
    <w:rsid w:val="00BC55CC"/>
    <w:rsid w:val="00BD09D0"/>
    <w:rsid w:val="00BD1FC1"/>
    <w:rsid w:val="00BD2082"/>
    <w:rsid w:val="00BD2553"/>
    <w:rsid w:val="00BD3346"/>
    <w:rsid w:val="00BE22E4"/>
    <w:rsid w:val="00BE2664"/>
    <w:rsid w:val="00BF101E"/>
    <w:rsid w:val="00BF42A9"/>
    <w:rsid w:val="00BF653A"/>
    <w:rsid w:val="00C01DCF"/>
    <w:rsid w:val="00C02948"/>
    <w:rsid w:val="00C02A4A"/>
    <w:rsid w:val="00C0345E"/>
    <w:rsid w:val="00C03F39"/>
    <w:rsid w:val="00C121C5"/>
    <w:rsid w:val="00C16705"/>
    <w:rsid w:val="00C23A11"/>
    <w:rsid w:val="00C24770"/>
    <w:rsid w:val="00C2542D"/>
    <w:rsid w:val="00C273A9"/>
    <w:rsid w:val="00C32789"/>
    <w:rsid w:val="00C331A5"/>
    <w:rsid w:val="00C34817"/>
    <w:rsid w:val="00C37565"/>
    <w:rsid w:val="00C439B9"/>
    <w:rsid w:val="00C51BB7"/>
    <w:rsid w:val="00C61573"/>
    <w:rsid w:val="00C72DED"/>
    <w:rsid w:val="00C7516A"/>
    <w:rsid w:val="00C82B13"/>
    <w:rsid w:val="00C868F5"/>
    <w:rsid w:val="00C8736C"/>
    <w:rsid w:val="00C93A50"/>
    <w:rsid w:val="00CA0C61"/>
    <w:rsid w:val="00CC3571"/>
    <w:rsid w:val="00CC5148"/>
    <w:rsid w:val="00CC6E58"/>
    <w:rsid w:val="00CD373E"/>
    <w:rsid w:val="00CD4815"/>
    <w:rsid w:val="00CE2C76"/>
    <w:rsid w:val="00CE579E"/>
    <w:rsid w:val="00CE7C12"/>
    <w:rsid w:val="00CF133C"/>
    <w:rsid w:val="00CF24AA"/>
    <w:rsid w:val="00D10495"/>
    <w:rsid w:val="00D12B7F"/>
    <w:rsid w:val="00D16F38"/>
    <w:rsid w:val="00D217DD"/>
    <w:rsid w:val="00D2691A"/>
    <w:rsid w:val="00D30BB3"/>
    <w:rsid w:val="00D332CA"/>
    <w:rsid w:val="00D4292B"/>
    <w:rsid w:val="00D44C60"/>
    <w:rsid w:val="00D60F9B"/>
    <w:rsid w:val="00D6419B"/>
    <w:rsid w:val="00D650DC"/>
    <w:rsid w:val="00D67334"/>
    <w:rsid w:val="00D82F12"/>
    <w:rsid w:val="00D837E8"/>
    <w:rsid w:val="00D86EE8"/>
    <w:rsid w:val="00D91E75"/>
    <w:rsid w:val="00D92696"/>
    <w:rsid w:val="00DA1069"/>
    <w:rsid w:val="00DA236A"/>
    <w:rsid w:val="00DA4912"/>
    <w:rsid w:val="00DB778C"/>
    <w:rsid w:val="00DC0E12"/>
    <w:rsid w:val="00DC347D"/>
    <w:rsid w:val="00DC646D"/>
    <w:rsid w:val="00DD0DE3"/>
    <w:rsid w:val="00DF05BE"/>
    <w:rsid w:val="00DF3B7D"/>
    <w:rsid w:val="00DF5929"/>
    <w:rsid w:val="00DF6658"/>
    <w:rsid w:val="00E05DBE"/>
    <w:rsid w:val="00E15814"/>
    <w:rsid w:val="00E22BCE"/>
    <w:rsid w:val="00E30DF0"/>
    <w:rsid w:val="00E330DF"/>
    <w:rsid w:val="00E33776"/>
    <w:rsid w:val="00E362BF"/>
    <w:rsid w:val="00E4561F"/>
    <w:rsid w:val="00E53CB6"/>
    <w:rsid w:val="00E55CEE"/>
    <w:rsid w:val="00E62009"/>
    <w:rsid w:val="00E6467B"/>
    <w:rsid w:val="00E85BFC"/>
    <w:rsid w:val="00E931D1"/>
    <w:rsid w:val="00EA2572"/>
    <w:rsid w:val="00EA6687"/>
    <w:rsid w:val="00EA7A77"/>
    <w:rsid w:val="00EB5A5F"/>
    <w:rsid w:val="00EB7ED0"/>
    <w:rsid w:val="00EC1056"/>
    <w:rsid w:val="00EC5F29"/>
    <w:rsid w:val="00ED04E7"/>
    <w:rsid w:val="00ED3E56"/>
    <w:rsid w:val="00EE347E"/>
    <w:rsid w:val="00EE6D3E"/>
    <w:rsid w:val="00EF1960"/>
    <w:rsid w:val="00EF3318"/>
    <w:rsid w:val="00EF758F"/>
    <w:rsid w:val="00F224B1"/>
    <w:rsid w:val="00F25916"/>
    <w:rsid w:val="00F35BC9"/>
    <w:rsid w:val="00F4340B"/>
    <w:rsid w:val="00F45B09"/>
    <w:rsid w:val="00F45B88"/>
    <w:rsid w:val="00F51C0D"/>
    <w:rsid w:val="00F51FCB"/>
    <w:rsid w:val="00F6084F"/>
    <w:rsid w:val="00F71BAE"/>
    <w:rsid w:val="00F730E5"/>
    <w:rsid w:val="00F73934"/>
    <w:rsid w:val="00F8225F"/>
    <w:rsid w:val="00F864F5"/>
    <w:rsid w:val="00F90271"/>
    <w:rsid w:val="00F9319D"/>
    <w:rsid w:val="00F9471A"/>
    <w:rsid w:val="00F9722D"/>
    <w:rsid w:val="00FA1559"/>
    <w:rsid w:val="00FA43C9"/>
    <w:rsid w:val="00FA7678"/>
    <w:rsid w:val="00FA7CC9"/>
    <w:rsid w:val="00FB3EFB"/>
    <w:rsid w:val="00FE1D7C"/>
    <w:rsid w:val="00FE2DDE"/>
    <w:rsid w:val="00FE57F1"/>
    <w:rsid w:val="00FE6FA6"/>
    <w:rsid w:val="00FF1E75"/>
    <w:rsid w:val="03433F84"/>
    <w:rsid w:val="05C32872"/>
    <w:rsid w:val="063F6C84"/>
    <w:rsid w:val="06BF00A6"/>
    <w:rsid w:val="12A5084B"/>
    <w:rsid w:val="15383163"/>
    <w:rsid w:val="15760ABA"/>
    <w:rsid w:val="19177E47"/>
    <w:rsid w:val="19F85670"/>
    <w:rsid w:val="1CC25AC1"/>
    <w:rsid w:val="1E0F4D36"/>
    <w:rsid w:val="1E344B7A"/>
    <w:rsid w:val="20E33391"/>
    <w:rsid w:val="2D5716A7"/>
    <w:rsid w:val="2E587BF0"/>
    <w:rsid w:val="357A4D33"/>
    <w:rsid w:val="35E13004"/>
    <w:rsid w:val="381E5DAB"/>
    <w:rsid w:val="3AEF7F72"/>
    <w:rsid w:val="448357AD"/>
    <w:rsid w:val="483B1A44"/>
    <w:rsid w:val="4999704F"/>
    <w:rsid w:val="4E720079"/>
    <w:rsid w:val="4E870795"/>
    <w:rsid w:val="50DC3D36"/>
    <w:rsid w:val="5D0C015D"/>
    <w:rsid w:val="61326F67"/>
    <w:rsid w:val="67C56DD1"/>
    <w:rsid w:val="6F6124E5"/>
    <w:rsid w:val="70963929"/>
    <w:rsid w:val="70AC59E2"/>
    <w:rsid w:val="744077DC"/>
    <w:rsid w:val="76E2215D"/>
    <w:rsid w:val="78BB14FE"/>
    <w:rsid w:val="7BD54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Liberation Serif" w:hAnsi="Liberation Serif" w:eastAsia="DejaVu Sans" w:cs="DejaVu Sans"/>
      <w:sz w:val="24"/>
      <w:szCs w:val="24"/>
      <w:lang w:val="en-US" w:eastAsia="zh-CN" w:bidi="hi-I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rPr>
      <w:rFonts w:cs="Mangal"/>
      <w:szCs w:val="21"/>
    </w:rPr>
  </w:style>
  <w:style w:type="paragraph" w:styleId="3">
    <w:name w:val="Body Text"/>
    <w:basedOn w:val="1"/>
    <w:link w:val="14"/>
    <w:qFormat/>
    <w:uiPriority w:val="0"/>
    <w:pPr>
      <w:spacing w:after="283" w:line="360" w:lineRule="auto"/>
    </w:pPr>
  </w:style>
  <w:style w:type="paragraph" w:styleId="4">
    <w:name w:val="Date"/>
    <w:basedOn w:val="1"/>
    <w:next w:val="1"/>
    <w:link w:val="20"/>
    <w:qFormat/>
    <w:uiPriority w:val="0"/>
    <w:pPr>
      <w:jc w:val="both"/>
    </w:pPr>
    <w:rPr>
      <w:rFonts w:ascii="Times New Roman" w:hAnsi="Times New Roman" w:eastAsia="宋体" w:cs="Times New Roman"/>
      <w:kern w:val="2"/>
      <w:sz w:val="28"/>
      <w:szCs w:val="20"/>
      <w:lang w:bidi="ar-SA"/>
    </w:rPr>
  </w:style>
  <w:style w:type="paragraph" w:styleId="5">
    <w:name w:val="Body Text Indent 2"/>
    <w:basedOn w:val="1"/>
    <w:link w:val="19"/>
    <w:unhideWhenUsed/>
    <w:qFormat/>
    <w:uiPriority w:val="99"/>
    <w:pPr>
      <w:spacing w:after="120" w:line="480" w:lineRule="auto"/>
      <w:ind w:left="420" w:leftChars="200"/>
    </w:pPr>
    <w:rPr>
      <w:rFonts w:cs="Mangal"/>
      <w:szCs w:val="21"/>
    </w:rPr>
  </w:style>
  <w:style w:type="paragraph" w:styleId="6">
    <w:name w:val="Balloon Text"/>
    <w:basedOn w:val="1"/>
    <w:link w:val="17"/>
    <w:semiHidden/>
    <w:unhideWhenUsed/>
    <w:qFormat/>
    <w:uiPriority w:val="99"/>
    <w:rPr>
      <w:rFonts w:cs="Mangal"/>
      <w:sz w:val="18"/>
      <w:szCs w:val="16"/>
    </w:rPr>
  </w:style>
  <w:style w:type="paragraph" w:styleId="7">
    <w:name w:val="footer"/>
    <w:basedOn w:val="1"/>
    <w:link w:val="22"/>
    <w:unhideWhenUsed/>
    <w:qFormat/>
    <w:uiPriority w:val="99"/>
    <w:pPr>
      <w:tabs>
        <w:tab w:val="center" w:pos="4153"/>
        <w:tab w:val="right" w:pos="8306"/>
      </w:tabs>
      <w:snapToGrid w:val="0"/>
    </w:pPr>
    <w:rPr>
      <w:rFonts w:cs="Mangal"/>
      <w:sz w:val="18"/>
      <w:szCs w:val="16"/>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rFonts w:cs="Mangal"/>
      <w:sz w:val="18"/>
      <w:szCs w:val="16"/>
    </w:rPr>
  </w:style>
  <w:style w:type="paragraph" w:styleId="9">
    <w:name w:val="annotation subject"/>
    <w:basedOn w:val="2"/>
    <w:next w:val="2"/>
    <w:link w:val="16"/>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正文文本 Char"/>
    <w:basedOn w:val="12"/>
    <w:link w:val="3"/>
    <w:qFormat/>
    <w:uiPriority w:val="0"/>
    <w:rPr>
      <w:rFonts w:ascii="Liberation Serif" w:hAnsi="Liberation Serif" w:eastAsia="DejaVu Sans" w:cs="DejaVu Sans"/>
      <w:kern w:val="0"/>
      <w:sz w:val="24"/>
      <w:szCs w:val="24"/>
      <w:lang w:bidi="hi-IN"/>
    </w:rPr>
  </w:style>
  <w:style w:type="character" w:customStyle="1" w:styleId="15">
    <w:name w:val="批注文字 Char"/>
    <w:basedOn w:val="12"/>
    <w:link w:val="2"/>
    <w:semiHidden/>
    <w:qFormat/>
    <w:uiPriority w:val="99"/>
    <w:rPr>
      <w:rFonts w:ascii="Liberation Serif" w:hAnsi="Liberation Serif" w:eastAsia="DejaVu Sans" w:cs="Mangal"/>
      <w:kern w:val="0"/>
      <w:sz w:val="24"/>
      <w:szCs w:val="21"/>
      <w:lang w:bidi="hi-IN"/>
    </w:rPr>
  </w:style>
  <w:style w:type="character" w:customStyle="1" w:styleId="16">
    <w:name w:val="批注主题 Char"/>
    <w:basedOn w:val="15"/>
    <w:link w:val="9"/>
    <w:semiHidden/>
    <w:qFormat/>
    <w:uiPriority w:val="99"/>
    <w:rPr>
      <w:rFonts w:ascii="Liberation Serif" w:hAnsi="Liberation Serif" w:eastAsia="DejaVu Sans" w:cs="Mangal"/>
      <w:b/>
      <w:bCs/>
      <w:kern w:val="0"/>
      <w:sz w:val="24"/>
      <w:szCs w:val="21"/>
      <w:lang w:bidi="hi-IN"/>
    </w:rPr>
  </w:style>
  <w:style w:type="character" w:customStyle="1" w:styleId="17">
    <w:name w:val="批注框文本 Char"/>
    <w:basedOn w:val="12"/>
    <w:link w:val="6"/>
    <w:semiHidden/>
    <w:qFormat/>
    <w:uiPriority w:val="99"/>
    <w:rPr>
      <w:rFonts w:ascii="Liberation Serif" w:hAnsi="Liberation Serif" w:eastAsia="DejaVu Sans" w:cs="Mangal"/>
      <w:kern w:val="0"/>
      <w:sz w:val="18"/>
      <w:szCs w:val="16"/>
      <w:lang w:bidi="hi-IN"/>
    </w:rPr>
  </w:style>
  <w:style w:type="paragraph" w:customStyle="1" w:styleId="18">
    <w:name w:val="修订1"/>
    <w:hidden/>
    <w:semiHidden/>
    <w:qFormat/>
    <w:uiPriority w:val="99"/>
    <w:rPr>
      <w:rFonts w:ascii="Liberation Serif" w:hAnsi="Liberation Serif" w:eastAsia="DejaVu Sans" w:cs="Mangal"/>
      <w:sz w:val="24"/>
      <w:szCs w:val="21"/>
      <w:lang w:val="en-US" w:eastAsia="zh-CN" w:bidi="hi-IN"/>
    </w:rPr>
  </w:style>
  <w:style w:type="character" w:customStyle="1" w:styleId="19">
    <w:name w:val="正文文本缩进 2 Char"/>
    <w:basedOn w:val="12"/>
    <w:link w:val="5"/>
    <w:qFormat/>
    <w:uiPriority w:val="99"/>
    <w:rPr>
      <w:rFonts w:ascii="Liberation Serif" w:hAnsi="Liberation Serif" w:eastAsia="DejaVu Sans" w:cs="Mangal"/>
      <w:kern w:val="0"/>
      <w:sz w:val="24"/>
      <w:szCs w:val="21"/>
      <w:lang w:bidi="hi-IN"/>
    </w:rPr>
  </w:style>
  <w:style w:type="character" w:customStyle="1" w:styleId="20">
    <w:name w:val="日期 Char"/>
    <w:basedOn w:val="12"/>
    <w:link w:val="4"/>
    <w:qFormat/>
    <w:uiPriority w:val="0"/>
    <w:rPr>
      <w:rFonts w:ascii="Times New Roman" w:hAnsi="Times New Roman" w:eastAsia="宋体" w:cs="Times New Roman"/>
      <w:sz w:val="28"/>
      <w:szCs w:val="20"/>
    </w:rPr>
  </w:style>
  <w:style w:type="character" w:customStyle="1" w:styleId="21">
    <w:name w:val="页眉 Char"/>
    <w:basedOn w:val="12"/>
    <w:link w:val="8"/>
    <w:qFormat/>
    <w:uiPriority w:val="99"/>
    <w:rPr>
      <w:rFonts w:ascii="Liberation Serif" w:hAnsi="Liberation Serif" w:eastAsia="DejaVu Sans" w:cs="Mangal"/>
      <w:kern w:val="0"/>
      <w:sz w:val="18"/>
      <w:szCs w:val="16"/>
      <w:lang w:bidi="hi-IN"/>
    </w:rPr>
  </w:style>
  <w:style w:type="character" w:customStyle="1" w:styleId="22">
    <w:name w:val="页脚 Char"/>
    <w:basedOn w:val="12"/>
    <w:link w:val="7"/>
    <w:qFormat/>
    <w:uiPriority w:val="99"/>
    <w:rPr>
      <w:rFonts w:ascii="Liberation Serif" w:hAnsi="Liberation Serif" w:eastAsia="DejaVu Sans" w:cs="Mangal"/>
      <w:kern w:val="0"/>
      <w:sz w:val="18"/>
      <w:szCs w:val="16"/>
      <w:lang w:bidi="hi-IN"/>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D8CA2E-9D42-4DA1-9448-CB1EEEF382A8}">
  <ds:schemaRefs/>
</ds:datastoreItem>
</file>

<file path=customXml/itemProps2.xml><?xml version="1.0" encoding="utf-8"?>
<ds:datastoreItem xmlns:ds="http://schemas.openxmlformats.org/officeDocument/2006/customXml" ds:itemID="{C731FF29-FBC1-41F0-9577-521F45D2714D}">
  <ds:schemaRefs/>
</ds:datastoreItem>
</file>

<file path=customXml/itemProps3.xml><?xml version="1.0" encoding="utf-8"?>
<ds:datastoreItem xmlns:ds="http://schemas.openxmlformats.org/officeDocument/2006/customXml" ds:itemID="{D11D488E-F99C-4AAB-ADE8-71C488B59F58}">
  <ds:schemaRefs/>
</ds:datastoreItem>
</file>

<file path=customXml/itemProps4.xml><?xml version="1.0" encoding="utf-8"?>
<ds:datastoreItem xmlns:ds="http://schemas.openxmlformats.org/officeDocument/2006/customXml" ds:itemID="{A26E888C-5D81-4CA1-98F5-8B2FEF09B4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1539</Words>
  <Characters>1881</Characters>
  <Lines>13</Lines>
  <Paragraphs>3</Paragraphs>
  <TotalTime>4</TotalTime>
  <ScaleCrop>false</ScaleCrop>
  <LinksUpToDate>false</LinksUpToDate>
  <CharactersWithSpaces>1895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2025-04-21T05:35:00Z</dcterms:created>
  <dc:creator>姚效丽[yaoxl]</dc:creator>
  <cp:lastModifiedBy>WSY</cp:lastModifiedBy>
  <cp:lastPrinted>2021-01-15T10:15:00Z</cp:lastPrinted>
  <dcterms:modified xsi:type="dcterms:W3CDTF">2025-04-21T08:01:27Z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0x0101008A1CD0ACEFB685468ADC9D3ECFE50AA2</vt:lpwstr>
  </property>
  <property fmtid="{D5CDD505-2E9C-101B-9397-08002B2CF9AE}" pid="3" name="KSOProductBuildVer">
    <vt:lpwstr>2052-12.1.0.20784</vt:lpwstr>
  </property>
  <property fmtid="{D5CDD505-2E9C-101B-9397-08002B2CF9AE}" pid="4" name="ICV">
    <vt:lpwstr>27CE7E155B2C4CCE914AF64E5E18E4EC_13</vt:lpwstr>
  </property>
  <property fmtid="{D5CDD505-2E9C-101B-9397-08002B2CF9AE}" pid="5" name="KSOTemplateDocerSaveRecord">
    <vt:lpwstr>eyJoZGlkIjoiMGYyMzhhMzNmNzJhMTU4YjMxZTc1YjkyNzFjZGE5ZTciLCJ1c2VySWQiOiIyNjU0NTI1NDMifQ==</vt:lpwstr>
  </property>
</Properties>
</file>