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FA" w:rsidRDefault="001B240B">
      <w:pPr>
        <w:wordWrap w:val="0"/>
        <w:spacing w:line="440" w:lineRule="exact"/>
        <w:jc w:val="center"/>
        <w:rPr>
          <w:rFonts w:ascii="Times New Roman" w:eastAsia="黑体" w:hAnsi="Times New Roman"/>
          <w:kern w:val="0"/>
          <w:sz w:val="36"/>
          <w:szCs w:val="36"/>
        </w:rPr>
      </w:pPr>
      <w:r>
        <w:rPr>
          <w:rFonts w:ascii="黑体" w:eastAsia="黑体" w:hAnsi="黑体"/>
          <w:bCs/>
          <w:kern w:val="0"/>
          <w:szCs w:val="21"/>
        </w:rPr>
        <w:t xml:space="preserve">证券代码：002042 </w:t>
      </w:r>
      <w:r>
        <w:rPr>
          <w:rFonts w:ascii="黑体" w:eastAsia="黑体" w:hAnsi="黑体" w:hint="eastAsia"/>
          <w:bCs/>
          <w:kern w:val="0"/>
          <w:szCs w:val="21"/>
        </w:rPr>
        <w:t xml:space="preserve">       </w:t>
      </w:r>
      <w:r>
        <w:rPr>
          <w:rFonts w:ascii="黑体" w:eastAsia="黑体" w:hAnsi="黑体"/>
          <w:bCs/>
          <w:kern w:val="0"/>
          <w:szCs w:val="21"/>
        </w:rPr>
        <w:t xml:space="preserve">       证券简称：华孚时尚   </w:t>
      </w:r>
      <w:r>
        <w:rPr>
          <w:rFonts w:ascii="黑体" w:eastAsia="黑体" w:hAnsi="黑体" w:hint="eastAsia"/>
          <w:bCs/>
          <w:kern w:val="0"/>
          <w:szCs w:val="21"/>
        </w:rPr>
        <w:t xml:space="preserve">       </w:t>
      </w:r>
      <w:r>
        <w:rPr>
          <w:rFonts w:ascii="黑体" w:eastAsia="黑体" w:hAnsi="黑体"/>
          <w:bCs/>
          <w:kern w:val="0"/>
          <w:szCs w:val="21"/>
        </w:rPr>
        <w:t xml:space="preserve">   公告编号：</w:t>
      </w:r>
      <w:r>
        <w:rPr>
          <w:rFonts w:ascii="黑体" w:eastAsia="黑体" w:hAnsi="黑体" w:hint="eastAsia"/>
          <w:bCs/>
          <w:kern w:val="0"/>
          <w:szCs w:val="21"/>
        </w:rPr>
        <w:t>2024-42</w:t>
      </w:r>
    </w:p>
    <w:p w:rsidR="00710BFA" w:rsidRDefault="001B240B">
      <w:pPr>
        <w:autoSpaceDE w:val="0"/>
        <w:autoSpaceDN w:val="0"/>
        <w:adjustRightInd w:val="0"/>
        <w:spacing w:beforeLines="100" w:before="312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/>
          <w:b/>
          <w:kern w:val="0"/>
          <w:sz w:val="36"/>
          <w:szCs w:val="36"/>
        </w:rPr>
        <w:t>华孚时尚股份有限公司</w:t>
      </w:r>
    </w:p>
    <w:p w:rsidR="00710BFA" w:rsidRDefault="001B240B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 w:hint="eastAsia"/>
          <w:b/>
          <w:kern w:val="0"/>
          <w:sz w:val="36"/>
          <w:szCs w:val="36"/>
        </w:rPr>
        <w:t>关于</w:t>
      </w:r>
      <w:r>
        <w:rPr>
          <w:rFonts w:ascii="Times New Roman" w:hAnsi="Times New Roman" w:hint="eastAsia"/>
          <w:b/>
          <w:kern w:val="0"/>
          <w:sz w:val="36"/>
          <w:szCs w:val="36"/>
        </w:rPr>
        <w:t>2023</w:t>
      </w:r>
      <w:r>
        <w:rPr>
          <w:rFonts w:ascii="Times New Roman" w:hAnsi="Times New Roman" w:hint="eastAsia"/>
          <w:b/>
          <w:kern w:val="0"/>
          <w:sz w:val="36"/>
          <w:szCs w:val="36"/>
        </w:rPr>
        <w:t>年年度报告更正的公告</w:t>
      </w:r>
    </w:p>
    <w:p w:rsidR="00710BFA" w:rsidRDefault="001B240B" w:rsidP="006002F5">
      <w:pPr>
        <w:wordWrap w:val="0"/>
        <w:spacing w:beforeLines="50" w:before="156"/>
        <w:ind w:firstLineChars="200" w:firstLine="480"/>
        <w:rPr>
          <w:rFonts w:ascii="Times New Roman" w:eastAsia="楷体_GB2312" w:hAnsi="Times New Roman"/>
          <w:kern w:val="0"/>
          <w:sz w:val="24"/>
          <w:szCs w:val="24"/>
        </w:rPr>
      </w:pPr>
      <w:r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>
        <w:rPr>
          <w:rFonts w:ascii="Times New Roman" w:eastAsia="楷体_GB2312" w:hAnsi="Times New Roman" w:hint="eastAsia"/>
          <w:kern w:val="0"/>
          <w:sz w:val="24"/>
          <w:szCs w:val="24"/>
        </w:rPr>
        <w:t>董事会</w:t>
      </w:r>
      <w:r>
        <w:rPr>
          <w:rFonts w:ascii="Times New Roman" w:eastAsia="楷体_GB2312" w:hAnsi="Times New Roman"/>
          <w:kern w:val="0"/>
          <w:sz w:val="24"/>
          <w:szCs w:val="24"/>
        </w:rPr>
        <w:t>全体成员保证信息披露的内容真实、准确、完整，没有虚假记载、误导性陈述或重大遗漏。</w:t>
      </w:r>
    </w:p>
    <w:p w:rsidR="00710BFA" w:rsidRDefault="00710BFA">
      <w:pPr>
        <w:rPr>
          <w:rFonts w:ascii="Times New Roman" w:eastAsia="楷体_GB2312" w:hAnsi="Times New Roman"/>
          <w:kern w:val="0"/>
          <w:sz w:val="24"/>
          <w:szCs w:val="24"/>
        </w:rPr>
      </w:pPr>
    </w:p>
    <w:p w:rsidR="00710BFA" w:rsidRDefault="001B240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华孚时尚股份有限公司（以下简称“公司”）于2024年4月27日在巨潮资讯网（http://www.cninfo.com.cn）披露了《2023年年度报告》，经查阅发现，</w:t>
      </w:r>
      <w:r w:rsidR="00A81827">
        <w:rPr>
          <w:rFonts w:ascii="宋体" w:hAnsi="宋体" w:cs="宋体" w:hint="eastAsia"/>
          <w:kern w:val="0"/>
          <w:sz w:val="24"/>
          <w:szCs w:val="24"/>
        </w:rPr>
        <w:t>《2023年年度报告》中</w:t>
      </w:r>
      <w:r>
        <w:rPr>
          <w:rFonts w:ascii="宋体" w:hAnsi="宋体" w:cs="宋体" w:hint="eastAsia"/>
          <w:kern w:val="0"/>
          <w:sz w:val="24"/>
          <w:szCs w:val="24"/>
        </w:rPr>
        <w:t>“第三节 管理层讨论与分析-四、主营业务分析—2、收入与成本—</w:t>
      </w:r>
      <w:r>
        <w:rPr>
          <w:rFonts w:ascii="宋体" w:hAnsi="宋体" w:cs="宋体"/>
          <w:sz w:val="24"/>
          <w:szCs w:val="24"/>
        </w:rPr>
        <w:t>（2）占公司营业收入或营业利润10%以上的行业、产品、地区、销售模式的情况</w:t>
      </w:r>
      <w:r>
        <w:rPr>
          <w:rFonts w:ascii="宋体" w:hAnsi="宋体" w:cs="宋体" w:hint="eastAsia"/>
          <w:kern w:val="0"/>
          <w:sz w:val="24"/>
          <w:szCs w:val="24"/>
        </w:rPr>
        <w:t>”一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栏内容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出现部分差错，现对相关内容更正如下：</w:t>
      </w:r>
    </w:p>
    <w:p w:rsidR="00710BFA" w:rsidRDefault="001B240B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第三节 管理</w:t>
      </w:r>
      <w:proofErr w:type="gramStart"/>
      <w:r>
        <w:rPr>
          <w:rFonts w:ascii="宋体" w:hAnsi="宋体" w:cs="宋体" w:hint="eastAsia"/>
          <w:b/>
          <w:bCs/>
          <w:kern w:val="0"/>
          <w:sz w:val="24"/>
          <w:szCs w:val="24"/>
        </w:rPr>
        <w:t>层讨论</w:t>
      </w:r>
      <w:proofErr w:type="gramEnd"/>
      <w:r>
        <w:rPr>
          <w:rFonts w:ascii="宋体" w:hAnsi="宋体" w:cs="宋体" w:hint="eastAsia"/>
          <w:b/>
          <w:bCs/>
          <w:kern w:val="0"/>
          <w:sz w:val="24"/>
          <w:szCs w:val="24"/>
        </w:rPr>
        <w:t>与分析-四、主营业务分析—2、收入与成本—</w:t>
      </w:r>
      <w:r>
        <w:rPr>
          <w:rFonts w:ascii="宋体" w:hAnsi="宋体" w:cs="宋体"/>
          <w:b/>
          <w:bCs/>
          <w:sz w:val="24"/>
          <w:szCs w:val="24"/>
        </w:rPr>
        <w:t>（2）占公司营业收入或营业利润10%以上的行业、产品、地区、销售模式的情况</w:t>
      </w:r>
    </w:p>
    <w:p w:rsidR="00710BFA" w:rsidRDefault="001B240B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更正前：</w:t>
      </w:r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709"/>
        <w:gridCol w:w="1701"/>
        <w:gridCol w:w="851"/>
        <w:gridCol w:w="1417"/>
        <w:gridCol w:w="1418"/>
        <w:gridCol w:w="1167"/>
      </w:tblGrid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710BFA"/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毛利率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营业收入比上年同期增减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营业成本比上年同期增减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毛利率比上年同期增减</w:t>
            </w:r>
          </w:p>
        </w:tc>
      </w:tr>
      <w:tr w:rsidR="00710BFA" w:rsidTr="006002F5">
        <w:trPr>
          <w:trHeight w:val="240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分行业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棉纺行业（主营业务）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13,619,437,001.24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13,064,669,025.81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4.07%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-5.13%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-4.39%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-0.74%</w:t>
            </w:r>
          </w:p>
        </w:tc>
      </w:tr>
      <w:tr w:rsidR="00710BFA" w:rsidTr="006002F5">
        <w:trPr>
          <w:trHeight w:val="240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分产品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纱线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5,843,973,572.11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5,491,759,009.22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6.03%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-2.23%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-1.35%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-0.83%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网链</w:t>
            </w:r>
            <w:proofErr w:type="gramEnd"/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7,399,980,444.24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7,277,834,651.78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1.65%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-7.86%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-7.21%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-0.69%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袜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制品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375,482,984.89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295,075,364.81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21.41%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8.04%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15.87%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-5.32%</w:t>
            </w:r>
          </w:p>
        </w:tc>
      </w:tr>
      <w:tr w:rsidR="00710BFA" w:rsidTr="006002F5">
        <w:trPr>
          <w:trHeight w:val="240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分地区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境外销售（主营业务）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1,639,315,790.08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1,474,329,355.54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10.06%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3.01%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10.76%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-6.30%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境内销售（主营业务）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11,980,121,211.16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11,590,339,670.27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3.25%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-6.15%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-6.03%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-0.13%</w:t>
            </w:r>
          </w:p>
        </w:tc>
      </w:tr>
      <w:tr w:rsidR="00710BFA" w:rsidTr="006002F5">
        <w:trPr>
          <w:trHeight w:val="240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710BFA" w:rsidRDefault="001B240B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sz w:val="18"/>
                <w:szCs w:val="18"/>
              </w:rPr>
              <w:t>分销售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模式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线上销售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146,749,729.95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86,820,061.31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40.84%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4.42%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7.17%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40.84%</w:t>
            </w:r>
          </w:p>
        </w:tc>
      </w:tr>
      <w:tr w:rsidR="00710BFA" w:rsidTr="000200A4">
        <w:trPr>
          <w:trHeight w:val="240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直营销售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13,472,687,271.29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12,977,848,964.50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3.67%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-5.23%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-4.46%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BFA" w:rsidRDefault="001B240B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3.67%</w:t>
            </w:r>
          </w:p>
        </w:tc>
      </w:tr>
    </w:tbl>
    <w:p w:rsidR="00710BFA" w:rsidRDefault="001B240B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更正后：</w:t>
      </w:r>
    </w:p>
    <w:tbl>
      <w:tblPr>
        <w:tblW w:w="5668" w:type="pct"/>
        <w:jc w:val="center"/>
        <w:tblInd w:w="-601" w:type="dxa"/>
        <w:tblLook w:val="04A0" w:firstRow="1" w:lastRow="0" w:firstColumn="1" w:lastColumn="0" w:noHBand="0" w:noVBand="1"/>
      </w:tblPr>
      <w:tblGrid>
        <w:gridCol w:w="1363"/>
        <w:gridCol w:w="1747"/>
        <w:gridCol w:w="1747"/>
        <w:gridCol w:w="784"/>
        <w:gridCol w:w="1416"/>
        <w:gridCol w:w="1418"/>
        <w:gridCol w:w="1186"/>
      </w:tblGrid>
      <w:tr w:rsidR="006002F5" w:rsidRPr="008026EB" w:rsidTr="006002F5">
        <w:trPr>
          <w:trHeight w:val="730"/>
          <w:jc w:val="center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8026EB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营业成本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毛利率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营业收入比上年同期增减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营业成本比上年同期增减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毛利率比上年同期增减</w:t>
            </w:r>
          </w:p>
        </w:tc>
      </w:tr>
      <w:tr w:rsidR="00802ACA" w:rsidRPr="008026EB" w:rsidTr="006002F5">
        <w:trPr>
          <w:trHeight w:val="29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分行业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棉纺行业（主营业务）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13,619,437,001.24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13,064,669,025.81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4.07%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-5.13%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-4.39%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-0.74%</w:t>
            </w:r>
          </w:p>
        </w:tc>
      </w:tr>
      <w:tr w:rsidR="00802ACA" w:rsidRPr="008026EB" w:rsidTr="006002F5">
        <w:trPr>
          <w:trHeight w:val="29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分产品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纱线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5,843,973,572.11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5,491,759,009.22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6.03%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-2.23%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-1.35%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-0.83%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网链</w:t>
            </w:r>
            <w:proofErr w:type="gramEnd"/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7,399,980,444.24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7,277,834,651.78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1.65%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-7.86%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-7.21%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-0.69%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袜</w:t>
            </w:r>
            <w:proofErr w:type="gramEnd"/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制品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375,482,984.89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295,075,364.81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21.41%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8.04%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15.87%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-5.32%</w:t>
            </w:r>
          </w:p>
        </w:tc>
      </w:tr>
      <w:tr w:rsidR="00802ACA" w:rsidRPr="008026EB" w:rsidTr="006002F5">
        <w:trPr>
          <w:trHeight w:val="29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分地区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境外销售（主营业务）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1,639,315,790.08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1,474,329,355.54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10.06%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3.01%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10.76%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-6.30%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境内销售（主营业务）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11,980,121,211.16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11,590,339,670.27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3.25%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-6.15%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-6.03%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-0.13%</w:t>
            </w:r>
          </w:p>
        </w:tc>
      </w:tr>
      <w:tr w:rsidR="00802ACA" w:rsidRPr="008026EB" w:rsidTr="006002F5">
        <w:trPr>
          <w:trHeight w:val="29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分销售</w:t>
            </w:r>
            <w:proofErr w:type="gramEnd"/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模式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线上销售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146,749,729.95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86,820,061.31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40.84%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4.42%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7.17%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0200A4" w:rsidRDefault="00802ACA" w:rsidP="000200A4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200A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-1.52%</w:t>
            </w:r>
          </w:p>
        </w:tc>
      </w:tr>
      <w:tr w:rsidR="006002F5" w:rsidRPr="008026EB" w:rsidTr="006002F5">
        <w:trPr>
          <w:trHeight w:val="290"/>
          <w:jc w:val="center"/>
        </w:trPr>
        <w:tc>
          <w:tcPr>
            <w:tcW w:w="7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直营销售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13,472,687,271.29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12,977,848,964.50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3.67%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-5.23%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8026EB" w:rsidRDefault="00802ACA" w:rsidP="000200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6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-4.46%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ACA" w:rsidRPr="000200A4" w:rsidRDefault="00802ACA" w:rsidP="000200A4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200A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-1.31%</w:t>
            </w:r>
          </w:p>
        </w:tc>
      </w:tr>
    </w:tbl>
    <w:p w:rsidR="00710BFA" w:rsidRDefault="001B240B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其他说明</w:t>
      </w:r>
    </w:p>
    <w:p w:rsidR="00710BFA" w:rsidRDefault="001B240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除上述更正外，《2023年年度报告》其他内容不变，详见公司</w:t>
      </w:r>
      <w:r w:rsidR="00390E9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与本公告同日</w:t>
      </w:r>
      <w:r w:rsidR="00390E9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披露</w:t>
      </w:r>
      <w:r w:rsidR="00390E9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于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巨潮资讯网（www.cninfo.com.cn）上的《2023年年度报告</w:t>
      </w:r>
      <w:r w:rsidR="00390E9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（更正后）》。本次更正不涉及其他财务数据调整，由此给投资者带来</w:t>
      </w:r>
      <w:bookmarkStart w:id="0" w:name="_GoBack"/>
      <w:bookmarkEnd w:id="0"/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不便，公司深表歉意，敬请广大投资者谅解。</w:t>
      </w:r>
    </w:p>
    <w:p w:rsidR="00710BFA" w:rsidRDefault="001B240B">
      <w:pPr>
        <w:spacing w:line="360" w:lineRule="auto"/>
        <w:ind w:firstLineChars="200" w:firstLine="480"/>
        <w:jc w:val="right"/>
        <w:rPr>
          <w:rFonts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华孚时尚股份有限公司董事会</w:t>
      </w:r>
    </w:p>
    <w:p w:rsidR="00710BFA" w:rsidRDefault="006002F5">
      <w:pPr>
        <w:spacing w:line="360" w:lineRule="auto"/>
        <w:ind w:firstLineChars="200" w:firstLine="480"/>
        <w:jc w:val="right"/>
        <w:rPr>
          <w:rFonts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二〇二四</w:t>
      </w:r>
      <w:r w:rsidR="001B240B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七</w:t>
      </w:r>
      <w:r w:rsidR="001B240B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六</w:t>
      </w:r>
      <w:r w:rsidR="001B240B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日</w:t>
      </w:r>
    </w:p>
    <w:sectPr w:rsidR="0071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A4" w:rsidRDefault="000200A4" w:rsidP="001B240B">
      <w:r>
        <w:separator/>
      </w:r>
    </w:p>
  </w:endnote>
  <w:endnote w:type="continuationSeparator" w:id="0">
    <w:p w:rsidR="000200A4" w:rsidRDefault="000200A4" w:rsidP="001B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A4" w:rsidRDefault="000200A4" w:rsidP="001B240B">
      <w:r>
        <w:separator/>
      </w:r>
    </w:p>
  </w:footnote>
  <w:footnote w:type="continuationSeparator" w:id="0">
    <w:p w:rsidR="000200A4" w:rsidRDefault="000200A4" w:rsidP="001B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2137"/>
    <w:multiLevelType w:val="singleLevel"/>
    <w:tmpl w:val="0B5F21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53230F4"/>
    <w:rsid w:val="000200A4"/>
    <w:rsid w:val="001B240B"/>
    <w:rsid w:val="00390E92"/>
    <w:rsid w:val="006002F5"/>
    <w:rsid w:val="00710BFA"/>
    <w:rsid w:val="00802ACA"/>
    <w:rsid w:val="00972161"/>
    <w:rsid w:val="00A81827"/>
    <w:rsid w:val="00E35E6E"/>
    <w:rsid w:val="00E674B8"/>
    <w:rsid w:val="053230F4"/>
    <w:rsid w:val="168B3820"/>
    <w:rsid w:val="1A2975D8"/>
    <w:rsid w:val="297E1D4B"/>
    <w:rsid w:val="31294A83"/>
    <w:rsid w:val="453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2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240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B2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240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2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240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B2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240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1595</Characters>
  <Application>Microsoft Office Word</Application>
  <DocSecurity>0</DocSecurity>
  <Lines>174</Lines>
  <Paragraphs>144</Paragraphs>
  <ScaleCrop>false</ScaleCrop>
  <Company>P R C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WSY</dc:creator>
  <cp:lastModifiedBy>孙献</cp:lastModifiedBy>
  <cp:revision>5</cp:revision>
  <dcterms:created xsi:type="dcterms:W3CDTF">2024-07-05T00:47:00Z</dcterms:created>
  <dcterms:modified xsi:type="dcterms:W3CDTF">2024-07-05T02:28:00Z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F9361E4865AD436BB73BC270A6FE7446_11</vt:lpwstr>
  </property>
</Properties>
</file>