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7F" w:rsidRDefault="000F627F" w:rsidP="000F627F">
      <w:pPr>
        <w:spacing w:before="480" w:line="773" w:lineRule="exact"/>
        <w:jc w:val="center"/>
        <w:rPr>
          <w:rFonts w:ascii="宋体" w:eastAsia="宋体" w:hAnsi="宋体" w:cs="宋体"/>
          <w:b/>
          <w:bCs/>
          <w:sz w:val="36"/>
          <w:szCs w:val="36"/>
        </w:rPr>
      </w:pPr>
    </w:p>
    <w:p w:rsidR="000F627F" w:rsidRDefault="000F627F" w:rsidP="000F627F">
      <w:pPr>
        <w:spacing w:before="480" w:line="773" w:lineRule="exact"/>
        <w:jc w:val="center"/>
        <w:rPr>
          <w:rFonts w:ascii="宋体" w:eastAsia="宋体" w:hAnsi="宋体" w:cs="宋体"/>
          <w:b/>
          <w:bCs/>
          <w:sz w:val="36"/>
          <w:szCs w:val="36"/>
        </w:rPr>
      </w:pPr>
    </w:p>
    <w:p w:rsidR="000F627F" w:rsidRDefault="000F627F" w:rsidP="000F627F">
      <w:pPr>
        <w:spacing w:before="480" w:line="773" w:lineRule="exact"/>
        <w:jc w:val="center"/>
        <w:rPr>
          <w:rFonts w:ascii="宋体" w:eastAsia="宋体" w:hAnsi="宋体" w:cs="宋体"/>
          <w:b/>
          <w:bCs/>
          <w:sz w:val="36"/>
          <w:szCs w:val="36"/>
        </w:rPr>
      </w:pPr>
      <w:r>
        <w:rPr>
          <w:rFonts w:ascii="宋体" w:eastAsia="宋体" w:hAnsi="宋体" w:cs="宋体"/>
          <w:b/>
          <w:bCs/>
          <w:noProof/>
          <w:sz w:val="36"/>
          <w:szCs w:val="36"/>
        </w:rPr>
        <w:drawing>
          <wp:inline distT="0" distB="0" distL="0" distR="0">
            <wp:extent cx="2219325" cy="565511"/>
            <wp:effectExtent l="0" t="0" r="0" b="6350"/>
            <wp:docPr id="2" name="图片 2" descr="C:\Users\sunx\Desktop\华孚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x\Desktop\华孚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1805" cy="568691"/>
                    </a:xfrm>
                    <a:prstGeom prst="rect">
                      <a:avLst/>
                    </a:prstGeom>
                    <a:noFill/>
                    <a:ln>
                      <a:noFill/>
                    </a:ln>
                  </pic:spPr>
                </pic:pic>
              </a:graphicData>
            </a:graphic>
          </wp:inline>
        </w:drawing>
      </w:r>
    </w:p>
    <w:p w:rsidR="000D58D8" w:rsidRDefault="000F627F" w:rsidP="000F627F">
      <w:pPr>
        <w:spacing w:before="480" w:line="773" w:lineRule="exact"/>
        <w:jc w:val="center"/>
        <w:rPr>
          <w:rFonts w:ascii="宋体" w:eastAsia="宋体" w:hAnsi="宋体" w:cs="宋体"/>
          <w:b/>
          <w:bCs/>
          <w:sz w:val="36"/>
          <w:szCs w:val="36"/>
        </w:rPr>
      </w:pPr>
      <w:r>
        <w:rPr>
          <w:rFonts w:ascii="宋体" w:eastAsia="宋体" w:hAnsi="宋体" w:cs="宋体"/>
          <w:b/>
          <w:bCs/>
          <w:sz w:val="36"/>
          <w:szCs w:val="36"/>
        </w:rPr>
        <w:t>华孚时尚股份有限公司</w:t>
      </w:r>
    </w:p>
    <w:p w:rsidR="000D58D8" w:rsidRPr="000F627F" w:rsidRDefault="000F627F" w:rsidP="000F627F">
      <w:pPr>
        <w:spacing w:before="480" w:line="773" w:lineRule="exact"/>
        <w:jc w:val="center"/>
        <w:rPr>
          <w:rFonts w:ascii="宋体" w:eastAsia="宋体" w:hAnsi="宋体" w:cs="宋体"/>
          <w:b/>
          <w:bCs/>
          <w:sz w:val="36"/>
          <w:szCs w:val="36"/>
        </w:rPr>
      </w:pPr>
      <w:r w:rsidRPr="000F627F">
        <w:rPr>
          <w:rFonts w:ascii="宋体" w:eastAsia="宋体" w:hAnsi="宋体" w:cs="宋体"/>
          <w:b/>
          <w:bCs/>
          <w:sz w:val="36"/>
          <w:szCs w:val="36"/>
        </w:rPr>
        <w:t>2023年年度报告</w:t>
      </w:r>
    </w:p>
    <w:p w:rsidR="000D58D8" w:rsidRDefault="000D58D8">
      <w:pPr>
        <w:spacing w:before="1000" w:line="240" w:lineRule="exact"/>
        <w:jc w:val="center"/>
        <w:rPr>
          <w:rFonts w:ascii="宋体" w:eastAsia="宋体" w:hAnsi="宋体" w:cs="宋体"/>
          <w:b/>
          <w:bCs/>
          <w:szCs w:val="21"/>
        </w:rPr>
      </w:pPr>
    </w:p>
    <w:p w:rsidR="000D58D8" w:rsidRDefault="000D58D8">
      <w:pPr>
        <w:spacing w:before="1000" w:after="1000" w:line="0" w:lineRule="atLeast"/>
        <w:jc w:val="center"/>
        <w:rPr>
          <w:rFonts w:ascii="Times New Roman" w:eastAsia="宋体" w:hAnsi="Times New Roman" w:cs="Times New Roman"/>
        </w:rPr>
      </w:pPr>
    </w:p>
    <w:p w:rsidR="000D58D8" w:rsidRPr="000F627F" w:rsidRDefault="000F627F" w:rsidP="000F627F">
      <w:pPr>
        <w:spacing w:before="480" w:line="773" w:lineRule="exact"/>
        <w:jc w:val="center"/>
        <w:rPr>
          <w:rFonts w:ascii="宋体" w:eastAsia="宋体" w:hAnsi="宋体" w:cs="宋体"/>
          <w:b/>
          <w:bCs/>
          <w:sz w:val="24"/>
          <w:szCs w:val="24"/>
        </w:rPr>
      </w:pPr>
      <w:r w:rsidRPr="000F627F">
        <w:rPr>
          <w:rFonts w:ascii="宋体" w:eastAsia="宋体" w:hAnsi="宋体" w:cs="宋体"/>
          <w:b/>
          <w:bCs/>
          <w:sz w:val="24"/>
          <w:szCs w:val="24"/>
        </w:rPr>
        <w:t>二〇二四年四月</w:t>
      </w:r>
      <w:r w:rsidRPr="000F627F">
        <w:rPr>
          <w:rFonts w:ascii="宋体" w:eastAsia="宋体" w:hAnsi="宋体" w:cs="宋体"/>
          <w:b/>
          <w:bCs/>
          <w:sz w:val="24"/>
          <w:szCs w:val="24"/>
        </w:rPr>
        <w:br w:type="page"/>
      </w:r>
    </w:p>
    <w:p w:rsidR="000D58D8" w:rsidRPr="006B5028" w:rsidRDefault="000F627F">
      <w:pPr>
        <w:spacing w:before="1000" w:after="40" w:line="440" w:lineRule="exact"/>
        <w:jc w:val="center"/>
        <w:rPr>
          <w:rFonts w:ascii="宋体" w:eastAsia="宋体" w:hAnsi="宋体" w:cs="宋体"/>
          <w:b/>
          <w:bCs/>
          <w:sz w:val="36"/>
          <w:szCs w:val="36"/>
        </w:rPr>
      </w:pPr>
      <w:r w:rsidRPr="006B5028">
        <w:rPr>
          <w:rFonts w:ascii="宋体" w:eastAsia="宋体" w:hAnsi="宋体" w:cs="宋体"/>
          <w:b/>
          <w:bCs/>
          <w:sz w:val="36"/>
          <w:szCs w:val="36"/>
        </w:rPr>
        <w:lastRenderedPageBreak/>
        <w:t>2023年年度报告</w:t>
      </w:r>
    </w:p>
    <w:p w:rsidR="000D58D8" w:rsidRDefault="000F627F">
      <w:pPr>
        <w:pStyle w:val="headingh1"/>
        <w:spacing w:before="340" w:after="330" w:line="773" w:lineRule="exact"/>
        <w:jc w:val="center"/>
        <w:rPr>
          <w:rFonts w:ascii="宋体" w:eastAsia="宋体" w:hAnsi="宋体" w:cs="宋体"/>
          <w:b/>
          <w:bCs/>
          <w:sz w:val="32"/>
          <w:szCs w:val="32"/>
        </w:rPr>
      </w:pPr>
      <w:bookmarkStart w:id="0" w:name="_Toc988889"/>
      <w:r>
        <w:rPr>
          <w:rFonts w:ascii="宋体" w:eastAsia="宋体" w:hAnsi="宋体" w:cs="宋体"/>
          <w:b/>
          <w:bCs/>
          <w:sz w:val="32"/>
          <w:szCs w:val="32"/>
        </w:rPr>
        <w:t>第一节 重要提示、目录和释义</w:t>
      </w:r>
      <w:bookmarkEnd w:id="0"/>
    </w:p>
    <w:p w:rsidR="000D58D8" w:rsidRPr="006B5028" w:rsidRDefault="000F627F" w:rsidP="006B5028">
      <w:pPr>
        <w:spacing w:before="40" w:after="40" w:line="560" w:lineRule="exact"/>
        <w:ind w:firstLineChars="200" w:firstLine="482"/>
        <w:rPr>
          <w:rFonts w:ascii="宋体" w:eastAsia="宋体" w:hAnsi="宋体" w:cs="宋体"/>
          <w:b/>
          <w:bCs/>
          <w:sz w:val="24"/>
          <w:szCs w:val="24"/>
        </w:rPr>
      </w:pPr>
      <w:r w:rsidRPr="006B5028">
        <w:rPr>
          <w:rFonts w:ascii="宋体" w:eastAsia="宋体" w:hAnsi="宋体" w:cs="宋体"/>
          <w:b/>
          <w:bCs/>
          <w:sz w:val="24"/>
          <w:szCs w:val="24"/>
        </w:rPr>
        <w:t>公司董事会、监事会及董事、监事、高级管理人员保证年度报告内容的真实、准确、完整，不存在虚假记载、误导性陈述或重大遗漏，并承担个别和连带的法律责任。</w:t>
      </w:r>
    </w:p>
    <w:p w:rsidR="000D58D8" w:rsidRPr="006B5028" w:rsidRDefault="000F627F" w:rsidP="006B5028">
      <w:pPr>
        <w:spacing w:line="560" w:lineRule="exact"/>
        <w:ind w:firstLineChars="200" w:firstLine="482"/>
        <w:rPr>
          <w:rFonts w:ascii="宋体" w:eastAsia="宋体" w:hAnsi="宋体" w:cs="宋体"/>
          <w:b/>
          <w:bCs/>
          <w:sz w:val="24"/>
          <w:szCs w:val="24"/>
        </w:rPr>
      </w:pPr>
      <w:r w:rsidRPr="006B5028">
        <w:rPr>
          <w:rFonts w:ascii="宋体" w:eastAsia="宋体" w:hAnsi="宋体" w:cs="宋体"/>
          <w:b/>
          <w:bCs/>
          <w:sz w:val="24"/>
          <w:szCs w:val="24"/>
        </w:rPr>
        <w:t>公司负责人孙伟挺、主管会计工作负责人陈玲芬及会计机构负责人（会计主管人员）王国友声明：保证本年度报告中财务报告的真实、准确、完整。</w:t>
      </w:r>
    </w:p>
    <w:p w:rsidR="000D58D8" w:rsidRPr="006B5028" w:rsidRDefault="000F627F">
      <w:pPr>
        <w:spacing w:line="560" w:lineRule="exact"/>
        <w:rPr>
          <w:rFonts w:ascii="宋体" w:eastAsia="宋体" w:hAnsi="宋体" w:cs="宋体"/>
          <w:b/>
          <w:bCs/>
          <w:sz w:val="24"/>
          <w:szCs w:val="24"/>
        </w:rPr>
      </w:pPr>
      <w:r w:rsidRPr="006B5028">
        <w:rPr>
          <w:rFonts w:ascii="宋体" w:eastAsia="宋体" w:hAnsi="宋体" w:cs="宋体"/>
          <w:b/>
          <w:bCs/>
          <w:sz w:val="24"/>
          <w:szCs w:val="24"/>
        </w:rPr>
        <w:t>所有董事均</w:t>
      </w:r>
      <w:proofErr w:type="gramStart"/>
      <w:r w:rsidRPr="006B5028">
        <w:rPr>
          <w:rFonts w:ascii="宋体" w:eastAsia="宋体" w:hAnsi="宋体" w:cs="宋体"/>
          <w:b/>
          <w:bCs/>
          <w:sz w:val="24"/>
          <w:szCs w:val="24"/>
        </w:rPr>
        <w:t>已出席</w:t>
      </w:r>
      <w:proofErr w:type="gramEnd"/>
      <w:r w:rsidRPr="006B5028">
        <w:rPr>
          <w:rFonts w:ascii="宋体" w:eastAsia="宋体" w:hAnsi="宋体" w:cs="宋体"/>
          <w:b/>
          <w:bCs/>
          <w:sz w:val="24"/>
          <w:szCs w:val="24"/>
        </w:rPr>
        <w:t>了审议本报告的董事会会议。</w:t>
      </w:r>
    </w:p>
    <w:p w:rsidR="000F627F" w:rsidRPr="006B5028" w:rsidRDefault="000F627F">
      <w:pPr>
        <w:pStyle w:val="a3"/>
        <w:spacing w:beforeAutospacing="0" w:afterAutospacing="0" w:line="560" w:lineRule="atLeast"/>
        <w:ind w:firstLine="648"/>
        <w:divId w:val="494029126"/>
        <w:rPr>
          <w:b/>
          <w:bCs/>
        </w:rPr>
      </w:pPr>
      <w:r w:rsidRPr="006B5028">
        <w:rPr>
          <w:rFonts w:hint="eastAsia"/>
          <w:b/>
          <w:bCs/>
        </w:rPr>
        <w:t>公司已在本报告中详细描述了存在的风险事项，敬请投资者查阅本报告“第三节：管理层讨论与分析”，“十一：公司未来发展的展望”中“可能面临的风险”。</w:t>
      </w:r>
    </w:p>
    <w:p w:rsidR="000D58D8" w:rsidRPr="006B5028" w:rsidRDefault="000F627F" w:rsidP="006B5028">
      <w:pPr>
        <w:spacing w:line="560" w:lineRule="exact"/>
        <w:ind w:firstLineChars="200" w:firstLine="482"/>
        <w:rPr>
          <w:rFonts w:ascii="宋体" w:eastAsia="宋体" w:hAnsi="宋体" w:cs="宋体"/>
          <w:b/>
          <w:bCs/>
          <w:sz w:val="24"/>
          <w:szCs w:val="24"/>
        </w:rPr>
      </w:pPr>
      <w:r w:rsidRPr="006B5028">
        <w:rPr>
          <w:rFonts w:ascii="宋体" w:eastAsia="宋体" w:hAnsi="宋体" w:cs="宋体"/>
          <w:b/>
          <w:bCs/>
          <w:sz w:val="24"/>
          <w:szCs w:val="24"/>
        </w:rPr>
        <w:t>公司计划</w:t>
      </w:r>
      <w:proofErr w:type="gramStart"/>
      <w:r w:rsidRPr="006B5028">
        <w:rPr>
          <w:rFonts w:ascii="宋体" w:eastAsia="宋体" w:hAnsi="宋体" w:cs="宋体"/>
          <w:b/>
          <w:bCs/>
          <w:sz w:val="24"/>
          <w:szCs w:val="24"/>
        </w:rPr>
        <w:t>不</w:t>
      </w:r>
      <w:proofErr w:type="gramEnd"/>
      <w:r w:rsidRPr="006B5028">
        <w:rPr>
          <w:rFonts w:ascii="宋体" w:eastAsia="宋体" w:hAnsi="宋体" w:cs="宋体"/>
          <w:b/>
          <w:bCs/>
          <w:sz w:val="24"/>
          <w:szCs w:val="24"/>
        </w:rPr>
        <w:t>派发现金红利，不送红股，不以公积金转增股本。</w:t>
      </w:r>
    </w:p>
    <w:p w:rsidR="000D58D8" w:rsidRDefault="000F627F">
      <w:r>
        <w:br w:type="page"/>
      </w:r>
    </w:p>
    <w:p w:rsidR="000D58D8" w:rsidRDefault="000F627F">
      <w:pPr>
        <w:spacing w:line="720" w:lineRule="exact"/>
        <w:jc w:val="center"/>
        <w:rPr>
          <w:rFonts w:ascii="宋体" w:eastAsia="宋体" w:hAnsi="宋体" w:cs="宋体"/>
          <w:b/>
          <w:bCs/>
          <w:sz w:val="36"/>
          <w:szCs w:val="36"/>
        </w:rPr>
      </w:pPr>
      <w:r>
        <w:rPr>
          <w:rFonts w:ascii="宋体" w:eastAsia="宋体" w:hAnsi="宋体" w:cs="宋体"/>
          <w:b/>
          <w:bCs/>
          <w:sz w:val="36"/>
          <w:szCs w:val="36"/>
        </w:rPr>
        <w:lastRenderedPageBreak/>
        <w:t>目录</w:t>
      </w:r>
    </w:p>
    <w:p w:rsidR="000D58D8" w:rsidRDefault="000F627F">
      <w:pPr>
        <w:pStyle w:val="1"/>
        <w:tabs>
          <w:tab w:val="left" w:leader="dot" w:pos="9469"/>
        </w:tabs>
        <w:rPr>
          <w:noProof/>
        </w:rPr>
      </w:pPr>
      <w:r>
        <w:fldChar w:fldCharType="begin"/>
      </w:r>
      <w:r>
        <w:instrText xml:space="preserve"> </w:instrText>
      </w:r>
      <w:r>
        <w:rPr>
          <w:rFonts w:ascii="宋体" w:eastAsia="宋体" w:hAnsi="宋体" w:hint="eastAsia"/>
        </w:rPr>
        <w:instrText>TOC \o "1-2" \h \z \u</w:instrText>
      </w:r>
      <w:r>
        <w:instrText xml:space="preserve"> </w:instrText>
      </w:r>
      <w:r>
        <w:fldChar w:fldCharType="separate"/>
      </w:r>
      <w:hyperlink w:anchor="_Toc988889" w:history="1">
        <w:r>
          <w:rPr>
            <w:rFonts w:ascii="宋体" w:eastAsia="宋体" w:hAnsi="宋体" w:hint="eastAsia"/>
            <w:b/>
            <w:bCs/>
            <w:noProof/>
            <w:sz w:val="24"/>
          </w:rPr>
          <w:t>第一节 重要提示、目录和释义</w:t>
        </w:r>
        <w:r>
          <w:rPr>
            <w:noProof/>
            <w:webHidden/>
          </w:rPr>
          <w:tab/>
        </w:r>
        <w:r>
          <w:rPr>
            <w:noProof/>
            <w:webHidden/>
          </w:rPr>
          <w:fldChar w:fldCharType="begin"/>
        </w:r>
        <w:r>
          <w:rPr>
            <w:noProof/>
            <w:webHidden/>
          </w:rPr>
          <w:instrText xml:space="preserve"> PAGEREF _Toc988889 \h </w:instrText>
        </w:r>
        <w:r>
          <w:rPr>
            <w:noProof/>
            <w:webHidden/>
          </w:rPr>
        </w:r>
        <w:r>
          <w:rPr>
            <w:noProof/>
            <w:webHidden/>
          </w:rPr>
          <w:fldChar w:fldCharType="separate"/>
        </w:r>
        <w:r w:rsidR="006B5028">
          <w:rPr>
            <w:noProof/>
            <w:webHidden/>
          </w:rPr>
          <w:t>2</w:t>
        </w:r>
        <w:r>
          <w:rPr>
            <w:noProof/>
            <w:webHidden/>
          </w:rPr>
          <w:fldChar w:fldCharType="end"/>
        </w:r>
      </w:hyperlink>
    </w:p>
    <w:p w:rsidR="000D58D8" w:rsidRDefault="00705448">
      <w:pPr>
        <w:pStyle w:val="1"/>
        <w:tabs>
          <w:tab w:val="left" w:leader="dot" w:pos="9469"/>
        </w:tabs>
        <w:rPr>
          <w:noProof/>
        </w:rPr>
      </w:pPr>
      <w:hyperlink w:anchor="_Toc988890" w:history="1">
        <w:r w:rsidR="000F627F">
          <w:rPr>
            <w:rFonts w:ascii="宋体" w:eastAsia="宋体" w:hAnsi="宋体" w:hint="eastAsia"/>
            <w:b/>
            <w:bCs/>
            <w:noProof/>
            <w:sz w:val="24"/>
          </w:rPr>
          <w:t>第二节 公司简介和主要财务指标</w:t>
        </w:r>
        <w:r w:rsidR="000F627F">
          <w:rPr>
            <w:noProof/>
            <w:webHidden/>
          </w:rPr>
          <w:tab/>
        </w:r>
        <w:r w:rsidR="000F627F">
          <w:rPr>
            <w:noProof/>
            <w:webHidden/>
          </w:rPr>
          <w:fldChar w:fldCharType="begin"/>
        </w:r>
        <w:r w:rsidR="000F627F">
          <w:rPr>
            <w:noProof/>
            <w:webHidden/>
          </w:rPr>
          <w:instrText xml:space="preserve"> PAGEREF _Toc988890 \h </w:instrText>
        </w:r>
        <w:r w:rsidR="000F627F">
          <w:rPr>
            <w:noProof/>
            <w:webHidden/>
          </w:rPr>
        </w:r>
        <w:r w:rsidR="000F627F">
          <w:rPr>
            <w:noProof/>
            <w:webHidden/>
          </w:rPr>
          <w:fldChar w:fldCharType="separate"/>
        </w:r>
        <w:r w:rsidR="006B5028">
          <w:rPr>
            <w:noProof/>
            <w:webHidden/>
          </w:rPr>
          <w:t>6</w:t>
        </w:r>
        <w:r w:rsidR="000F627F">
          <w:rPr>
            <w:noProof/>
            <w:webHidden/>
          </w:rPr>
          <w:fldChar w:fldCharType="end"/>
        </w:r>
      </w:hyperlink>
    </w:p>
    <w:p w:rsidR="000D58D8" w:rsidRDefault="00705448">
      <w:pPr>
        <w:pStyle w:val="1"/>
        <w:tabs>
          <w:tab w:val="left" w:leader="dot" w:pos="9469"/>
        </w:tabs>
        <w:rPr>
          <w:noProof/>
        </w:rPr>
      </w:pPr>
      <w:hyperlink w:anchor="_Toc988902" w:history="1">
        <w:r w:rsidR="000F627F">
          <w:rPr>
            <w:rFonts w:ascii="宋体" w:eastAsia="宋体" w:hAnsi="宋体" w:hint="eastAsia"/>
            <w:b/>
            <w:bCs/>
            <w:noProof/>
            <w:sz w:val="24"/>
          </w:rPr>
          <w:t>第三节 管理层讨论与分析</w:t>
        </w:r>
        <w:r w:rsidR="000F627F">
          <w:rPr>
            <w:noProof/>
            <w:webHidden/>
          </w:rPr>
          <w:tab/>
        </w:r>
        <w:r w:rsidR="000F627F">
          <w:rPr>
            <w:noProof/>
            <w:webHidden/>
          </w:rPr>
          <w:fldChar w:fldCharType="begin"/>
        </w:r>
        <w:r w:rsidR="000F627F">
          <w:rPr>
            <w:noProof/>
            <w:webHidden/>
          </w:rPr>
          <w:instrText xml:space="preserve"> PAGEREF _Toc988902 \h </w:instrText>
        </w:r>
        <w:r w:rsidR="000F627F">
          <w:rPr>
            <w:noProof/>
            <w:webHidden/>
          </w:rPr>
        </w:r>
        <w:r w:rsidR="000F627F">
          <w:rPr>
            <w:noProof/>
            <w:webHidden/>
          </w:rPr>
          <w:fldChar w:fldCharType="separate"/>
        </w:r>
        <w:r w:rsidR="006B5028">
          <w:rPr>
            <w:noProof/>
            <w:webHidden/>
          </w:rPr>
          <w:t>10</w:t>
        </w:r>
        <w:r w:rsidR="000F627F">
          <w:rPr>
            <w:noProof/>
            <w:webHidden/>
          </w:rPr>
          <w:fldChar w:fldCharType="end"/>
        </w:r>
      </w:hyperlink>
    </w:p>
    <w:p w:rsidR="000D58D8" w:rsidRDefault="00705448">
      <w:pPr>
        <w:pStyle w:val="1"/>
        <w:tabs>
          <w:tab w:val="left" w:leader="dot" w:pos="9469"/>
        </w:tabs>
        <w:rPr>
          <w:noProof/>
        </w:rPr>
      </w:pPr>
      <w:hyperlink w:anchor="_Toc988955" w:history="1">
        <w:r w:rsidR="000F627F">
          <w:rPr>
            <w:rFonts w:ascii="宋体" w:eastAsia="宋体" w:hAnsi="宋体" w:hint="eastAsia"/>
            <w:b/>
            <w:bCs/>
            <w:noProof/>
            <w:sz w:val="24"/>
          </w:rPr>
          <w:t>第四节 公司治理</w:t>
        </w:r>
        <w:r w:rsidR="000F627F">
          <w:rPr>
            <w:noProof/>
            <w:webHidden/>
          </w:rPr>
          <w:tab/>
        </w:r>
        <w:r w:rsidR="000F627F">
          <w:rPr>
            <w:noProof/>
            <w:webHidden/>
          </w:rPr>
          <w:fldChar w:fldCharType="begin"/>
        </w:r>
        <w:r w:rsidR="000F627F">
          <w:rPr>
            <w:noProof/>
            <w:webHidden/>
          </w:rPr>
          <w:instrText xml:space="preserve"> PAGEREF _Toc988955 \h </w:instrText>
        </w:r>
        <w:r w:rsidR="000F627F">
          <w:rPr>
            <w:noProof/>
            <w:webHidden/>
          </w:rPr>
        </w:r>
        <w:r w:rsidR="000F627F">
          <w:rPr>
            <w:noProof/>
            <w:webHidden/>
          </w:rPr>
          <w:fldChar w:fldCharType="separate"/>
        </w:r>
        <w:r w:rsidR="006B5028">
          <w:rPr>
            <w:noProof/>
            <w:webHidden/>
          </w:rPr>
          <w:t>36</w:t>
        </w:r>
        <w:r w:rsidR="000F627F">
          <w:rPr>
            <w:noProof/>
            <w:webHidden/>
          </w:rPr>
          <w:fldChar w:fldCharType="end"/>
        </w:r>
      </w:hyperlink>
    </w:p>
    <w:p w:rsidR="000D58D8" w:rsidRDefault="00705448">
      <w:pPr>
        <w:pStyle w:val="1"/>
        <w:tabs>
          <w:tab w:val="left" w:leader="dot" w:pos="9469"/>
        </w:tabs>
        <w:rPr>
          <w:noProof/>
        </w:rPr>
      </w:pPr>
      <w:hyperlink w:anchor="_Toc988991" w:history="1">
        <w:r w:rsidR="000F627F">
          <w:rPr>
            <w:rFonts w:ascii="宋体" w:eastAsia="宋体" w:hAnsi="宋体" w:hint="eastAsia"/>
            <w:b/>
            <w:bCs/>
            <w:noProof/>
            <w:sz w:val="24"/>
          </w:rPr>
          <w:t>第五节 环境和社会责任</w:t>
        </w:r>
        <w:r w:rsidR="000F627F">
          <w:rPr>
            <w:noProof/>
            <w:webHidden/>
          </w:rPr>
          <w:tab/>
        </w:r>
        <w:r w:rsidR="000F627F">
          <w:rPr>
            <w:noProof/>
            <w:webHidden/>
          </w:rPr>
          <w:fldChar w:fldCharType="begin"/>
        </w:r>
        <w:r w:rsidR="000F627F">
          <w:rPr>
            <w:noProof/>
            <w:webHidden/>
          </w:rPr>
          <w:instrText xml:space="preserve"> PAGEREF _Toc988991 \h </w:instrText>
        </w:r>
        <w:r w:rsidR="000F627F">
          <w:rPr>
            <w:noProof/>
            <w:webHidden/>
          </w:rPr>
        </w:r>
        <w:r w:rsidR="000F627F">
          <w:rPr>
            <w:noProof/>
            <w:webHidden/>
          </w:rPr>
          <w:fldChar w:fldCharType="separate"/>
        </w:r>
        <w:r w:rsidR="006B5028">
          <w:rPr>
            <w:noProof/>
            <w:webHidden/>
          </w:rPr>
          <w:t>51</w:t>
        </w:r>
        <w:r w:rsidR="000F627F">
          <w:rPr>
            <w:noProof/>
            <w:webHidden/>
          </w:rPr>
          <w:fldChar w:fldCharType="end"/>
        </w:r>
      </w:hyperlink>
    </w:p>
    <w:p w:rsidR="000D58D8" w:rsidRDefault="00705448">
      <w:pPr>
        <w:pStyle w:val="1"/>
        <w:tabs>
          <w:tab w:val="left" w:leader="dot" w:pos="9469"/>
        </w:tabs>
        <w:rPr>
          <w:noProof/>
        </w:rPr>
      </w:pPr>
      <w:hyperlink w:anchor="_Toc988995" w:history="1">
        <w:r w:rsidR="000F627F">
          <w:rPr>
            <w:rFonts w:ascii="宋体" w:eastAsia="宋体" w:hAnsi="宋体" w:hint="eastAsia"/>
            <w:b/>
            <w:bCs/>
            <w:noProof/>
            <w:sz w:val="24"/>
          </w:rPr>
          <w:t>第六节 重要事项</w:t>
        </w:r>
        <w:r w:rsidR="000F627F">
          <w:rPr>
            <w:noProof/>
            <w:webHidden/>
          </w:rPr>
          <w:tab/>
        </w:r>
        <w:r w:rsidR="000F627F">
          <w:rPr>
            <w:noProof/>
            <w:webHidden/>
          </w:rPr>
          <w:fldChar w:fldCharType="begin"/>
        </w:r>
        <w:r w:rsidR="000F627F">
          <w:rPr>
            <w:noProof/>
            <w:webHidden/>
          </w:rPr>
          <w:instrText xml:space="preserve"> PAGEREF _Toc988995 \h </w:instrText>
        </w:r>
        <w:r w:rsidR="000F627F">
          <w:rPr>
            <w:noProof/>
            <w:webHidden/>
          </w:rPr>
        </w:r>
        <w:r w:rsidR="000F627F">
          <w:rPr>
            <w:noProof/>
            <w:webHidden/>
          </w:rPr>
          <w:fldChar w:fldCharType="separate"/>
        </w:r>
        <w:r w:rsidR="006B5028">
          <w:rPr>
            <w:noProof/>
            <w:webHidden/>
          </w:rPr>
          <w:t>53</w:t>
        </w:r>
        <w:r w:rsidR="000F627F">
          <w:rPr>
            <w:noProof/>
            <w:webHidden/>
          </w:rPr>
          <w:fldChar w:fldCharType="end"/>
        </w:r>
      </w:hyperlink>
    </w:p>
    <w:p w:rsidR="000D58D8" w:rsidRDefault="00705448">
      <w:pPr>
        <w:pStyle w:val="1"/>
        <w:tabs>
          <w:tab w:val="left" w:leader="dot" w:pos="9469"/>
        </w:tabs>
        <w:rPr>
          <w:noProof/>
        </w:rPr>
      </w:pPr>
      <w:hyperlink w:anchor="_Toc989031" w:history="1">
        <w:r w:rsidR="000F627F">
          <w:rPr>
            <w:rFonts w:ascii="宋体" w:eastAsia="宋体" w:hAnsi="宋体" w:hint="eastAsia"/>
            <w:b/>
            <w:bCs/>
            <w:noProof/>
            <w:sz w:val="24"/>
          </w:rPr>
          <w:t>第七节 股份变动及股东情况</w:t>
        </w:r>
        <w:r w:rsidR="000F627F">
          <w:rPr>
            <w:noProof/>
            <w:webHidden/>
          </w:rPr>
          <w:tab/>
        </w:r>
        <w:r w:rsidR="000F627F">
          <w:rPr>
            <w:noProof/>
            <w:webHidden/>
          </w:rPr>
          <w:fldChar w:fldCharType="begin"/>
        </w:r>
        <w:r w:rsidR="000F627F">
          <w:rPr>
            <w:noProof/>
            <w:webHidden/>
          </w:rPr>
          <w:instrText xml:space="preserve"> PAGEREF _Toc989031 \h </w:instrText>
        </w:r>
        <w:r w:rsidR="000F627F">
          <w:rPr>
            <w:noProof/>
            <w:webHidden/>
          </w:rPr>
        </w:r>
        <w:r w:rsidR="000F627F">
          <w:rPr>
            <w:noProof/>
            <w:webHidden/>
          </w:rPr>
          <w:fldChar w:fldCharType="separate"/>
        </w:r>
        <w:r w:rsidR="006B5028">
          <w:rPr>
            <w:noProof/>
            <w:webHidden/>
          </w:rPr>
          <w:t>61</w:t>
        </w:r>
        <w:r w:rsidR="000F627F">
          <w:rPr>
            <w:noProof/>
            <w:webHidden/>
          </w:rPr>
          <w:fldChar w:fldCharType="end"/>
        </w:r>
      </w:hyperlink>
    </w:p>
    <w:p w:rsidR="000D58D8" w:rsidRDefault="00705448">
      <w:pPr>
        <w:pStyle w:val="1"/>
        <w:tabs>
          <w:tab w:val="left" w:leader="dot" w:pos="9469"/>
        </w:tabs>
        <w:rPr>
          <w:noProof/>
        </w:rPr>
      </w:pPr>
      <w:hyperlink w:anchor="_Toc989047" w:history="1">
        <w:r w:rsidR="000F627F">
          <w:rPr>
            <w:rFonts w:ascii="宋体" w:eastAsia="宋体" w:hAnsi="宋体" w:hint="eastAsia"/>
            <w:b/>
            <w:bCs/>
            <w:noProof/>
            <w:sz w:val="24"/>
          </w:rPr>
          <w:t>第八节 优先股相关情况</w:t>
        </w:r>
        <w:r w:rsidR="000F627F">
          <w:rPr>
            <w:noProof/>
            <w:webHidden/>
          </w:rPr>
          <w:tab/>
        </w:r>
        <w:r w:rsidR="000F627F">
          <w:rPr>
            <w:noProof/>
            <w:webHidden/>
          </w:rPr>
          <w:fldChar w:fldCharType="begin"/>
        </w:r>
        <w:r w:rsidR="000F627F">
          <w:rPr>
            <w:noProof/>
            <w:webHidden/>
          </w:rPr>
          <w:instrText xml:space="preserve"> PAGEREF _Toc989047 \h </w:instrText>
        </w:r>
        <w:r w:rsidR="000F627F">
          <w:rPr>
            <w:noProof/>
            <w:webHidden/>
          </w:rPr>
        </w:r>
        <w:r w:rsidR="000F627F">
          <w:rPr>
            <w:noProof/>
            <w:webHidden/>
          </w:rPr>
          <w:fldChar w:fldCharType="separate"/>
        </w:r>
        <w:r w:rsidR="006B5028">
          <w:rPr>
            <w:noProof/>
            <w:webHidden/>
          </w:rPr>
          <w:t>67</w:t>
        </w:r>
        <w:r w:rsidR="000F627F">
          <w:rPr>
            <w:noProof/>
            <w:webHidden/>
          </w:rPr>
          <w:fldChar w:fldCharType="end"/>
        </w:r>
      </w:hyperlink>
    </w:p>
    <w:p w:rsidR="000D58D8" w:rsidRDefault="00705448">
      <w:pPr>
        <w:pStyle w:val="1"/>
        <w:tabs>
          <w:tab w:val="left" w:leader="dot" w:pos="9469"/>
        </w:tabs>
        <w:rPr>
          <w:noProof/>
        </w:rPr>
      </w:pPr>
      <w:hyperlink w:anchor="_Toc989048" w:history="1">
        <w:r w:rsidR="000F627F">
          <w:rPr>
            <w:rFonts w:ascii="宋体" w:eastAsia="宋体" w:hAnsi="宋体" w:hint="eastAsia"/>
            <w:b/>
            <w:bCs/>
            <w:noProof/>
            <w:sz w:val="24"/>
          </w:rPr>
          <w:t>第九节 债券相关情况</w:t>
        </w:r>
        <w:r w:rsidR="000F627F">
          <w:rPr>
            <w:noProof/>
            <w:webHidden/>
          </w:rPr>
          <w:tab/>
        </w:r>
        <w:r w:rsidR="000F627F">
          <w:rPr>
            <w:noProof/>
            <w:webHidden/>
          </w:rPr>
          <w:fldChar w:fldCharType="begin"/>
        </w:r>
        <w:r w:rsidR="000F627F">
          <w:rPr>
            <w:noProof/>
            <w:webHidden/>
          </w:rPr>
          <w:instrText xml:space="preserve"> PAGEREF _Toc989048 \h </w:instrText>
        </w:r>
        <w:r w:rsidR="000F627F">
          <w:rPr>
            <w:noProof/>
            <w:webHidden/>
          </w:rPr>
        </w:r>
        <w:r w:rsidR="000F627F">
          <w:rPr>
            <w:noProof/>
            <w:webHidden/>
          </w:rPr>
          <w:fldChar w:fldCharType="separate"/>
        </w:r>
        <w:r w:rsidR="006B5028">
          <w:rPr>
            <w:noProof/>
            <w:webHidden/>
          </w:rPr>
          <w:t>68</w:t>
        </w:r>
        <w:r w:rsidR="000F627F">
          <w:rPr>
            <w:noProof/>
            <w:webHidden/>
          </w:rPr>
          <w:fldChar w:fldCharType="end"/>
        </w:r>
      </w:hyperlink>
    </w:p>
    <w:p w:rsidR="000D58D8" w:rsidRDefault="00705448">
      <w:pPr>
        <w:pStyle w:val="1"/>
        <w:tabs>
          <w:tab w:val="left" w:leader="dot" w:pos="9469"/>
        </w:tabs>
        <w:rPr>
          <w:noProof/>
        </w:rPr>
      </w:pPr>
      <w:hyperlink w:anchor="_Toc989049" w:history="1">
        <w:r w:rsidR="000F627F">
          <w:rPr>
            <w:rFonts w:ascii="宋体" w:eastAsia="宋体" w:hAnsi="宋体" w:hint="eastAsia"/>
            <w:b/>
            <w:bCs/>
            <w:noProof/>
            <w:sz w:val="24"/>
          </w:rPr>
          <w:t>第十节 财务报告</w:t>
        </w:r>
        <w:r w:rsidR="000F627F">
          <w:rPr>
            <w:noProof/>
            <w:webHidden/>
          </w:rPr>
          <w:tab/>
        </w:r>
        <w:r w:rsidR="000F627F">
          <w:rPr>
            <w:noProof/>
            <w:webHidden/>
          </w:rPr>
          <w:fldChar w:fldCharType="begin"/>
        </w:r>
        <w:r w:rsidR="000F627F">
          <w:rPr>
            <w:noProof/>
            <w:webHidden/>
          </w:rPr>
          <w:instrText xml:space="preserve"> PAGEREF _Toc989049 \h </w:instrText>
        </w:r>
        <w:r w:rsidR="000F627F">
          <w:rPr>
            <w:noProof/>
            <w:webHidden/>
          </w:rPr>
        </w:r>
        <w:r w:rsidR="000F627F">
          <w:rPr>
            <w:noProof/>
            <w:webHidden/>
          </w:rPr>
          <w:fldChar w:fldCharType="separate"/>
        </w:r>
        <w:r w:rsidR="006B5028">
          <w:rPr>
            <w:noProof/>
            <w:webHidden/>
          </w:rPr>
          <w:t>69</w:t>
        </w:r>
        <w:r w:rsidR="000F627F">
          <w:rPr>
            <w:noProof/>
            <w:webHidden/>
          </w:rPr>
          <w:fldChar w:fldCharType="end"/>
        </w:r>
      </w:hyperlink>
      <w:r w:rsidR="000F627F">
        <w:fldChar w:fldCharType="end"/>
      </w:r>
    </w:p>
    <w:p w:rsidR="000D58D8" w:rsidRDefault="000F627F">
      <w:r>
        <w:br w:type="page"/>
      </w:r>
    </w:p>
    <w:p w:rsidR="000D58D8" w:rsidRDefault="000F627F">
      <w:pPr>
        <w:spacing w:line="640" w:lineRule="exact"/>
        <w:jc w:val="center"/>
        <w:rPr>
          <w:rFonts w:ascii="宋体" w:eastAsia="宋体" w:hAnsi="宋体" w:cs="宋体"/>
          <w:b/>
          <w:bCs/>
          <w:sz w:val="32"/>
          <w:szCs w:val="32"/>
        </w:rPr>
      </w:pPr>
      <w:r>
        <w:rPr>
          <w:rFonts w:ascii="宋体" w:eastAsia="宋体" w:hAnsi="宋体" w:cs="宋体"/>
          <w:b/>
          <w:bCs/>
          <w:sz w:val="32"/>
          <w:szCs w:val="32"/>
        </w:rPr>
        <w:lastRenderedPageBreak/>
        <w:t>备查文件目录</w:t>
      </w:r>
    </w:p>
    <w:p w:rsidR="000F627F" w:rsidRDefault="000F627F" w:rsidP="000F627F">
      <w:pPr>
        <w:pStyle w:val="a3"/>
        <w:spacing w:line="360" w:lineRule="atLeast"/>
        <w:ind w:firstLine="408"/>
        <w:divId w:val="284895174"/>
        <w:rPr>
          <w:sz w:val="18"/>
          <w:szCs w:val="18"/>
        </w:rPr>
      </w:pPr>
      <w:r>
        <w:rPr>
          <w:rFonts w:hint="eastAsia"/>
          <w:sz w:val="18"/>
          <w:szCs w:val="18"/>
        </w:rPr>
        <w:t>（一）载有法定代表人、主管会计工作负责人、会计机构负责人签名并盖章的会计报表。</w:t>
      </w:r>
    </w:p>
    <w:p w:rsidR="000F627F" w:rsidRDefault="000F627F" w:rsidP="000F627F">
      <w:pPr>
        <w:pStyle w:val="a3"/>
        <w:spacing w:line="360" w:lineRule="atLeast"/>
        <w:ind w:firstLine="408"/>
        <w:divId w:val="284895174"/>
        <w:rPr>
          <w:sz w:val="18"/>
          <w:szCs w:val="18"/>
        </w:rPr>
      </w:pPr>
      <w:r>
        <w:rPr>
          <w:rFonts w:hint="eastAsia"/>
          <w:sz w:val="18"/>
          <w:szCs w:val="18"/>
        </w:rPr>
        <w:t>（二）载有会计师事务所盖章、注册会计师签名并盖章的审计报告原件。</w:t>
      </w:r>
    </w:p>
    <w:p w:rsidR="000F627F" w:rsidRDefault="000F627F" w:rsidP="000F627F">
      <w:pPr>
        <w:pStyle w:val="a3"/>
        <w:spacing w:line="360" w:lineRule="atLeast"/>
        <w:ind w:firstLine="408"/>
        <w:divId w:val="284895174"/>
        <w:rPr>
          <w:sz w:val="18"/>
          <w:szCs w:val="18"/>
        </w:rPr>
      </w:pPr>
      <w:r>
        <w:rPr>
          <w:rFonts w:hint="eastAsia"/>
          <w:sz w:val="18"/>
          <w:szCs w:val="18"/>
        </w:rPr>
        <w:t>（三）报告期内在中国证监会指定报纸上公开披露过的所有公司文件的正本及公告的原稿。</w:t>
      </w:r>
    </w:p>
    <w:p w:rsidR="000F627F" w:rsidRDefault="000F627F" w:rsidP="000F627F">
      <w:pPr>
        <w:pStyle w:val="a3"/>
        <w:spacing w:line="360" w:lineRule="atLeast"/>
        <w:ind w:firstLine="408"/>
        <w:divId w:val="284895174"/>
        <w:rPr>
          <w:sz w:val="18"/>
          <w:szCs w:val="18"/>
        </w:rPr>
      </w:pPr>
      <w:r>
        <w:rPr>
          <w:rFonts w:hint="eastAsia"/>
          <w:sz w:val="18"/>
          <w:szCs w:val="18"/>
        </w:rPr>
        <w:t>（四）载有董事长孙伟挺先生签字的2023年年度报告文件原件。</w:t>
      </w:r>
    </w:p>
    <w:p w:rsidR="000F627F" w:rsidRDefault="000F627F" w:rsidP="000F627F">
      <w:pPr>
        <w:pStyle w:val="a3"/>
        <w:spacing w:line="360" w:lineRule="atLeast"/>
        <w:ind w:firstLine="408"/>
        <w:divId w:val="284895174"/>
        <w:rPr>
          <w:sz w:val="18"/>
          <w:szCs w:val="18"/>
        </w:rPr>
      </w:pPr>
      <w:r>
        <w:rPr>
          <w:rFonts w:hint="eastAsia"/>
          <w:sz w:val="18"/>
          <w:szCs w:val="18"/>
        </w:rPr>
        <w:t>（五）以上备查文件的备置地点：公司董事会办公室。</w:t>
      </w:r>
    </w:p>
    <w:p w:rsidR="000D58D8" w:rsidRDefault="000F627F">
      <w:r>
        <w:br w:type="page"/>
      </w:r>
    </w:p>
    <w:p w:rsidR="000D58D8" w:rsidRDefault="000F627F">
      <w:pPr>
        <w:spacing w:before="40" w:after="40" w:line="560" w:lineRule="exact"/>
        <w:jc w:val="center"/>
        <w:rPr>
          <w:rFonts w:ascii="宋体" w:eastAsia="宋体" w:hAnsi="宋体" w:cs="宋体"/>
          <w:b/>
          <w:bCs/>
          <w:sz w:val="32"/>
          <w:szCs w:val="32"/>
        </w:rPr>
      </w:pPr>
      <w:r>
        <w:rPr>
          <w:rFonts w:ascii="宋体" w:eastAsia="宋体" w:hAnsi="宋体" w:cs="宋体"/>
          <w:b/>
          <w:bCs/>
          <w:sz w:val="32"/>
          <w:szCs w:val="32"/>
        </w:rPr>
        <w:lastRenderedPageBreak/>
        <w:t>释义</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936"/>
        <w:gridCol w:w="1134"/>
        <w:gridCol w:w="4569"/>
      </w:tblGrid>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释义项</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56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释义内容</w:t>
            </w:r>
          </w:p>
        </w:tc>
      </w:tr>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公司、本公司</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5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华孚时尚股份有限公司</w:t>
            </w:r>
          </w:p>
        </w:tc>
      </w:tr>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中国证监会</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5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中国证券监督管理委员会</w:t>
            </w:r>
          </w:p>
        </w:tc>
      </w:tr>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深交所</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5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《证券法》、《公司法》</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5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《中华人民共和国证券法》、《中华人民共和国公司法》</w:t>
            </w:r>
          </w:p>
        </w:tc>
      </w:tr>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控股股东、华孚控股</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5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r>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元、万元</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45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人民币元、万元</w:t>
            </w:r>
          </w:p>
        </w:tc>
      </w:tr>
    </w:tbl>
    <w:p w:rsidR="000D58D8" w:rsidRDefault="000F627F">
      <w:r>
        <w:br w:type="page"/>
      </w:r>
    </w:p>
    <w:p w:rsidR="000D58D8" w:rsidRDefault="000F627F">
      <w:pPr>
        <w:pStyle w:val="headingh1"/>
        <w:spacing w:before="340" w:after="330" w:line="773" w:lineRule="exact"/>
        <w:jc w:val="center"/>
        <w:rPr>
          <w:rFonts w:ascii="宋体" w:eastAsia="宋体" w:hAnsi="宋体" w:cs="宋体"/>
          <w:b/>
          <w:bCs/>
          <w:sz w:val="32"/>
          <w:szCs w:val="32"/>
        </w:rPr>
      </w:pPr>
      <w:bookmarkStart w:id="1" w:name="_Toc988890"/>
      <w:r>
        <w:rPr>
          <w:rFonts w:ascii="宋体" w:eastAsia="宋体" w:hAnsi="宋体" w:cs="宋体"/>
          <w:b/>
          <w:bCs/>
          <w:sz w:val="32"/>
          <w:szCs w:val="32"/>
        </w:rPr>
        <w:lastRenderedPageBreak/>
        <w:t>第二节 公司简介和主要财务指标</w:t>
      </w:r>
      <w:bookmarkEnd w:id="1"/>
    </w:p>
    <w:p w:rsidR="000D58D8" w:rsidRDefault="000F627F">
      <w:pPr>
        <w:pStyle w:val="2"/>
        <w:spacing w:before="300" w:after="300" w:line="320" w:lineRule="exact"/>
        <w:rPr>
          <w:rFonts w:ascii="宋体" w:eastAsia="宋体" w:hAnsi="宋体" w:cs="宋体"/>
          <w:b/>
          <w:bCs/>
          <w:sz w:val="24"/>
          <w:szCs w:val="24"/>
        </w:rPr>
      </w:pPr>
      <w:bookmarkStart w:id="2" w:name="_Toc988891"/>
      <w:r>
        <w:rPr>
          <w:rFonts w:ascii="宋体" w:eastAsia="宋体" w:hAnsi="宋体" w:cs="宋体"/>
          <w:b/>
          <w:bCs/>
          <w:sz w:val="24"/>
          <w:szCs w:val="24"/>
        </w:rPr>
        <w:t>一、公司信息</w:t>
      </w:r>
      <w:bookmarkEnd w:id="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股票简称</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华孚时尚</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股票代码</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002042</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变更前的股票简称（如有）</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股票上市证券交易所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公司的中文名称</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华孚时尚股份有限公司</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公司的中文简称</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华孚时尚</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公司的外文名称（如有）</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HUAFU FASHION CO., LTD.</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公司的外文名称缩写（如有）</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HUAFU</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公司的法定代表人</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孙伟挺</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注册地址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安徽省淮北市经济开发区新区石山路6号</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注册地址的邮政编码</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235000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公司注册地址历史变更情况</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办公地址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广东省深圳市福田区</w:t>
            </w:r>
            <w:proofErr w:type="gramStart"/>
            <w:r>
              <w:rPr>
                <w:rFonts w:ascii="宋体" w:eastAsia="宋体" w:hAnsi="宋体" w:cs="宋体"/>
                <w:sz w:val="18"/>
                <w:szCs w:val="18"/>
              </w:rPr>
              <w:t>市花路</w:t>
            </w:r>
            <w:proofErr w:type="gramEnd"/>
            <w:r>
              <w:rPr>
                <w:rFonts w:ascii="宋体" w:eastAsia="宋体" w:hAnsi="宋体" w:cs="宋体"/>
                <w:sz w:val="18"/>
                <w:szCs w:val="18"/>
              </w:rPr>
              <w:t>5号</w:t>
            </w:r>
            <w:proofErr w:type="gramStart"/>
            <w:r>
              <w:rPr>
                <w:rFonts w:ascii="宋体" w:eastAsia="宋体" w:hAnsi="宋体" w:cs="宋体"/>
                <w:sz w:val="18"/>
                <w:szCs w:val="18"/>
              </w:rPr>
              <w:t>长富金茂</w:t>
            </w:r>
            <w:proofErr w:type="gramEnd"/>
            <w:r>
              <w:rPr>
                <w:rFonts w:ascii="宋体" w:eastAsia="宋体" w:hAnsi="宋体" w:cs="宋体"/>
                <w:sz w:val="18"/>
                <w:szCs w:val="18"/>
              </w:rPr>
              <w:t>大厦59楼</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办公地址的邮政编码</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518045</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公司网址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http://www.e-huafu.com</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dongban@e-huafu.com</w:t>
            </w:r>
          </w:p>
        </w:tc>
      </w:tr>
    </w:tbl>
    <w:p w:rsidR="000D58D8" w:rsidRDefault="000F627F">
      <w:pPr>
        <w:pStyle w:val="2"/>
        <w:spacing w:before="300" w:after="300" w:line="320" w:lineRule="exact"/>
        <w:rPr>
          <w:rFonts w:ascii="宋体" w:eastAsia="宋体" w:hAnsi="宋体" w:cs="宋体"/>
          <w:b/>
          <w:bCs/>
          <w:sz w:val="24"/>
          <w:szCs w:val="24"/>
        </w:rPr>
      </w:pPr>
      <w:bookmarkStart w:id="3" w:name="_Toc988892"/>
      <w:r>
        <w:rPr>
          <w:rFonts w:ascii="宋体" w:eastAsia="宋体" w:hAnsi="宋体" w:cs="宋体"/>
          <w:b/>
          <w:bCs/>
          <w:sz w:val="24"/>
          <w:szCs w:val="24"/>
        </w:rPr>
        <w:t>二、联系人和联系方式</w:t>
      </w:r>
      <w:bookmarkEnd w:id="3"/>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376"/>
        <w:gridCol w:w="3631"/>
        <w:gridCol w:w="3632"/>
      </w:tblGrid>
      <w:tr w:rsidR="000D58D8" w:rsidTr="000F627F">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63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董事会秘书</w:t>
            </w:r>
          </w:p>
        </w:tc>
        <w:tc>
          <w:tcPr>
            <w:tcW w:w="363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证券事务代表</w:t>
            </w:r>
          </w:p>
        </w:tc>
      </w:tr>
      <w:tr w:rsidR="000D58D8" w:rsidTr="000F627F">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姓名</w:t>
            </w:r>
          </w:p>
        </w:tc>
        <w:tc>
          <w:tcPr>
            <w:tcW w:w="363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张正</w:t>
            </w:r>
          </w:p>
        </w:tc>
        <w:tc>
          <w:tcPr>
            <w:tcW w:w="363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孙献</w:t>
            </w:r>
            <w:proofErr w:type="gramEnd"/>
          </w:p>
        </w:tc>
      </w:tr>
      <w:tr w:rsidR="000D58D8" w:rsidTr="000F627F">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联系地址</w:t>
            </w:r>
          </w:p>
        </w:tc>
        <w:tc>
          <w:tcPr>
            <w:tcW w:w="363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广东省深圳市福田区</w:t>
            </w:r>
            <w:proofErr w:type="gramStart"/>
            <w:r>
              <w:rPr>
                <w:rFonts w:ascii="宋体" w:eastAsia="宋体" w:hAnsi="宋体" w:cs="宋体"/>
                <w:sz w:val="18"/>
                <w:szCs w:val="18"/>
              </w:rPr>
              <w:t>市花路</w:t>
            </w:r>
            <w:proofErr w:type="gramEnd"/>
            <w:r>
              <w:rPr>
                <w:rFonts w:ascii="宋体" w:eastAsia="宋体" w:hAnsi="宋体" w:cs="宋体"/>
                <w:sz w:val="18"/>
                <w:szCs w:val="18"/>
              </w:rPr>
              <w:t>5号</w:t>
            </w:r>
            <w:proofErr w:type="gramStart"/>
            <w:r>
              <w:rPr>
                <w:rFonts w:ascii="宋体" w:eastAsia="宋体" w:hAnsi="宋体" w:cs="宋体"/>
                <w:sz w:val="18"/>
                <w:szCs w:val="18"/>
              </w:rPr>
              <w:t>长富金茂</w:t>
            </w:r>
            <w:proofErr w:type="gramEnd"/>
            <w:r>
              <w:rPr>
                <w:rFonts w:ascii="宋体" w:eastAsia="宋体" w:hAnsi="宋体" w:cs="宋体"/>
                <w:sz w:val="18"/>
                <w:szCs w:val="18"/>
              </w:rPr>
              <w:t>大厦59楼</w:t>
            </w:r>
          </w:p>
        </w:tc>
        <w:tc>
          <w:tcPr>
            <w:tcW w:w="363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广东省深圳市福田区</w:t>
            </w:r>
            <w:proofErr w:type="gramStart"/>
            <w:r>
              <w:rPr>
                <w:rFonts w:ascii="宋体" w:eastAsia="宋体" w:hAnsi="宋体" w:cs="宋体"/>
                <w:sz w:val="18"/>
                <w:szCs w:val="18"/>
              </w:rPr>
              <w:t>市花路</w:t>
            </w:r>
            <w:proofErr w:type="gramEnd"/>
            <w:r>
              <w:rPr>
                <w:rFonts w:ascii="宋体" w:eastAsia="宋体" w:hAnsi="宋体" w:cs="宋体"/>
                <w:sz w:val="18"/>
                <w:szCs w:val="18"/>
              </w:rPr>
              <w:t>5号</w:t>
            </w:r>
            <w:proofErr w:type="gramStart"/>
            <w:r>
              <w:rPr>
                <w:rFonts w:ascii="宋体" w:eastAsia="宋体" w:hAnsi="宋体" w:cs="宋体"/>
                <w:sz w:val="18"/>
                <w:szCs w:val="18"/>
              </w:rPr>
              <w:t>长富金茂</w:t>
            </w:r>
            <w:proofErr w:type="gramEnd"/>
            <w:r>
              <w:rPr>
                <w:rFonts w:ascii="宋体" w:eastAsia="宋体" w:hAnsi="宋体" w:cs="宋体"/>
                <w:sz w:val="18"/>
                <w:szCs w:val="18"/>
              </w:rPr>
              <w:t>大厦59楼</w:t>
            </w:r>
          </w:p>
        </w:tc>
      </w:tr>
      <w:tr w:rsidR="000D58D8" w:rsidTr="000F627F">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电话</w:t>
            </w:r>
          </w:p>
        </w:tc>
        <w:tc>
          <w:tcPr>
            <w:tcW w:w="363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0755-83735593</w:t>
            </w:r>
          </w:p>
        </w:tc>
        <w:tc>
          <w:tcPr>
            <w:tcW w:w="363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0755-83735433</w:t>
            </w:r>
          </w:p>
        </w:tc>
      </w:tr>
      <w:tr w:rsidR="000D58D8" w:rsidTr="000F627F">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传真</w:t>
            </w:r>
          </w:p>
        </w:tc>
        <w:tc>
          <w:tcPr>
            <w:tcW w:w="363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0755-83735566</w:t>
            </w:r>
          </w:p>
        </w:tc>
        <w:tc>
          <w:tcPr>
            <w:tcW w:w="363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0755-83735566</w:t>
            </w:r>
          </w:p>
        </w:tc>
      </w:tr>
      <w:tr w:rsidR="000D58D8" w:rsidTr="000F627F">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363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dongban@e-huafu.com</w:t>
            </w:r>
          </w:p>
        </w:tc>
        <w:tc>
          <w:tcPr>
            <w:tcW w:w="363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sunx@e-huafu.com</w:t>
            </w:r>
          </w:p>
        </w:tc>
      </w:tr>
    </w:tbl>
    <w:p w:rsidR="000D58D8" w:rsidRDefault="000F627F">
      <w:pPr>
        <w:pStyle w:val="2"/>
        <w:spacing w:before="300" w:after="300" w:line="320" w:lineRule="exact"/>
        <w:rPr>
          <w:rFonts w:ascii="宋体" w:eastAsia="宋体" w:hAnsi="宋体" w:cs="宋体"/>
          <w:b/>
          <w:bCs/>
          <w:sz w:val="24"/>
          <w:szCs w:val="24"/>
        </w:rPr>
      </w:pPr>
      <w:bookmarkStart w:id="4" w:name="_Toc988893"/>
      <w:r>
        <w:rPr>
          <w:rFonts w:ascii="宋体" w:eastAsia="宋体" w:hAnsi="宋体" w:cs="宋体"/>
          <w:b/>
          <w:bCs/>
          <w:sz w:val="24"/>
          <w:szCs w:val="24"/>
        </w:rPr>
        <w:t>三、信息披露及备置地点</w:t>
      </w:r>
      <w:bookmarkEnd w:id="4"/>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510"/>
        <w:gridCol w:w="6129"/>
      </w:tblGrid>
      <w:tr w:rsidR="000D58D8" w:rsidTr="000F627F">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公司披露年度报告的证券交易所网站</w:t>
            </w:r>
          </w:p>
        </w:tc>
        <w:tc>
          <w:tcPr>
            <w:tcW w:w="612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http://www.szse.cn/</w:t>
            </w:r>
          </w:p>
        </w:tc>
      </w:tr>
      <w:tr w:rsidR="000D58D8" w:rsidTr="000F627F">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公司披露年度报告的媒体名称及网址</w:t>
            </w:r>
          </w:p>
        </w:tc>
        <w:tc>
          <w:tcPr>
            <w:tcW w:w="612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《中国证券报》、《证券时报》、巨潮资讯网（http://www.cninfo.com.cn）</w:t>
            </w:r>
          </w:p>
        </w:tc>
      </w:tr>
      <w:tr w:rsidR="000D58D8" w:rsidTr="000F627F">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公司年度报告备置地点</w:t>
            </w:r>
          </w:p>
        </w:tc>
        <w:tc>
          <w:tcPr>
            <w:tcW w:w="612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公司董事会办公室</w:t>
            </w:r>
          </w:p>
        </w:tc>
      </w:tr>
    </w:tbl>
    <w:p w:rsidR="000D58D8" w:rsidRDefault="000F627F">
      <w:pPr>
        <w:pStyle w:val="2"/>
        <w:spacing w:before="300" w:after="300" w:line="320" w:lineRule="exact"/>
        <w:rPr>
          <w:rFonts w:ascii="宋体" w:eastAsia="宋体" w:hAnsi="宋体" w:cs="宋体"/>
          <w:b/>
          <w:bCs/>
          <w:sz w:val="24"/>
          <w:szCs w:val="24"/>
        </w:rPr>
      </w:pPr>
      <w:bookmarkStart w:id="5" w:name="_Toc988894"/>
      <w:r>
        <w:rPr>
          <w:rFonts w:ascii="宋体" w:eastAsia="宋体" w:hAnsi="宋体" w:cs="宋体"/>
          <w:b/>
          <w:bCs/>
          <w:sz w:val="24"/>
          <w:szCs w:val="24"/>
        </w:rPr>
        <w:t>四、注册变更情况</w:t>
      </w:r>
      <w:bookmarkEnd w:id="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510"/>
        <w:gridCol w:w="6129"/>
      </w:tblGrid>
      <w:tr w:rsidR="000D58D8" w:rsidTr="000F627F">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统一社会信用代码</w:t>
            </w:r>
          </w:p>
        </w:tc>
        <w:tc>
          <w:tcPr>
            <w:tcW w:w="612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9134060072553187XK</w:t>
            </w:r>
          </w:p>
        </w:tc>
      </w:tr>
      <w:tr w:rsidR="000D58D8" w:rsidTr="000F627F">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公司上市以来主营业务的变化情况（如有）</w:t>
            </w:r>
          </w:p>
        </w:tc>
        <w:tc>
          <w:tcPr>
            <w:tcW w:w="612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r w:rsidR="000D58D8" w:rsidTr="000F627F">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历次控股股东的变更情况（如有）</w:t>
            </w:r>
          </w:p>
        </w:tc>
        <w:tc>
          <w:tcPr>
            <w:tcW w:w="612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bl>
    <w:p w:rsidR="000D58D8" w:rsidRDefault="000F627F">
      <w:pPr>
        <w:pStyle w:val="2"/>
        <w:spacing w:before="300" w:after="300" w:line="320" w:lineRule="exact"/>
        <w:rPr>
          <w:rFonts w:ascii="宋体" w:eastAsia="宋体" w:hAnsi="宋体" w:cs="宋体"/>
          <w:b/>
          <w:bCs/>
          <w:sz w:val="24"/>
          <w:szCs w:val="24"/>
        </w:rPr>
      </w:pPr>
      <w:bookmarkStart w:id="6" w:name="_Toc988895"/>
      <w:r>
        <w:rPr>
          <w:rFonts w:ascii="宋体" w:eastAsia="宋体" w:hAnsi="宋体" w:cs="宋体"/>
          <w:b/>
          <w:bCs/>
          <w:sz w:val="24"/>
          <w:szCs w:val="24"/>
        </w:rPr>
        <w:lastRenderedPageBreak/>
        <w:t>五、其他有关资料</w:t>
      </w:r>
      <w:bookmarkEnd w:id="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公司聘请的会计师事务所</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510"/>
        <w:gridCol w:w="6129"/>
      </w:tblGrid>
      <w:tr w:rsidR="000D58D8" w:rsidTr="000F627F">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会计师事务所名称</w:t>
            </w:r>
          </w:p>
        </w:tc>
        <w:tc>
          <w:tcPr>
            <w:tcW w:w="612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深圳大华国际会计师事务所(特殊普通合伙)</w:t>
            </w:r>
          </w:p>
        </w:tc>
      </w:tr>
      <w:tr w:rsidR="000D58D8" w:rsidTr="000F627F">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会计师事务所办公地址</w:t>
            </w:r>
          </w:p>
        </w:tc>
        <w:tc>
          <w:tcPr>
            <w:tcW w:w="612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深圳市福田区莲花街道福新社区鹏程一路9号广电金融中心14F</w:t>
            </w:r>
          </w:p>
        </w:tc>
      </w:tr>
      <w:tr w:rsidR="000D58D8" w:rsidTr="000F627F">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签字会计师姓名</w:t>
            </w:r>
          </w:p>
        </w:tc>
        <w:tc>
          <w:tcPr>
            <w:tcW w:w="612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陈磊、张吉宝</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公司聘请的报告期内履行持续督导职责的保荐机构</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公司聘请的报告期内履行持续督导职责的财务顾问</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2"/>
        <w:spacing w:before="300" w:after="300" w:line="320" w:lineRule="exact"/>
        <w:rPr>
          <w:rFonts w:ascii="宋体" w:eastAsia="宋体" w:hAnsi="宋体" w:cs="宋体"/>
          <w:b/>
          <w:bCs/>
          <w:sz w:val="24"/>
          <w:szCs w:val="24"/>
        </w:rPr>
      </w:pPr>
      <w:bookmarkStart w:id="7" w:name="_Toc988896"/>
      <w:r>
        <w:rPr>
          <w:rFonts w:ascii="宋体" w:eastAsia="宋体" w:hAnsi="宋体" w:cs="宋体"/>
          <w:b/>
          <w:bCs/>
          <w:sz w:val="24"/>
          <w:szCs w:val="24"/>
        </w:rPr>
        <w:t>六、主要会计数据和财务指标</w:t>
      </w:r>
      <w:bookmarkEnd w:id="7"/>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376"/>
        <w:gridCol w:w="1843"/>
        <w:gridCol w:w="1843"/>
        <w:gridCol w:w="1701"/>
        <w:gridCol w:w="1876"/>
      </w:tblGrid>
      <w:tr w:rsidR="000D58D8" w:rsidTr="000F627F">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本年比上年增减</w:t>
            </w:r>
          </w:p>
        </w:tc>
        <w:tc>
          <w:tcPr>
            <w:tcW w:w="1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2021年</w:t>
            </w:r>
          </w:p>
        </w:tc>
      </w:tr>
      <w:tr w:rsidR="000D58D8" w:rsidTr="000F627F">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营业收入（元）</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13,663,469,325.68</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14,459,640,227.88</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-5.51%</w:t>
            </w:r>
          </w:p>
        </w:tc>
        <w:tc>
          <w:tcPr>
            <w:tcW w:w="1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16,708,437,212.10</w:t>
            </w:r>
          </w:p>
        </w:tc>
      </w:tr>
      <w:tr w:rsidR="000D58D8" w:rsidTr="000F627F">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66,782,080.49</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-350,313,894.56</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119.06%</w:t>
            </w:r>
          </w:p>
        </w:tc>
        <w:tc>
          <w:tcPr>
            <w:tcW w:w="1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569,742,293.45</w:t>
            </w:r>
          </w:p>
        </w:tc>
      </w:tr>
      <w:tr w:rsidR="000D58D8" w:rsidTr="000F627F">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-249,951,638.68</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-372,993,668.96</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32.99%</w:t>
            </w:r>
          </w:p>
        </w:tc>
        <w:tc>
          <w:tcPr>
            <w:tcW w:w="1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352,080,653.04</w:t>
            </w:r>
          </w:p>
        </w:tc>
      </w:tr>
      <w:tr w:rsidR="000D58D8" w:rsidTr="000F627F">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857,773,221.39</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892,963,119.78</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-3.94%</w:t>
            </w:r>
          </w:p>
        </w:tc>
        <w:tc>
          <w:tcPr>
            <w:tcW w:w="1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719,880,146.08</w:t>
            </w:r>
          </w:p>
        </w:tc>
      </w:tr>
      <w:tr w:rsidR="000D58D8" w:rsidTr="000F627F">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基本每股收益（元/股）</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-0.21</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119.05%</w:t>
            </w:r>
          </w:p>
        </w:tc>
        <w:tc>
          <w:tcPr>
            <w:tcW w:w="1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0.38</w:t>
            </w:r>
          </w:p>
        </w:tc>
      </w:tr>
      <w:tr w:rsidR="000D58D8" w:rsidTr="000F627F">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稀释每股收益（元/股）</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-0.21</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119.05%</w:t>
            </w:r>
          </w:p>
        </w:tc>
        <w:tc>
          <w:tcPr>
            <w:tcW w:w="1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0.38</w:t>
            </w:r>
          </w:p>
        </w:tc>
      </w:tr>
      <w:tr w:rsidR="000D58D8" w:rsidTr="000F627F">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-5.09%</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6.16%</w:t>
            </w:r>
          </w:p>
        </w:tc>
        <w:tc>
          <w:tcPr>
            <w:tcW w:w="1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9.24%</w:t>
            </w:r>
          </w:p>
        </w:tc>
      </w:tr>
      <w:tr w:rsidR="000D58D8" w:rsidTr="000F627F">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2023年末</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2022年末</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本年末比上年末增减</w:t>
            </w:r>
          </w:p>
        </w:tc>
        <w:tc>
          <w:tcPr>
            <w:tcW w:w="1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2021年末</w:t>
            </w:r>
          </w:p>
        </w:tc>
      </w:tr>
      <w:tr w:rsidR="000D58D8" w:rsidTr="000F627F">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总资产（元）</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17,041,273,022.84</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18,144,000,776.77</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-6.08%</w:t>
            </w:r>
          </w:p>
        </w:tc>
        <w:tc>
          <w:tcPr>
            <w:tcW w:w="1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20,138,185,868.88</w:t>
            </w:r>
          </w:p>
        </w:tc>
      </w:tr>
      <w:tr w:rsidR="000D58D8" w:rsidTr="000F627F">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归属于上市公司股东的净资产（元）</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6,156,565,539.90</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6,292,682,730.29</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-2.16%</w:t>
            </w:r>
          </w:p>
        </w:tc>
        <w:tc>
          <w:tcPr>
            <w:tcW w:w="1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7,009,197,204.12</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公司最近三个会计年度扣除非经常性损益</w:t>
      </w:r>
      <w:proofErr w:type="gramStart"/>
      <w:r>
        <w:rPr>
          <w:rFonts w:ascii="宋体" w:eastAsia="宋体" w:hAnsi="宋体" w:cs="宋体"/>
          <w:sz w:val="18"/>
          <w:szCs w:val="18"/>
        </w:rPr>
        <w:t>前后净</w:t>
      </w:r>
      <w:proofErr w:type="gramEnd"/>
      <w:r>
        <w:rPr>
          <w:rFonts w:ascii="宋体" w:eastAsia="宋体" w:hAnsi="宋体" w:cs="宋体"/>
          <w:sz w:val="18"/>
          <w:szCs w:val="18"/>
        </w:rPr>
        <w:t>利润孰低者均为负值，且最近一年审计报告显示公司持续经营能力存在不确定性</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扣除非经常损益前后的净利润孰低者为负值</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备注</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营业收入（元）</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13,663,469,325.68</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14,459,640,227.88</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营业收入</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营业收入扣除金额（元）</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44,032,324.44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103,545,065.90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其他业务收入</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营业收入扣除后金额（元）</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13,619,437,001.24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14,356,095,161.98</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主营收入</w:t>
            </w:r>
          </w:p>
        </w:tc>
      </w:tr>
    </w:tbl>
    <w:p w:rsidR="000D58D8" w:rsidRDefault="000F627F">
      <w:pPr>
        <w:pStyle w:val="2"/>
        <w:spacing w:before="300" w:after="300" w:line="320" w:lineRule="exact"/>
        <w:rPr>
          <w:rFonts w:ascii="宋体" w:eastAsia="宋体" w:hAnsi="宋体" w:cs="宋体"/>
          <w:b/>
          <w:bCs/>
          <w:sz w:val="24"/>
          <w:szCs w:val="24"/>
        </w:rPr>
      </w:pPr>
      <w:bookmarkStart w:id="8" w:name="_Toc988897"/>
      <w:r>
        <w:rPr>
          <w:rFonts w:ascii="宋体" w:eastAsia="宋体" w:hAnsi="宋体" w:cs="宋体"/>
          <w:b/>
          <w:bCs/>
          <w:sz w:val="24"/>
          <w:szCs w:val="24"/>
        </w:rPr>
        <w:lastRenderedPageBreak/>
        <w:t>七、境内外会计准则下会计数据差异</w:t>
      </w:r>
      <w:bookmarkEnd w:id="8"/>
    </w:p>
    <w:p w:rsidR="000D58D8" w:rsidRDefault="000F627F">
      <w:pPr>
        <w:pStyle w:val="3"/>
        <w:spacing w:line="280" w:lineRule="exact"/>
        <w:jc w:val="left"/>
        <w:rPr>
          <w:rFonts w:ascii="宋体" w:hAnsi="宋体" w:cs="宋体"/>
          <w:b/>
          <w:bCs/>
        </w:rPr>
      </w:pPr>
      <w:bookmarkStart w:id="9" w:name="_Toc988898"/>
      <w:r>
        <w:rPr>
          <w:rFonts w:ascii="宋体" w:hAnsi="宋体" w:cs="宋体"/>
          <w:b/>
          <w:bCs/>
        </w:rPr>
        <w:t>1、同时按照国际会计准则与按照中国会计准则披露的财务</w:t>
      </w:r>
      <w:proofErr w:type="gramStart"/>
      <w:r>
        <w:rPr>
          <w:rFonts w:ascii="宋体" w:hAnsi="宋体" w:cs="宋体"/>
          <w:b/>
          <w:bCs/>
        </w:rPr>
        <w:t>报告中净利润</w:t>
      </w:r>
      <w:proofErr w:type="gramEnd"/>
      <w:r>
        <w:rPr>
          <w:rFonts w:ascii="宋体" w:hAnsi="宋体" w:cs="宋体"/>
          <w:b/>
          <w:bCs/>
        </w:rPr>
        <w:t>和净资产差异情况</w:t>
      </w:r>
      <w:bookmarkEnd w:id="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公司报告期不存在按照国际会计准则与按照中国会计准则披露的财务</w:t>
      </w:r>
      <w:proofErr w:type="gramStart"/>
      <w:r>
        <w:rPr>
          <w:rFonts w:ascii="宋体" w:eastAsia="宋体" w:hAnsi="宋体" w:cs="宋体"/>
          <w:sz w:val="18"/>
          <w:szCs w:val="18"/>
        </w:rPr>
        <w:t>报告中净利润</w:t>
      </w:r>
      <w:proofErr w:type="gramEnd"/>
      <w:r>
        <w:rPr>
          <w:rFonts w:ascii="宋体" w:eastAsia="宋体" w:hAnsi="宋体" w:cs="宋体"/>
          <w:sz w:val="18"/>
          <w:szCs w:val="18"/>
        </w:rPr>
        <w:t>和净资产差异情况。</w:t>
      </w:r>
    </w:p>
    <w:p w:rsidR="000D58D8" w:rsidRDefault="000F627F">
      <w:pPr>
        <w:pStyle w:val="3"/>
        <w:spacing w:line="280" w:lineRule="exact"/>
        <w:jc w:val="left"/>
        <w:rPr>
          <w:rFonts w:ascii="宋体" w:hAnsi="宋体" w:cs="宋体"/>
          <w:b/>
          <w:bCs/>
        </w:rPr>
      </w:pPr>
      <w:bookmarkStart w:id="10" w:name="_Toc988899"/>
      <w:r>
        <w:rPr>
          <w:rFonts w:ascii="宋体" w:hAnsi="宋体" w:cs="宋体"/>
          <w:b/>
          <w:bCs/>
        </w:rPr>
        <w:t>2、同时按照境外会计准则与按照中国会计准则披露的财务</w:t>
      </w:r>
      <w:proofErr w:type="gramStart"/>
      <w:r>
        <w:rPr>
          <w:rFonts w:ascii="宋体" w:hAnsi="宋体" w:cs="宋体"/>
          <w:b/>
          <w:bCs/>
        </w:rPr>
        <w:t>报告中净利润</w:t>
      </w:r>
      <w:proofErr w:type="gramEnd"/>
      <w:r>
        <w:rPr>
          <w:rFonts w:ascii="宋体" w:hAnsi="宋体" w:cs="宋体"/>
          <w:b/>
          <w:bCs/>
        </w:rPr>
        <w:t>和净资产差异情况</w:t>
      </w:r>
      <w:bookmarkEnd w:id="1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公司报告期不存在按照境外会计准则与按照中国会计准则披露的财务</w:t>
      </w:r>
      <w:proofErr w:type="gramStart"/>
      <w:r>
        <w:rPr>
          <w:rFonts w:ascii="宋体" w:eastAsia="宋体" w:hAnsi="宋体" w:cs="宋体"/>
          <w:sz w:val="18"/>
          <w:szCs w:val="18"/>
        </w:rPr>
        <w:t>报告中净利润</w:t>
      </w:r>
      <w:proofErr w:type="gramEnd"/>
      <w:r>
        <w:rPr>
          <w:rFonts w:ascii="宋体" w:eastAsia="宋体" w:hAnsi="宋体" w:cs="宋体"/>
          <w:sz w:val="18"/>
          <w:szCs w:val="18"/>
        </w:rPr>
        <w:t>和净资产差异情况。</w:t>
      </w:r>
    </w:p>
    <w:p w:rsidR="000D58D8" w:rsidRDefault="000F627F">
      <w:pPr>
        <w:pStyle w:val="2"/>
        <w:spacing w:before="300" w:after="300" w:line="320" w:lineRule="exact"/>
        <w:rPr>
          <w:rFonts w:ascii="宋体" w:eastAsia="宋体" w:hAnsi="宋体" w:cs="宋体"/>
          <w:b/>
          <w:bCs/>
          <w:sz w:val="24"/>
          <w:szCs w:val="24"/>
        </w:rPr>
      </w:pPr>
      <w:bookmarkStart w:id="11" w:name="_Toc988900"/>
      <w:r>
        <w:rPr>
          <w:rFonts w:ascii="宋体" w:eastAsia="宋体" w:hAnsi="宋体" w:cs="宋体"/>
          <w:b/>
          <w:bCs/>
          <w:sz w:val="24"/>
          <w:szCs w:val="24"/>
        </w:rPr>
        <w:t>八、分季度主要财务指标</w:t>
      </w:r>
      <w:bookmarkEnd w:id="11"/>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第一季度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第二季度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第三季度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第四季度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4,532,846,687.35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3,220,080,025.46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3,299,910,483.59</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2,610,632,129.28</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51,972,113.03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29,430,734.75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3,534,924.94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-18,155,692.22</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49,839,611.97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14,826,856.57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-42,680,117.96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-271,937,989.26</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429,659,649.05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1,095,061,910.07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185,737,965.53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-852,686,303.26</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上述财务指标或其加总数是否与公司已披露季度报告、半年度报告相关财务指标存在重大差异</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pStyle w:val="2"/>
        <w:spacing w:before="300" w:after="300" w:line="320" w:lineRule="exact"/>
        <w:rPr>
          <w:rFonts w:ascii="宋体" w:eastAsia="宋体" w:hAnsi="宋体" w:cs="宋体"/>
          <w:b/>
          <w:bCs/>
          <w:sz w:val="24"/>
          <w:szCs w:val="24"/>
        </w:rPr>
      </w:pPr>
      <w:bookmarkStart w:id="12" w:name="_Toc988901"/>
      <w:r>
        <w:rPr>
          <w:rFonts w:ascii="宋体" w:eastAsia="宋体" w:hAnsi="宋体" w:cs="宋体"/>
          <w:b/>
          <w:bCs/>
          <w:sz w:val="24"/>
          <w:szCs w:val="24"/>
        </w:rPr>
        <w:t>九、非经常性损益项目及金额</w:t>
      </w:r>
      <w:bookmarkEnd w:id="12"/>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936"/>
        <w:gridCol w:w="1653"/>
        <w:gridCol w:w="1654"/>
        <w:gridCol w:w="1654"/>
        <w:gridCol w:w="742"/>
      </w:tblGrid>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5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2023年金额</w:t>
            </w:r>
          </w:p>
        </w:tc>
        <w:tc>
          <w:tcPr>
            <w:tcW w:w="165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2022年金额</w:t>
            </w:r>
          </w:p>
        </w:tc>
        <w:tc>
          <w:tcPr>
            <w:tcW w:w="165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2021年金额</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说明</w:t>
            </w:r>
          </w:p>
        </w:tc>
      </w:tr>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非流动性资产处置损益（包括已计提资产减值准备的冲销部分）</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174,483,688.35</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134,889,353.12</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158,494,779.81</w:t>
            </w:r>
          </w:p>
        </w:tc>
        <w:tc>
          <w:tcPr>
            <w:tcW w:w="74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计入当期损益的政府补助（与公司正常经营业务密切相关，符合国家政策规定、按照确定的标准享有、对公司损益产生持续影响的政府补助除外）</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199,259,485.30</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42,787,972.51</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24,996,163.19</w:t>
            </w:r>
          </w:p>
        </w:tc>
        <w:tc>
          <w:tcPr>
            <w:tcW w:w="74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除同公司正常经营业务相关的有效套期保值业务外，非金融企业持有金融资产和金融负债产生的公允价值变动损益以及处置金融资产和金融负债产生的损益</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-16,425,097.75</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-169,091,128.50</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72,171,658.79</w:t>
            </w:r>
          </w:p>
        </w:tc>
        <w:tc>
          <w:tcPr>
            <w:tcW w:w="74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计入当期损益的对非金融企业收取的资金占用费</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3,124,927.78</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2,173,720.00</w:t>
            </w:r>
          </w:p>
        </w:tc>
        <w:tc>
          <w:tcPr>
            <w:tcW w:w="74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委托他人投资或管理资产的损益</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7,098,457.97</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15,969,679.54</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9,171,498.65</w:t>
            </w:r>
          </w:p>
        </w:tc>
        <w:tc>
          <w:tcPr>
            <w:tcW w:w="74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单独进行减值测试的应收款项减值准备转回</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-2,583,115.46</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3,735,796.41</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6,394,606.07</w:t>
            </w:r>
          </w:p>
        </w:tc>
        <w:tc>
          <w:tcPr>
            <w:tcW w:w="74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与公司正常经营业务无关的或有事项产生的损</w:t>
            </w:r>
            <w:r>
              <w:rPr>
                <w:rFonts w:ascii="宋体" w:eastAsia="宋体" w:hAnsi="宋体" w:cs="宋体"/>
                <w:sz w:val="18"/>
                <w:szCs w:val="18"/>
              </w:rPr>
              <w:lastRenderedPageBreak/>
              <w:t>益</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-25,607,876.65</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除上述各项之外的其他营业外收入和支出</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11,050,464.90</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44,778,654.05</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13,851,149.99</w:t>
            </w:r>
          </w:p>
        </w:tc>
        <w:tc>
          <w:tcPr>
            <w:tcW w:w="74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减：所得税影响额</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51,429,960.93</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22,095,551.19</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55,132,579.43</w:t>
            </w:r>
          </w:p>
        </w:tc>
        <w:tc>
          <w:tcPr>
            <w:tcW w:w="74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少数股东权益影响额（税后）</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4,720,203.21</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5,812,052.67</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14,459,356.66</w:t>
            </w:r>
          </w:p>
        </w:tc>
        <w:tc>
          <w:tcPr>
            <w:tcW w:w="74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F627F">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316,733,719.17</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22,679,774.40</w:t>
            </w:r>
          </w:p>
        </w:tc>
        <w:tc>
          <w:tcPr>
            <w:tcW w:w="165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217,661,640.41</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shd w:val="clear" w:color="auto" w:fill="D3D3D3"/>
              </w:rPr>
            </w:pPr>
            <w:r>
              <w:rPr>
                <w:rFonts w:ascii="宋体" w:eastAsia="宋体" w:hAnsi="宋体" w:cs="宋体"/>
                <w:sz w:val="18"/>
                <w:szCs w:val="18"/>
                <w:shd w:val="clear" w:color="auto" w:fill="D3D3D3"/>
              </w:rPr>
              <w:t>--</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公司不存在将《公开发行证券的公司信息披露解释性公告第1号——非经常性损益》中列举的非经常性损益项目界定为经常性损益的项目的情形。</w:t>
      </w:r>
    </w:p>
    <w:p w:rsidR="000D58D8" w:rsidRDefault="000F627F">
      <w:r>
        <w:br w:type="page"/>
      </w:r>
    </w:p>
    <w:p w:rsidR="000D58D8" w:rsidRDefault="000F627F">
      <w:pPr>
        <w:pStyle w:val="headingh1"/>
        <w:spacing w:before="340" w:after="330" w:line="773" w:lineRule="exact"/>
        <w:jc w:val="center"/>
        <w:rPr>
          <w:rFonts w:ascii="宋体" w:eastAsia="宋体" w:hAnsi="宋体" w:cs="宋体"/>
          <w:b/>
          <w:bCs/>
          <w:sz w:val="32"/>
          <w:szCs w:val="32"/>
        </w:rPr>
      </w:pPr>
      <w:bookmarkStart w:id="13" w:name="_Toc988902"/>
      <w:r>
        <w:rPr>
          <w:rFonts w:ascii="宋体" w:eastAsia="宋体" w:hAnsi="宋体" w:cs="宋体"/>
          <w:b/>
          <w:bCs/>
          <w:sz w:val="32"/>
          <w:szCs w:val="32"/>
        </w:rPr>
        <w:lastRenderedPageBreak/>
        <w:t>第三节 管理</w:t>
      </w:r>
      <w:proofErr w:type="gramStart"/>
      <w:r>
        <w:rPr>
          <w:rFonts w:ascii="宋体" w:eastAsia="宋体" w:hAnsi="宋体" w:cs="宋体"/>
          <w:b/>
          <w:bCs/>
          <w:sz w:val="32"/>
          <w:szCs w:val="32"/>
        </w:rPr>
        <w:t>层讨论</w:t>
      </w:r>
      <w:proofErr w:type="gramEnd"/>
      <w:r>
        <w:rPr>
          <w:rFonts w:ascii="宋体" w:eastAsia="宋体" w:hAnsi="宋体" w:cs="宋体"/>
          <w:b/>
          <w:bCs/>
          <w:sz w:val="32"/>
          <w:szCs w:val="32"/>
        </w:rPr>
        <w:t>与分析</w:t>
      </w:r>
      <w:bookmarkEnd w:id="13"/>
    </w:p>
    <w:p w:rsidR="000D58D8" w:rsidRDefault="000F627F">
      <w:pPr>
        <w:pStyle w:val="2"/>
        <w:spacing w:before="300" w:after="300" w:line="320" w:lineRule="exact"/>
        <w:rPr>
          <w:rFonts w:ascii="宋体" w:eastAsia="宋体" w:hAnsi="宋体" w:cs="宋体"/>
          <w:b/>
          <w:bCs/>
          <w:sz w:val="24"/>
          <w:szCs w:val="24"/>
        </w:rPr>
      </w:pPr>
      <w:bookmarkStart w:id="14" w:name="_Toc988903"/>
      <w:r>
        <w:rPr>
          <w:rFonts w:ascii="宋体" w:eastAsia="宋体" w:hAnsi="宋体" w:cs="宋体"/>
          <w:b/>
          <w:bCs/>
          <w:sz w:val="24"/>
          <w:szCs w:val="24"/>
        </w:rPr>
        <w:t>一、报告期内公司所处行业情况</w:t>
      </w:r>
      <w:bookmarkEnd w:id="14"/>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公司需遵守《深圳证券交易所上市公司自律监管指引第3号——行业信息披露》中纺织服装相关业的披露要求</w:t>
      </w:r>
    </w:p>
    <w:p w:rsidR="000F627F" w:rsidRDefault="000F627F">
      <w:pPr>
        <w:pStyle w:val="a3"/>
        <w:spacing w:before="0" w:beforeAutospacing="0" w:after="0" w:afterAutospacing="0"/>
        <w:ind w:firstLine="420"/>
        <w:jc w:val="both"/>
        <w:divId w:val="1753887192"/>
      </w:pPr>
      <w:r>
        <w:rPr>
          <w:rFonts w:hint="eastAsia"/>
          <w:sz w:val="18"/>
          <w:szCs w:val="18"/>
        </w:rPr>
        <w:t>2023年，受外部环境复杂等因素影响，我国纺织行业产销形势总体较为严峻，企业生产经营压力有所加大，行业运营质效承压。2023年规模以上纺织企业工业增加值同比下降1.2%，营业收入47009亿元，同比下降0.8%；利润总额1802亿元，同比增长7.2%。规模以上企业纱、布、服装产量同比分别下降2.2%、4.8%、8.7%，化纤产量同比增长10.3%。</w:t>
      </w:r>
    </w:p>
    <w:p w:rsidR="000F627F" w:rsidRDefault="000F627F">
      <w:pPr>
        <w:pStyle w:val="a3"/>
        <w:spacing w:before="0" w:beforeAutospacing="0" w:after="0" w:afterAutospacing="0"/>
        <w:ind w:firstLine="420"/>
        <w:jc w:val="both"/>
        <w:divId w:val="1753887192"/>
      </w:pPr>
      <w:r>
        <w:rPr>
          <w:rFonts w:hint="eastAsia"/>
          <w:sz w:val="18"/>
          <w:szCs w:val="18"/>
        </w:rPr>
        <w:t>受外需收缩、内需增长乏力、成本上涨等因素影响，我国服装行业生产规模有所下降，工业增加值持续负增长。2023年1-12月，服装行业规模以上企业工业增加值同比下降7.6%，比2022年同期加深5.7个百分点。2023年，在扩内需促消费政策落地显效等因素的有力拉动，我国服装内销市场消费需求逐渐释放，我国限额以上单位服装类商品零售额累计10352.9亿元，同比增长15.4%。</w:t>
      </w:r>
    </w:p>
    <w:p w:rsidR="000F627F" w:rsidRDefault="000F627F">
      <w:pPr>
        <w:pStyle w:val="a3"/>
        <w:spacing w:before="0" w:beforeAutospacing="0" w:after="0" w:afterAutospacing="0"/>
        <w:ind w:firstLine="420"/>
        <w:jc w:val="both"/>
        <w:divId w:val="1753887192"/>
      </w:pPr>
      <w:r>
        <w:rPr>
          <w:rFonts w:hint="eastAsia"/>
          <w:sz w:val="18"/>
          <w:szCs w:val="18"/>
        </w:rPr>
        <w:t>2023年我国服装出口延续了去年四季度增速放缓的态势，出口下行压力加大，出口规模明显下降。2023年全年我国纺织品服装累计出口2936亿美元，同比下降8.1%。从主要市场来看，我国对美国、欧盟和日本服装出口延续下降态势，对东盟服装出口呈先增后降趋势，对非洲和一带一路沿线国家和地区服装出口逆势增长。</w:t>
      </w:r>
    </w:p>
    <w:p w:rsidR="000D58D8" w:rsidRDefault="000F627F">
      <w:pPr>
        <w:pStyle w:val="2"/>
        <w:spacing w:before="300" w:after="300" w:line="320" w:lineRule="exact"/>
        <w:rPr>
          <w:rFonts w:ascii="宋体" w:eastAsia="宋体" w:hAnsi="宋体" w:cs="宋体"/>
          <w:b/>
          <w:bCs/>
          <w:sz w:val="24"/>
          <w:szCs w:val="24"/>
        </w:rPr>
      </w:pPr>
      <w:bookmarkStart w:id="15" w:name="_Toc988904"/>
      <w:r>
        <w:rPr>
          <w:rFonts w:ascii="宋体" w:eastAsia="宋体" w:hAnsi="宋体" w:cs="宋体"/>
          <w:b/>
          <w:bCs/>
          <w:sz w:val="24"/>
          <w:szCs w:val="24"/>
        </w:rPr>
        <w:t>二、报告期内公司从事的主要业务</w:t>
      </w:r>
      <w:bookmarkEnd w:id="15"/>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公司需遵守《深圳证券交易所上市公司自律监管指引第3号——行业信息披露》中纺织服装相关业的披露要求</w:t>
      </w:r>
    </w:p>
    <w:p w:rsidR="000F627F" w:rsidRDefault="000F627F">
      <w:pPr>
        <w:pStyle w:val="a3"/>
        <w:spacing w:before="0" w:beforeAutospacing="0" w:after="0" w:afterAutospacing="0"/>
        <w:ind w:firstLine="420"/>
        <w:jc w:val="both"/>
        <w:divId w:val="1182547318"/>
      </w:pPr>
      <w:r>
        <w:rPr>
          <w:rFonts w:hint="eastAsia"/>
          <w:sz w:val="18"/>
          <w:szCs w:val="18"/>
        </w:rPr>
        <w:t>1、公司的主要业务</w:t>
      </w:r>
    </w:p>
    <w:p w:rsidR="000F627F" w:rsidRDefault="000F627F">
      <w:pPr>
        <w:pStyle w:val="a3"/>
        <w:spacing w:before="0" w:beforeAutospacing="0" w:after="0" w:afterAutospacing="0"/>
        <w:ind w:firstLine="420"/>
        <w:jc w:val="both"/>
        <w:divId w:val="1182547318"/>
      </w:pPr>
      <w:r>
        <w:rPr>
          <w:rFonts w:hint="eastAsia"/>
          <w:sz w:val="18"/>
          <w:szCs w:val="18"/>
        </w:rPr>
        <w:t>公司作为全球最大的色纺纱制造商和供应商之一，主营中高档色纺纱线，配套提供高档新型的坯纱、染色纱，同时提供流行趋势、原料与产品认证、技术咨询等增值服务。通过色彩、材质、工艺技术的集成创新，为客户提供优质的产品和服务。公司在坚持主业的同时，共享产业，以纱线贯通纺织服装产业，整合棉花种植、棉花加工、仓储物流、花纱交易、</w:t>
      </w:r>
      <w:proofErr w:type="gramStart"/>
      <w:r>
        <w:rPr>
          <w:rFonts w:hint="eastAsia"/>
          <w:sz w:val="18"/>
          <w:szCs w:val="18"/>
        </w:rPr>
        <w:t>纺服供应</w:t>
      </w:r>
      <w:proofErr w:type="gramEnd"/>
      <w:r>
        <w:rPr>
          <w:rFonts w:hint="eastAsia"/>
          <w:sz w:val="18"/>
          <w:szCs w:val="18"/>
        </w:rPr>
        <w:t>链，实现前后端产业贯通，致力成为全球纺织服装产业时尚营运商。</w:t>
      </w:r>
    </w:p>
    <w:p w:rsidR="000F627F" w:rsidRDefault="000F627F">
      <w:pPr>
        <w:pStyle w:val="a3"/>
        <w:spacing w:before="0" w:beforeAutospacing="0" w:after="0" w:afterAutospacing="0"/>
        <w:ind w:firstLine="420"/>
        <w:jc w:val="both"/>
        <w:divId w:val="1182547318"/>
      </w:pPr>
      <w:r>
        <w:rPr>
          <w:rFonts w:hint="eastAsia"/>
          <w:sz w:val="18"/>
          <w:szCs w:val="18"/>
        </w:rPr>
        <w:t>2、经营模式</w:t>
      </w:r>
    </w:p>
    <w:p w:rsidR="000F627F" w:rsidRDefault="000F627F">
      <w:pPr>
        <w:pStyle w:val="a3"/>
        <w:spacing w:before="0" w:beforeAutospacing="0" w:after="0" w:afterAutospacing="0"/>
        <w:ind w:firstLine="420"/>
        <w:jc w:val="both"/>
        <w:divId w:val="1182547318"/>
      </w:pPr>
      <w:r>
        <w:rPr>
          <w:rFonts w:hint="eastAsia"/>
          <w:sz w:val="18"/>
          <w:szCs w:val="18"/>
        </w:rPr>
        <w:t>主营纱线方面，目前纱线产能206万锭，年产29万吨新型纱线，生产基地覆盖中国东部和新疆、越南等地。公司通过产业链协同，统筹市场及订单信息，制定“点（产地）对点（客户）”的供应链计划，分区域、分工厂、分生产线进行规模化定制，公司坚持以客户为本，品质至上，以趋势为方向，通过产品创新提升产品品质及附加值，赢得了客户的信赖。</w:t>
      </w:r>
    </w:p>
    <w:p w:rsidR="000F627F" w:rsidRDefault="000F627F">
      <w:pPr>
        <w:pStyle w:val="a3"/>
        <w:spacing w:before="0" w:beforeAutospacing="0" w:after="0" w:afterAutospacing="0"/>
        <w:ind w:firstLine="420"/>
        <w:jc w:val="both"/>
        <w:divId w:val="1182547318"/>
      </w:pPr>
      <w:proofErr w:type="gramStart"/>
      <w:r>
        <w:rPr>
          <w:rFonts w:hint="eastAsia"/>
          <w:sz w:val="18"/>
          <w:szCs w:val="18"/>
        </w:rPr>
        <w:t>前端网链</w:t>
      </w:r>
      <w:proofErr w:type="gramEnd"/>
      <w:r>
        <w:rPr>
          <w:rFonts w:hint="eastAsia"/>
          <w:sz w:val="18"/>
          <w:szCs w:val="18"/>
        </w:rPr>
        <w:t>以“棉花加工（含农业、物流）、棉花贸易和棉花金融投资”作为核心业务；后端网</w:t>
      </w:r>
      <w:proofErr w:type="gramStart"/>
      <w:r>
        <w:rPr>
          <w:rFonts w:hint="eastAsia"/>
          <w:sz w:val="18"/>
          <w:szCs w:val="18"/>
        </w:rPr>
        <w:t>链目前</w:t>
      </w:r>
      <w:proofErr w:type="gramEnd"/>
      <w:r>
        <w:rPr>
          <w:rFonts w:hint="eastAsia"/>
          <w:sz w:val="18"/>
          <w:szCs w:val="18"/>
        </w:rPr>
        <w:t>已经设立阿大数智互联袜业平台，包括自主品牌经营、品牌授权经营、贴</w:t>
      </w:r>
      <w:proofErr w:type="gramStart"/>
      <w:r>
        <w:rPr>
          <w:rFonts w:hint="eastAsia"/>
          <w:sz w:val="18"/>
          <w:szCs w:val="18"/>
        </w:rPr>
        <w:t>牌业务</w:t>
      </w:r>
      <w:proofErr w:type="gramEnd"/>
      <w:r>
        <w:rPr>
          <w:rFonts w:hint="eastAsia"/>
          <w:sz w:val="18"/>
          <w:szCs w:val="18"/>
        </w:rPr>
        <w:t>经营、纱线经营等业务模式。</w:t>
      </w:r>
    </w:p>
    <w:p w:rsidR="000F627F" w:rsidRDefault="000F627F">
      <w:pPr>
        <w:pStyle w:val="a3"/>
        <w:spacing w:before="0" w:beforeAutospacing="0" w:after="0" w:afterAutospacing="0"/>
        <w:ind w:firstLine="420"/>
        <w:jc w:val="both"/>
        <w:divId w:val="1182547318"/>
      </w:pPr>
      <w:r>
        <w:rPr>
          <w:rFonts w:hint="eastAsia"/>
          <w:sz w:val="18"/>
          <w:szCs w:val="18"/>
        </w:rPr>
        <w:t>3、主营业务分析</w:t>
      </w:r>
    </w:p>
    <w:p w:rsidR="000F627F" w:rsidRDefault="000F627F">
      <w:pPr>
        <w:pStyle w:val="a3"/>
        <w:spacing w:before="0" w:beforeAutospacing="0" w:after="0" w:afterAutospacing="0"/>
        <w:ind w:firstLine="420"/>
        <w:jc w:val="both"/>
        <w:divId w:val="1182547318"/>
      </w:pPr>
      <w:r>
        <w:rPr>
          <w:rFonts w:hint="eastAsia"/>
          <w:sz w:val="18"/>
          <w:szCs w:val="18"/>
        </w:rPr>
        <w:t>报告期内，公司实现营业收入136.6亿元，同比下降5.51%，</w:t>
      </w:r>
      <w:proofErr w:type="gramStart"/>
      <w:r>
        <w:rPr>
          <w:rFonts w:hint="eastAsia"/>
          <w:sz w:val="18"/>
          <w:szCs w:val="18"/>
        </w:rPr>
        <w:t>归母净利润</w:t>
      </w:r>
      <w:proofErr w:type="gramEnd"/>
      <w:r>
        <w:rPr>
          <w:rFonts w:hint="eastAsia"/>
          <w:sz w:val="18"/>
          <w:szCs w:val="18"/>
        </w:rPr>
        <w:t>6678万元，同比由亏转盈。2023年，纺织行业面临的外部环境复杂严峻，国内疫后消费复苏乏力，地缘政治冲突、大国博弈加剧等导致原料价格波动、海外需求萎缩、内生动力不足、国际订单转移，行业运营质效承压。公司积极攻坚克难，抓住市场结构性增长的机会，创新求变，整体出现边际改善。</w:t>
      </w:r>
    </w:p>
    <w:p w:rsidR="000F627F" w:rsidRDefault="000F627F">
      <w:pPr>
        <w:pStyle w:val="a3"/>
        <w:spacing w:before="0" w:beforeAutospacing="0" w:after="0" w:afterAutospacing="0"/>
        <w:ind w:firstLine="420"/>
        <w:jc w:val="both"/>
        <w:divId w:val="1182547318"/>
      </w:pPr>
      <w:r>
        <w:rPr>
          <w:rFonts w:hint="eastAsia"/>
          <w:sz w:val="18"/>
          <w:szCs w:val="18"/>
        </w:rPr>
        <w:t xml:space="preserve">公司持续拓展内循环市场空间，深度挖掘国内供应链客户，抓住产业集中度提升机会，围绕功能科技、时尚快反、可持续发展、高质量发展四条主线，多品类拓展市场。 </w:t>
      </w:r>
    </w:p>
    <w:p w:rsidR="000F627F" w:rsidRDefault="000F627F">
      <w:pPr>
        <w:pStyle w:val="a3"/>
        <w:spacing w:before="0" w:beforeAutospacing="0" w:after="0" w:afterAutospacing="0"/>
        <w:ind w:firstLine="420"/>
        <w:jc w:val="both"/>
        <w:divId w:val="1182547318"/>
      </w:pPr>
      <w:r>
        <w:rPr>
          <w:rFonts w:hint="eastAsia"/>
          <w:sz w:val="18"/>
          <w:szCs w:val="18"/>
        </w:rPr>
        <w:t>积极推进数字化工厂建设，推行</w:t>
      </w:r>
      <w:proofErr w:type="gramStart"/>
      <w:r>
        <w:rPr>
          <w:rFonts w:hint="eastAsia"/>
          <w:sz w:val="18"/>
          <w:szCs w:val="18"/>
        </w:rPr>
        <w:t>生产数智化</w:t>
      </w:r>
      <w:proofErr w:type="gramEnd"/>
      <w:r>
        <w:rPr>
          <w:rFonts w:hint="eastAsia"/>
          <w:sz w:val="18"/>
          <w:szCs w:val="18"/>
        </w:rPr>
        <w:t>管理，公司数字化架构100%搭建完成，新要素降本增效效果逐步体现。</w:t>
      </w:r>
    </w:p>
    <w:p w:rsidR="000F627F" w:rsidRDefault="000F627F">
      <w:pPr>
        <w:pStyle w:val="a3"/>
        <w:spacing w:before="0" w:beforeAutospacing="0" w:after="0" w:afterAutospacing="0"/>
        <w:ind w:firstLine="420"/>
        <w:jc w:val="both"/>
        <w:divId w:val="1182547318"/>
      </w:pPr>
      <w:r>
        <w:rPr>
          <w:rFonts w:hint="eastAsia"/>
          <w:sz w:val="18"/>
          <w:szCs w:val="18"/>
        </w:rPr>
        <w:t>后端网</w:t>
      </w:r>
      <w:proofErr w:type="gramStart"/>
      <w:r>
        <w:rPr>
          <w:rFonts w:hint="eastAsia"/>
          <w:sz w:val="18"/>
          <w:szCs w:val="18"/>
        </w:rPr>
        <w:t>链业务</w:t>
      </w:r>
      <w:proofErr w:type="gramEnd"/>
      <w:r>
        <w:rPr>
          <w:rFonts w:hint="eastAsia"/>
          <w:sz w:val="18"/>
          <w:szCs w:val="18"/>
        </w:rPr>
        <w:t>模式进一步成型，产业互联的协同效应逐渐显现。</w:t>
      </w:r>
    </w:p>
    <w:p w:rsidR="000D58D8" w:rsidRDefault="000F627F">
      <w:pPr>
        <w:pStyle w:val="2"/>
        <w:spacing w:before="300" w:after="300" w:line="320" w:lineRule="exact"/>
        <w:rPr>
          <w:rFonts w:ascii="宋体" w:eastAsia="宋体" w:hAnsi="宋体" w:cs="宋体"/>
          <w:b/>
          <w:bCs/>
          <w:sz w:val="24"/>
          <w:szCs w:val="24"/>
        </w:rPr>
      </w:pPr>
      <w:bookmarkStart w:id="16" w:name="_Toc988905"/>
      <w:r>
        <w:rPr>
          <w:rFonts w:ascii="宋体" w:eastAsia="宋体" w:hAnsi="宋体" w:cs="宋体"/>
          <w:b/>
          <w:bCs/>
          <w:sz w:val="24"/>
          <w:szCs w:val="24"/>
        </w:rPr>
        <w:lastRenderedPageBreak/>
        <w:t>三、核心竞争力分析</w:t>
      </w:r>
      <w:bookmarkEnd w:id="16"/>
    </w:p>
    <w:p w:rsidR="000F627F" w:rsidRDefault="000F627F">
      <w:pPr>
        <w:pStyle w:val="a3"/>
        <w:spacing w:before="0" w:beforeAutospacing="0" w:after="0" w:afterAutospacing="0"/>
        <w:ind w:firstLine="420"/>
        <w:jc w:val="both"/>
        <w:divId w:val="1677461056"/>
      </w:pPr>
      <w:r>
        <w:rPr>
          <w:rFonts w:hint="eastAsia"/>
          <w:sz w:val="18"/>
          <w:szCs w:val="18"/>
        </w:rPr>
        <w:t>1、产业引领者。公司作为全球最大的色纺纱供应商和制造商之一，随着产业集中度的提升和产能扩张、</w:t>
      </w:r>
      <w:proofErr w:type="gramStart"/>
      <w:r>
        <w:rPr>
          <w:rFonts w:hint="eastAsia"/>
          <w:sz w:val="18"/>
          <w:szCs w:val="18"/>
        </w:rPr>
        <w:t>网链战略</w:t>
      </w:r>
      <w:proofErr w:type="gramEnd"/>
      <w:r>
        <w:rPr>
          <w:rFonts w:hint="eastAsia"/>
          <w:sz w:val="18"/>
          <w:szCs w:val="18"/>
        </w:rPr>
        <w:t>的实施，产业协同效应的逐步显现，成长空间大。</w:t>
      </w:r>
    </w:p>
    <w:p w:rsidR="000F627F" w:rsidRDefault="000F627F">
      <w:pPr>
        <w:pStyle w:val="a3"/>
        <w:spacing w:before="0" w:beforeAutospacing="0" w:after="0" w:afterAutospacing="0"/>
        <w:ind w:firstLine="420"/>
        <w:jc w:val="both"/>
        <w:divId w:val="1677461056"/>
      </w:pPr>
      <w:r>
        <w:rPr>
          <w:rFonts w:hint="eastAsia"/>
          <w:sz w:val="18"/>
          <w:szCs w:val="18"/>
        </w:rPr>
        <w:t>2、全球品牌影响力。全球主要服饰名牌的首选纱线，“华孚牌”也是国家驰名商标。“华孚牌”是色纺产业趋势引领者、标准制定者、时尚风向标。</w:t>
      </w:r>
    </w:p>
    <w:p w:rsidR="000F627F" w:rsidRDefault="000F627F">
      <w:pPr>
        <w:pStyle w:val="a3"/>
        <w:spacing w:before="0" w:beforeAutospacing="0" w:after="0" w:afterAutospacing="0"/>
        <w:ind w:firstLine="420"/>
        <w:jc w:val="both"/>
        <w:divId w:val="1677461056"/>
      </w:pPr>
      <w:r>
        <w:rPr>
          <w:rFonts w:hint="eastAsia"/>
          <w:sz w:val="18"/>
          <w:szCs w:val="18"/>
        </w:rPr>
        <w:t>3、快速反应能力。随着前端供应链的整合和产能布局的完善，通过SAPERP/CRM/MES/PDM/ATP等信息化、智能化手段，实现了集聚订单、灵活染色、柔性生产、快速交货、定制服务的供应链系统。</w:t>
      </w:r>
    </w:p>
    <w:p w:rsidR="000F627F" w:rsidRDefault="000F627F">
      <w:pPr>
        <w:pStyle w:val="a3"/>
        <w:spacing w:before="0" w:beforeAutospacing="0" w:after="0" w:afterAutospacing="0"/>
        <w:ind w:firstLine="420"/>
        <w:jc w:val="both"/>
        <w:divId w:val="1677461056"/>
      </w:pPr>
      <w:r>
        <w:rPr>
          <w:rFonts w:hint="eastAsia"/>
          <w:sz w:val="18"/>
          <w:szCs w:val="18"/>
        </w:rPr>
        <w:t>4、产品创新能力。公司加强产业合作，筹建了华孚大学和博士后工作站，建立了趋势、色彩、材质、纺纱、染整、设计、应用、可持续发展等专业研发团队，申报国家专利共计155项，已获国家专利授权109项，其中发明专利53个，实用新型专利56个。专利数量居色纺行业第一，全球领先。</w:t>
      </w:r>
    </w:p>
    <w:p w:rsidR="000F627F" w:rsidRDefault="000F627F">
      <w:pPr>
        <w:pStyle w:val="a3"/>
        <w:spacing w:before="0" w:beforeAutospacing="0" w:after="0" w:afterAutospacing="0"/>
        <w:ind w:firstLine="420"/>
        <w:jc w:val="both"/>
        <w:divId w:val="1677461056"/>
      </w:pPr>
      <w:r>
        <w:rPr>
          <w:rFonts w:hint="eastAsia"/>
          <w:sz w:val="18"/>
          <w:szCs w:val="18"/>
        </w:rPr>
        <w:t>5、</w:t>
      </w:r>
      <w:proofErr w:type="gramStart"/>
      <w:r>
        <w:rPr>
          <w:rFonts w:hint="eastAsia"/>
          <w:sz w:val="18"/>
          <w:szCs w:val="18"/>
        </w:rPr>
        <w:t>数智化</w:t>
      </w:r>
      <w:proofErr w:type="gramEnd"/>
      <w:r>
        <w:rPr>
          <w:rFonts w:hint="eastAsia"/>
          <w:sz w:val="18"/>
          <w:szCs w:val="18"/>
        </w:rPr>
        <w:t>和</w:t>
      </w:r>
      <w:proofErr w:type="gramStart"/>
      <w:r>
        <w:rPr>
          <w:rFonts w:hint="eastAsia"/>
          <w:sz w:val="18"/>
          <w:szCs w:val="18"/>
        </w:rPr>
        <w:t>网链战略</w:t>
      </w:r>
      <w:proofErr w:type="gramEnd"/>
      <w:r>
        <w:rPr>
          <w:rFonts w:hint="eastAsia"/>
          <w:sz w:val="18"/>
          <w:szCs w:val="18"/>
        </w:rPr>
        <w:t>的优势。公司通过</w:t>
      </w:r>
      <w:proofErr w:type="gramStart"/>
      <w:r>
        <w:rPr>
          <w:rFonts w:hint="eastAsia"/>
          <w:sz w:val="18"/>
          <w:szCs w:val="18"/>
        </w:rPr>
        <w:t>推进数智升级</w:t>
      </w:r>
      <w:proofErr w:type="gramEnd"/>
      <w:r>
        <w:rPr>
          <w:rFonts w:hint="eastAsia"/>
          <w:sz w:val="18"/>
          <w:szCs w:val="18"/>
        </w:rPr>
        <w:t>战略，在数</w:t>
      </w:r>
      <w:proofErr w:type="gramStart"/>
      <w:r>
        <w:rPr>
          <w:rFonts w:hint="eastAsia"/>
          <w:sz w:val="18"/>
          <w:szCs w:val="18"/>
        </w:rPr>
        <w:t>智工厂</w:t>
      </w:r>
      <w:proofErr w:type="gramEnd"/>
      <w:r>
        <w:rPr>
          <w:rFonts w:hint="eastAsia"/>
          <w:sz w:val="18"/>
          <w:szCs w:val="18"/>
        </w:rPr>
        <w:t>建设、产业贯通的数字化平台建设方面具有领先优势；公司</w:t>
      </w:r>
      <w:proofErr w:type="gramStart"/>
      <w:r>
        <w:rPr>
          <w:rFonts w:hint="eastAsia"/>
          <w:sz w:val="18"/>
          <w:szCs w:val="18"/>
        </w:rPr>
        <w:t>通过网链转型</w:t>
      </w:r>
      <w:proofErr w:type="gramEnd"/>
      <w:r>
        <w:rPr>
          <w:rFonts w:hint="eastAsia"/>
          <w:sz w:val="18"/>
          <w:szCs w:val="18"/>
        </w:rPr>
        <w:t>战略的实施，</w:t>
      </w:r>
      <w:proofErr w:type="gramStart"/>
      <w:r>
        <w:rPr>
          <w:rFonts w:hint="eastAsia"/>
          <w:sz w:val="18"/>
          <w:szCs w:val="18"/>
        </w:rPr>
        <w:t>前端网链形成</w:t>
      </w:r>
      <w:proofErr w:type="gramEnd"/>
      <w:r>
        <w:rPr>
          <w:rFonts w:hint="eastAsia"/>
          <w:sz w:val="18"/>
          <w:szCs w:val="18"/>
        </w:rPr>
        <w:t>了一定的规模，后端网链袜业品类模式取得突破，通过产业互联网的推进产生产业协同效应。</w:t>
      </w:r>
    </w:p>
    <w:p w:rsidR="000D58D8" w:rsidRDefault="000F627F">
      <w:pPr>
        <w:pStyle w:val="2"/>
        <w:spacing w:before="300" w:after="300" w:line="320" w:lineRule="exact"/>
        <w:rPr>
          <w:rFonts w:ascii="宋体" w:eastAsia="宋体" w:hAnsi="宋体" w:cs="宋体"/>
          <w:b/>
          <w:bCs/>
          <w:sz w:val="24"/>
          <w:szCs w:val="24"/>
        </w:rPr>
      </w:pPr>
      <w:bookmarkStart w:id="17" w:name="_Toc988906"/>
      <w:r>
        <w:rPr>
          <w:rFonts w:ascii="宋体" w:eastAsia="宋体" w:hAnsi="宋体" w:cs="宋体"/>
          <w:b/>
          <w:bCs/>
          <w:sz w:val="24"/>
          <w:szCs w:val="24"/>
        </w:rPr>
        <w:t>四、主营业务分析</w:t>
      </w:r>
      <w:bookmarkEnd w:id="17"/>
    </w:p>
    <w:p w:rsidR="000D58D8" w:rsidRDefault="000F627F">
      <w:pPr>
        <w:pStyle w:val="3"/>
        <w:spacing w:line="280" w:lineRule="exact"/>
        <w:jc w:val="left"/>
        <w:rPr>
          <w:rFonts w:ascii="宋体" w:hAnsi="宋体" w:cs="宋体"/>
          <w:b/>
          <w:bCs/>
        </w:rPr>
      </w:pPr>
      <w:bookmarkStart w:id="18" w:name="_Toc988907"/>
      <w:r>
        <w:rPr>
          <w:rFonts w:ascii="宋体" w:hAnsi="宋体" w:cs="宋体"/>
          <w:b/>
          <w:bCs/>
        </w:rPr>
        <w:t>1、概述</w:t>
      </w:r>
      <w:bookmarkEnd w:id="18"/>
    </w:p>
    <w:p w:rsidR="000F627F" w:rsidRDefault="000F627F">
      <w:pPr>
        <w:pStyle w:val="a3"/>
        <w:spacing w:before="40" w:beforeAutospacing="0" w:after="40" w:afterAutospacing="0"/>
        <w:divId w:val="1312559495"/>
      </w:pPr>
      <w:r>
        <w:rPr>
          <w:rFonts w:hint="eastAsia"/>
          <w:sz w:val="18"/>
          <w:szCs w:val="18"/>
        </w:rPr>
        <w:t>参见</w:t>
      </w:r>
      <w:r>
        <w:rPr>
          <w:rFonts w:ascii="Times New Roman" w:hAnsi="Times New Roman" w:cs="Times New Roman"/>
          <w:sz w:val="18"/>
          <w:szCs w:val="18"/>
        </w:rPr>
        <w:t>“</w:t>
      </w:r>
      <w:r>
        <w:rPr>
          <w:rFonts w:hint="eastAsia"/>
          <w:sz w:val="18"/>
          <w:szCs w:val="18"/>
        </w:rPr>
        <w:t>经营情况讨论与分析</w:t>
      </w:r>
      <w:r>
        <w:rPr>
          <w:rFonts w:ascii="Times New Roman" w:hAnsi="Times New Roman" w:cs="Times New Roman"/>
          <w:sz w:val="18"/>
          <w:szCs w:val="18"/>
        </w:rPr>
        <w:t>”</w:t>
      </w:r>
      <w:r>
        <w:rPr>
          <w:rFonts w:hint="eastAsia"/>
          <w:sz w:val="18"/>
          <w:szCs w:val="18"/>
        </w:rPr>
        <w:t>中的</w:t>
      </w:r>
      <w:r>
        <w:rPr>
          <w:rFonts w:ascii="Times New Roman" w:hAnsi="Times New Roman" w:cs="Times New Roman"/>
          <w:sz w:val="18"/>
          <w:szCs w:val="18"/>
        </w:rPr>
        <w:t>“</w:t>
      </w:r>
      <w:r>
        <w:rPr>
          <w:rFonts w:hint="eastAsia"/>
          <w:sz w:val="18"/>
          <w:szCs w:val="18"/>
        </w:rPr>
        <w:t>二、报告期内公司从事的主要业务</w:t>
      </w:r>
      <w:r>
        <w:rPr>
          <w:rFonts w:ascii="Times New Roman" w:hAnsi="Times New Roman" w:cs="Times New Roman"/>
          <w:sz w:val="18"/>
          <w:szCs w:val="18"/>
        </w:rPr>
        <w:t>”</w:t>
      </w:r>
      <w:r>
        <w:rPr>
          <w:rFonts w:hint="eastAsia"/>
          <w:sz w:val="18"/>
          <w:szCs w:val="18"/>
        </w:rPr>
        <w:t>相关内容。</w:t>
      </w:r>
    </w:p>
    <w:p w:rsidR="000D58D8" w:rsidRDefault="000F627F">
      <w:pPr>
        <w:pStyle w:val="3"/>
        <w:spacing w:line="280" w:lineRule="exact"/>
        <w:jc w:val="left"/>
        <w:rPr>
          <w:rFonts w:ascii="宋体" w:hAnsi="宋体" w:cs="宋体"/>
          <w:b/>
          <w:bCs/>
        </w:rPr>
      </w:pPr>
      <w:bookmarkStart w:id="19" w:name="_Toc988908"/>
      <w:r>
        <w:rPr>
          <w:rFonts w:ascii="宋体" w:hAnsi="宋体" w:cs="宋体"/>
          <w:b/>
          <w:bCs/>
        </w:rPr>
        <w:t>2、收入与成本</w:t>
      </w:r>
      <w:bookmarkEnd w:id="19"/>
    </w:p>
    <w:p w:rsidR="000D58D8" w:rsidRDefault="000F627F">
      <w:pPr>
        <w:keepNext/>
        <w:keepLines/>
        <w:spacing w:before="300" w:after="300" w:line="280" w:lineRule="exact"/>
        <w:outlineLvl w:val="3"/>
        <w:rPr>
          <w:rFonts w:ascii="宋体" w:eastAsia="宋体" w:hAnsi="宋体" w:cs="宋体"/>
          <w:b/>
          <w:bCs/>
          <w:szCs w:val="21"/>
        </w:rPr>
      </w:pPr>
      <w:bookmarkStart w:id="20" w:name="_Toc988909"/>
      <w:r>
        <w:rPr>
          <w:rFonts w:ascii="宋体" w:eastAsia="宋体" w:hAnsi="宋体" w:cs="宋体"/>
          <w:b/>
          <w:bCs/>
          <w:szCs w:val="21"/>
        </w:rPr>
        <w:t>（1） 营业收入构成</w:t>
      </w:r>
      <w:bookmarkEnd w:id="20"/>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2046"/>
        <w:gridCol w:w="1559"/>
        <w:gridCol w:w="1843"/>
        <w:gridCol w:w="1559"/>
        <w:gridCol w:w="1026"/>
      </w:tblGrid>
      <w:tr w:rsidR="000D58D8" w:rsidTr="000F627F">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605"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340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02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0D58D8" w:rsidTr="000F627F">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04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占营业收入比重</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占营业收入比重</w:t>
            </w:r>
          </w:p>
        </w:tc>
        <w:tc>
          <w:tcPr>
            <w:tcW w:w="102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rsidTr="000F627F">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营业收入合计</w:t>
            </w:r>
          </w:p>
        </w:tc>
        <w:tc>
          <w:tcPr>
            <w:tcW w:w="204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13,663,469,325.68</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right"/>
              <w:rPr>
                <w:rFonts w:ascii="宋体" w:eastAsia="宋体" w:hAnsi="宋体" w:cs="宋体"/>
                <w:sz w:val="18"/>
                <w:szCs w:val="18"/>
                <w:shd w:val="clear" w:color="auto" w:fill="D3D3D3"/>
              </w:rPr>
            </w:pPr>
            <w:r>
              <w:rPr>
                <w:rFonts w:ascii="宋体" w:eastAsia="宋体" w:hAnsi="宋体" w:cs="宋体"/>
                <w:sz w:val="18"/>
                <w:szCs w:val="18"/>
                <w:shd w:val="clear" w:color="auto" w:fill="D3D3D3"/>
              </w:rPr>
              <w:t>100%</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14,459,640,227.88</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right"/>
              <w:rPr>
                <w:rFonts w:ascii="宋体" w:eastAsia="宋体" w:hAnsi="宋体" w:cs="宋体"/>
                <w:sz w:val="18"/>
                <w:szCs w:val="18"/>
                <w:shd w:val="clear" w:color="auto" w:fill="D3D3D3"/>
              </w:rPr>
            </w:pPr>
            <w:r>
              <w:rPr>
                <w:rFonts w:ascii="宋体" w:eastAsia="宋体" w:hAnsi="宋体" w:cs="宋体"/>
                <w:sz w:val="18"/>
                <w:szCs w:val="18"/>
                <w:shd w:val="clear" w:color="auto" w:fill="D3D3D3"/>
              </w:rPr>
              <w:t>100%</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-5.51%</w:t>
            </w:r>
          </w:p>
        </w:tc>
      </w:tr>
      <w:tr w:rsidR="000D58D8">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分行业</w:t>
            </w:r>
          </w:p>
        </w:tc>
      </w:tr>
      <w:tr w:rsidR="000D58D8" w:rsidTr="000F627F">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棉纺行业主营业务收入</w:t>
            </w:r>
          </w:p>
        </w:tc>
        <w:tc>
          <w:tcPr>
            <w:tcW w:w="204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13,619,437,001.24</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99.68%</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14,356,095,161.98</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99.28%</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-5.13%</w:t>
            </w:r>
          </w:p>
        </w:tc>
      </w:tr>
      <w:tr w:rsidR="000D58D8" w:rsidTr="000F627F">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棉纺行业其他业务收入</w:t>
            </w:r>
          </w:p>
        </w:tc>
        <w:tc>
          <w:tcPr>
            <w:tcW w:w="204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44,032,324.44</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0.32%</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103,545,065.90</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0.72%</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-57.48%</w:t>
            </w:r>
          </w:p>
        </w:tc>
      </w:tr>
      <w:tr w:rsidR="000D58D8">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分产品</w:t>
            </w:r>
          </w:p>
        </w:tc>
      </w:tr>
      <w:tr w:rsidR="000D58D8" w:rsidTr="000F627F">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纱线</w:t>
            </w:r>
          </w:p>
        </w:tc>
        <w:tc>
          <w:tcPr>
            <w:tcW w:w="204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5,843,973,572.11</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42.77%</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5,977,250,988.30</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41.34%</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-2.23%</w:t>
            </w:r>
          </w:p>
        </w:tc>
      </w:tr>
      <w:tr w:rsidR="000D58D8" w:rsidTr="000F627F">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网链</w:t>
            </w:r>
            <w:proofErr w:type="gramEnd"/>
          </w:p>
        </w:tc>
        <w:tc>
          <w:tcPr>
            <w:tcW w:w="204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7,399,980,444.24</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54.16%</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8,031,310,157.00</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55.54%</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-7.86%</w:t>
            </w:r>
          </w:p>
        </w:tc>
      </w:tr>
      <w:tr w:rsidR="000D58D8" w:rsidTr="000F627F">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袜</w:t>
            </w:r>
            <w:proofErr w:type="gramEnd"/>
            <w:r>
              <w:rPr>
                <w:rFonts w:ascii="宋体" w:eastAsia="宋体" w:hAnsi="宋体" w:cs="宋体"/>
                <w:sz w:val="18"/>
                <w:szCs w:val="18"/>
              </w:rPr>
              <w:t>制品</w:t>
            </w:r>
          </w:p>
        </w:tc>
        <w:tc>
          <w:tcPr>
            <w:tcW w:w="204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375,482,984.89</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2.75%</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347,534,016.68</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2.40%</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8.04%</w:t>
            </w:r>
          </w:p>
        </w:tc>
      </w:tr>
      <w:tr w:rsidR="000D58D8" w:rsidTr="000F627F">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204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44,032,324.44</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0.32%</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103,545,065.90</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0.72%</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-57.48%</w:t>
            </w:r>
          </w:p>
        </w:tc>
      </w:tr>
      <w:tr w:rsidR="000D58D8">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分地区</w:t>
            </w:r>
          </w:p>
        </w:tc>
      </w:tr>
      <w:tr w:rsidR="000D58D8" w:rsidTr="000F627F">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主营业务境外销售</w:t>
            </w:r>
          </w:p>
        </w:tc>
        <w:tc>
          <w:tcPr>
            <w:tcW w:w="204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1,639,315,790.08</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12.00%</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1,591,439,623.00</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11.01%</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3.01%</w:t>
            </w:r>
          </w:p>
        </w:tc>
      </w:tr>
      <w:tr w:rsidR="000D58D8" w:rsidTr="000F627F">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主营业务境内销售</w:t>
            </w:r>
          </w:p>
        </w:tc>
        <w:tc>
          <w:tcPr>
            <w:tcW w:w="204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11,980,121,211.16</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87.68%</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12,764,655,538.98</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88.28%</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-6.15%</w:t>
            </w:r>
          </w:p>
        </w:tc>
      </w:tr>
      <w:tr w:rsidR="000D58D8" w:rsidTr="000F627F">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其他业务境内销售</w:t>
            </w:r>
          </w:p>
        </w:tc>
        <w:tc>
          <w:tcPr>
            <w:tcW w:w="204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44,032,324.44</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0.32%</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103,545,065.90</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0.72%</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-57.48%</w:t>
            </w:r>
          </w:p>
        </w:tc>
      </w:tr>
      <w:tr w:rsidR="000D58D8">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proofErr w:type="gramStart"/>
            <w:r>
              <w:rPr>
                <w:rFonts w:ascii="宋体" w:eastAsia="宋体" w:hAnsi="宋体" w:cs="宋体"/>
                <w:sz w:val="18"/>
                <w:szCs w:val="18"/>
              </w:rPr>
              <w:t>分销售</w:t>
            </w:r>
            <w:proofErr w:type="gramEnd"/>
            <w:r>
              <w:rPr>
                <w:rFonts w:ascii="宋体" w:eastAsia="宋体" w:hAnsi="宋体" w:cs="宋体"/>
                <w:sz w:val="18"/>
                <w:szCs w:val="18"/>
              </w:rPr>
              <w:t>模式</w:t>
            </w:r>
          </w:p>
        </w:tc>
      </w:tr>
      <w:tr w:rsidR="000D58D8" w:rsidTr="000F627F">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线上销售</w:t>
            </w:r>
          </w:p>
        </w:tc>
        <w:tc>
          <w:tcPr>
            <w:tcW w:w="204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146,749,729.95</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140,542,893.38</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0.97%</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4.42%</w:t>
            </w:r>
          </w:p>
        </w:tc>
      </w:tr>
      <w:tr w:rsidR="000D58D8" w:rsidTr="000F627F">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直营销售</w:t>
            </w:r>
          </w:p>
        </w:tc>
        <w:tc>
          <w:tcPr>
            <w:tcW w:w="204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13,516,719,595.73</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98.93%</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14,319,097,334.50</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99.03%</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-5.60%</w:t>
            </w:r>
          </w:p>
        </w:tc>
      </w:tr>
    </w:tbl>
    <w:p w:rsidR="000D58D8" w:rsidRDefault="000F627F">
      <w:pPr>
        <w:keepNext/>
        <w:keepLines/>
        <w:spacing w:before="300" w:after="300" w:line="280" w:lineRule="exact"/>
        <w:outlineLvl w:val="3"/>
        <w:rPr>
          <w:rFonts w:ascii="宋体" w:eastAsia="宋体" w:hAnsi="宋体" w:cs="宋体"/>
          <w:b/>
          <w:bCs/>
          <w:sz w:val="18"/>
          <w:szCs w:val="18"/>
        </w:rPr>
      </w:pPr>
      <w:bookmarkStart w:id="21" w:name="_Toc988910"/>
      <w:r>
        <w:rPr>
          <w:rFonts w:ascii="宋体" w:eastAsia="宋体" w:hAnsi="宋体" w:cs="宋体"/>
          <w:b/>
          <w:bCs/>
          <w:sz w:val="18"/>
          <w:szCs w:val="18"/>
        </w:rPr>
        <w:t>（2） 占公司营业收入或营业利润10%以上的行业、产品、地区、销售模式的情况</w:t>
      </w:r>
      <w:bookmarkEnd w:id="2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公司需遵守《深圳证券交易所上市公司自律监管指引第3号——行业信息披露》中纺织服装相关业的披露要求</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84"/>
        <w:gridCol w:w="1701"/>
        <w:gridCol w:w="1701"/>
        <w:gridCol w:w="851"/>
        <w:gridCol w:w="1417"/>
        <w:gridCol w:w="1418"/>
        <w:gridCol w:w="1167"/>
      </w:tblGrid>
      <w:tr w:rsidR="000D58D8" w:rsidTr="000F627F">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营业收入比上年同期增减</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营业成本比上年同期增减</w:t>
            </w:r>
          </w:p>
        </w:tc>
        <w:tc>
          <w:tcPr>
            <w:tcW w:w="116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毛利率比上年同期增减</w:t>
            </w:r>
          </w:p>
        </w:tc>
      </w:tr>
      <w:tr w:rsidR="000D58D8">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分行业</w:t>
            </w:r>
          </w:p>
        </w:tc>
      </w:tr>
      <w:tr w:rsidR="000D58D8" w:rsidTr="000F627F">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棉纺行业（主营业务）</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13,619,437,001.24</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13,064,669,025.81</w:t>
            </w: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4.07%</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-5.13%</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-4.39%</w:t>
            </w:r>
          </w:p>
        </w:tc>
        <w:tc>
          <w:tcPr>
            <w:tcW w:w="116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-0.74%</w:t>
            </w:r>
          </w:p>
        </w:tc>
      </w:tr>
      <w:tr w:rsidR="000D58D8">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分产品</w:t>
            </w:r>
          </w:p>
        </w:tc>
      </w:tr>
      <w:tr w:rsidR="000D58D8" w:rsidTr="000F627F">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纱线</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5,843,973,572.11</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5,491,759,009.22</w:t>
            </w: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6.03%</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-2.23%</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-1.35%</w:t>
            </w:r>
          </w:p>
        </w:tc>
        <w:tc>
          <w:tcPr>
            <w:tcW w:w="116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-0.83%</w:t>
            </w:r>
          </w:p>
        </w:tc>
      </w:tr>
      <w:tr w:rsidR="000D58D8" w:rsidTr="000F627F">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网链</w:t>
            </w:r>
            <w:proofErr w:type="gramEnd"/>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7,399,980,444.24</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7,277,834,651.78</w:t>
            </w: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1.65%</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-7.86%</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-7.21%</w:t>
            </w:r>
          </w:p>
        </w:tc>
        <w:tc>
          <w:tcPr>
            <w:tcW w:w="116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-0.69%</w:t>
            </w:r>
          </w:p>
        </w:tc>
      </w:tr>
      <w:tr w:rsidR="000D58D8" w:rsidTr="000F627F">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袜</w:t>
            </w:r>
            <w:proofErr w:type="gramEnd"/>
            <w:r>
              <w:rPr>
                <w:rFonts w:ascii="宋体" w:eastAsia="宋体" w:hAnsi="宋体" w:cs="宋体"/>
                <w:sz w:val="18"/>
                <w:szCs w:val="18"/>
              </w:rPr>
              <w:t>制品</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375,482,984.89</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295,075,364.81</w:t>
            </w: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21.41%</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8.04%</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15.87%</w:t>
            </w:r>
          </w:p>
        </w:tc>
        <w:tc>
          <w:tcPr>
            <w:tcW w:w="116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-5.32%</w:t>
            </w:r>
          </w:p>
        </w:tc>
      </w:tr>
      <w:tr w:rsidR="000D58D8">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分地区</w:t>
            </w:r>
          </w:p>
        </w:tc>
      </w:tr>
      <w:tr w:rsidR="000D58D8" w:rsidTr="000F627F">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境外销售（主营业务）</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1,639,315,790.08</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1,474,329,355.54</w:t>
            </w: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10.06%</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3.01%</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10.76%</w:t>
            </w:r>
          </w:p>
        </w:tc>
        <w:tc>
          <w:tcPr>
            <w:tcW w:w="116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-6.30%</w:t>
            </w:r>
          </w:p>
        </w:tc>
      </w:tr>
      <w:tr w:rsidR="000D58D8" w:rsidTr="000F627F">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境内销售（主营业务）</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11,980,121,211.16</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11,590,339,670.27</w:t>
            </w: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3.25%</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-6.15%</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-6.03%</w:t>
            </w:r>
          </w:p>
        </w:tc>
        <w:tc>
          <w:tcPr>
            <w:tcW w:w="116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-0.13%</w:t>
            </w:r>
          </w:p>
        </w:tc>
      </w:tr>
      <w:tr w:rsidR="000D58D8">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proofErr w:type="gramStart"/>
            <w:r>
              <w:rPr>
                <w:rFonts w:ascii="宋体" w:eastAsia="宋体" w:hAnsi="宋体" w:cs="宋体"/>
                <w:sz w:val="18"/>
                <w:szCs w:val="18"/>
              </w:rPr>
              <w:t>分销售</w:t>
            </w:r>
            <w:proofErr w:type="gramEnd"/>
            <w:r>
              <w:rPr>
                <w:rFonts w:ascii="宋体" w:eastAsia="宋体" w:hAnsi="宋体" w:cs="宋体"/>
                <w:sz w:val="18"/>
                <w:szCs w:val="18"/>
              </w:rPr>
              <w:t>模式</w:t>
            </w:r>
          </w:p>
        </w:tc>
      </w:tr>
      <w:tr w:rsidR="000D58D8" w:rsidTr="000F627F">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线上销售</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146,749,729.95</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86,820,061.31</w:t>
            </w: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40.84%</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4.42%</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7.17%</w:t>
            </w:r>
          </w:p>
        </w:tc>
        <w:tc>
          <w:tcPr>
            <w:tcW w:w="116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40.84%</w:t>
            </w:r>
          </w:p>
        </w:tc>
      </w:tr>
      <w:tr w:rsidR="000D58D8" w:rsidTr="000F627F">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直营销售</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13,472,687,271.29</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12,977,848,964.50</w:t>
            </w: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-5.23%</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-4.46%</w:t>
            </w:r>
          </w:p>
        </w:tc>
        <w:tc>
          <w:tcPr>
            <w:tcW w:w="116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公司主营业务数据统计口径在报告期发生调整的情况下，公司最近1年按报告期末口径调整后的主营业务数据</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公司是否有实体门店销售终端</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上市公司新增门店情况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公司是否披露前五大加盟店铺情况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keepNext/>
        <w:keepLines/>
        <w:spacing w:before="300" w:after="300" w:line="280" w:lineRule="exact"/>
        <w:outlineLvl w:val="3"/>
        <w:rPr>
          <w:rFonts w:ascii="宋体" w:eastAsia="宋体" w:hAnsi="宋体" w:cs="宋体"/>
          <w:b/>
          <w:bCs/>
          <w:sz w:val="18"/>
          <w:szCs w:val="18"/>
        </w:rPr>
      </w:pPr>
      <w:bookmarkStart w:id="22" w:name="_Toc988911"/>
      <w:r>
        <w:rPr>
          <w:rFonts w:ascii="宋体" w:eastAsia="宋体" w:hAnsi="宋体" w:cs="宋体"/>
          <w:b/>
          <w:bCs/>
          <w:sz w:val="18"/>
          <w:szCs w:val="18"/>
        </w:rPr>
        <w:t>（3） 公司实物销售收入是否大于劳务收入</w:t>
      </w:r>
      <w:bookmarkEnd w:id="2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7"/>
        <w:gridCol w:w="1606"/>
        <w:gridCol w:w="1607"/>
        <w:gridCol w:w="1606"/>
        <w:gridCol w:w="1607"/>
      </w:tblGrid>
      <w:tr w:rsidR="000D58D8" w:rsidTr="000F627F">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行业分类</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单位</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0D58D8" w:rsidTr="000F627F">
        <w:trPr>
          <w:trHeight w:val="240"/>
        </w:trPr>
        <w:tc>
          <w:tcPr>
            <w:tcW w:w="1606" w:type="dxa"/>
            <w:vMerge w:val="restart"/>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纺织行业</w:t>
            </w:r>
          </w:p>
        </w:tc>
        <w:tc>
          <w:tcPr>
            <w:tcW w:w="1607" w:type="dxa"/>
            <w:tcBorders>
              <w:top w:val="single" w:sz="2" w:space="0" w:color="auto"/>
              <w:left w:val="single" w:sz="2" w:space="0" w:color="auto"/>
              <w:bottom w:val="single" w:sz="2" w:space="0" w:color="auto"/>
              <w:right w:val="single" w:sz="2" w:space="0" w:color="auto"/>
            </w:tcBorders>
            <w:shd w:val="clear" w:color="auto" w:fill="auto"/>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销售量</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吨</w:t>
            </w:r>
          </w:p>
        </w:tc>
        <w:tc>
          <w:tcPr>
            <w:tcW w:w="160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230,144.41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189,989.46</w:t>
            </w:r>
          </w:p>
        </w:tc>
        <w:tc>
          <w:tcPr>
            <w:tcW w:w="160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21.14%</w:t>
            </w:r>
          </w:p>
        </w:tc>
      </w:tr>
      <w:tr w:rsidR="000D58D8" w:rsidTr="000F627F">
        <w:trPr>
          <w:trHeight w:val="240"/>
        </w:trPr>
        <w:tc>
          <w:tcPr>
            <w:tcW w:w="1606" w:type="dxa"/>
            <w:vMerge/>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shd w:val="clear" w:color="auto" w:fill="auto"/>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生产量</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吨</w:t>
            </w:r>
          </w:p>
        </w:tc>
        <w:tc>
          <w:tcPr>
            <w:tcW w:w="160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236,375.46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212,471.86</w:t>
            </w:r>
          </w:p>
        </w:tc>
        <w:tc>
          <w:tcPr>
            <w:tcW w:w="160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11.25%</w:t>
            </w:r>
          </w:p>
        </w:tc>
      </w:tr>
      <w:tr w:rsidR="000F627F" w:rsidTr="000F627F">
        <w:trPr>
          <w:trHeight w:val="150"/>
        </w:trPr>
        <w:tc>
          <w:tcPr>
            <w:tcW w:w="1606" w:type="dxa"/>
            <w:vMerge/>
            <w:tcBorders>
              <w:top w:val="single" w:sz="2" w:space="0" w:color="auto"/>
              <w:left w:val="single" w:sz="2" w:space="0" w:color="auto"/>
              <w:bottom w:val="single" w:sz="2" w:space="0" w:color="auto"/>
              <w:right w:val="single" w:sz="2" w:space="0" w:color="auto"/>
            </w:tcBorders>
            <w:vAlign w:val="center"/>
          </w:tcPr>
          <w:p w:rsidR="000F627F" w:rsidRDefault="000F627F">
            <w:pPr>
              <w:spacing w:line="240" w:lineRule="exac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shd w:val="clear" w:color="auto" w:fill="auto"/>
            <w:vAlign w:val="center"/>
          </w:tcPr>
          <w:p w:rsidR="000F627F" w:rsidRDefault="000F627F">
            <w:pPr>
              <w:spacing w:before="40" w:after="40" w:line="240" w:lineRule="exact"/>
              <w:rPr>
                <w:rFonts w:ascii="宋体" w:eastAsia="宋体" w:hAnsi="宋体" w:cs="宋体"/>
                <w:sz w:val="18"/>
                <w:szCs w:val="18"/>
              </w:rPr>
            </w:pPr>
            <w:r>
              <w:rPr>
                <w:rFonts w:ascii="宋体" w:eastAsia="宋体" w:hAnsi="宋体" w:cs="宋体"/>
                <w:sz w:val="18"/>
                <w:szCs w:val="18"/>
              </w:rPr>
              <w:t>库存量</w:t>
            </w:r>
          </w:p>
        </w:tc>
        <w:tc>
          <w:tcPr>
            <w:tcW w:w="1606" w:type="dxa"/>
            <w:tcBorders>
              <w:top w:val="single" w:sz="2" w:space="0" w:color="auto"/>
              <w:left w:val="single" w:sz="2" w:space="0" w:color="auto"/>
              <w:right w:val="single" w:sz="2" w:space="0" w:color="auto"/>
            </w:tcBorders>
            <w:vAlign w:val="center"/>
          </w:tcPr>
          <w:p w:rsidR="000F627F" w:rsidRDefault="000F627F">
            <w:pPr>
              <w:spacing w:line="240" w:lineRule="exact"/>
              <w:rPr>
                <w:rFonts w:ascii="宋体" w:eastAsia="宋体" w:hAnsi="宋体" w:cs="宋体"/>
                <w:sz w:val="18"/>
                <w:szCs w:val="18"/>
              </w:rPr>
            </w:pPr>
            <w:r>
              <w:rPr>
                <w:rFonts w:ascii="宋体" w:eastAsia="宋体" w:hAnsi="宋体" w:cs="宋体"/>
                <w:sz w:val="18"/>
                <w:szCs w:val="18"/>
              </w:rPr>
              <w:t>吨</w:t>
            </w:r>
          </w:p>
        </w:tc>
        <w:tc>
          <w:tcPr>
            <w:tcW w:w="1607" w:type="dxa"/>
            <w:tcBorders>
              <w:top w:val="single" w:sz="2" w:space="0" w:color="auto"/>
              <w:left w:val="single" w:sz="2" w:space="0" w:color="auto"/>
              <w:right w:val="single" w:sz="2" w:space="0" w:color="auto"/>
            </w:tcBorders>
            <w:vAlign w:val="center"/>
          </w:tcPr>
          <w:p w:rsidR="000F627F" w:rsidRDefault="000F627F">
            <w:pPr>
              <w:spacing w:line="240" w:lineRule="exact"/>
              <w:jc w:val="right"/>
              <w:rPr>
                <w:rFonts w:ascii="宋体" w:eastAsia="宋体" w:hAnsi="宋体" w:cs="宋体"/>
                <w:sz w:val="18"/>
                <w:szCs w:val="18"/>
              </w:rPr>
            </w:pPr>
            <w:r>
              <w:rPr>
                <w:rFonts w:ascii="宋体" w:eastAsia="宋体" w:hAnsi="宋体" w:cs="宋体"/>
                <w:sz w:val="18"/>
                <w:szCs w:val="18"/>
              </w:rPr>
              <w:t>66,952.45</w:t>
            </w:r>
          </w:p>
        </w:tc>
        <w:tc>
          <w:tcPr>
            <w:tcW w:w="1606" w:type="dxa"/>
            <w:tcBorders>
              <w:top w:val="single" w:sz="2" w:space="0" w:color="auto"/>
              <w:left w:val="single" w:sz="2" w:space="0" w:color="auto"/>
              <w:right w:val="single" w:sz="2" w:space="0" w:color="auto"/>
            </w:tcBorders>
            <w:vAlign w:val="center"/>
          </w:tcPr>
          <w:p w:rsidR="000F627F" w:rsidRDefault="000F627F">
            <w:pPr>
              <w:spacing w:line="240" w:lineRule="exact"/>
              <w:jc w:val="right"/>
              <w:rPr>
                <w:rFonts w:ascii="宋体" w:eastAsia="宋体" w:hAnsi="宋体" w:cs="宋体"/>
                <w:sz w:val="18"/>
                <w:szCs w:val="18"/>
              </w:rPr>
            </w:pPr>
            <w:r>
              <w:rPr>
                <w:rFonts w:ascii="宋体" w:eastAsia="宋体" w:hAnsi="宋体" w:cs="宋体"/>
                <w:sz w:val="18"/>
                <w:szCs w:val="18"/>
              </w:rPr>
              <w:t>60,721.40</w:t>
            </w:r>
          </w:p>
        </w:tc>
        <w:tc>
          <w:tcPr>
            <w:tcW w:w="1607" w:type="dxa"/>
            <w:tcBorders>
              <w:top w:val="single" w:sz="2" w:space="0" w:color="auto"/>
              <w:left w:val="single" w:sz="2" w:space="0" w:color="auto"/>
              <w:right w:val="single" w:sz="2" w:space="0" w:color="auto"/>
            </w:tcBorders>
            <w:vAlign w:val="center"/>
          </w:tcPr>
          <w:p w:rsidR="000F627F" w:rsidRDefault="000F627F">
            <w:pPr>
              <w:spacing w:line="240" w:lineRule="exact"/>
              <w:jc w:val="right"/>
              <w:rPr>
                <w:rFonts w:ascii="宋体" w:eastAsia="宋体" w:hAnsi="宋体" w:cs="宋体"/>
                <w:sz w:val="18"/>
                <w:szCs w:val="18"/>
              </w:rPr>
            </w:pPr>
            <w:r>
              <w:rPr>
                <w:rFonts w:ascii="宋体" w:eastAsia="宋体" w:hAnsi="宋体" w:cs="宋体"/>
                <w:sz w:val="18"/>
                <w:szCs w:val="18"/>
              </w:rPr>
              <w:t>10.26%</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相关数据同比发生变动30%以上的原因说明</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 w:val="18"/>
          <w:szCs w:val="18"/>
        </w:rPr>
      </w:pPr>
      <w:bookmarkStart w:id="23" w:name="_Toc988912"/>
      <w:r>
        <w:rPr>
          <w:rFonts w:ascii="宋体" w:eastAsia="宋体" w:hAnsi="宋体" w:cs="宋体"/>
          <w:b/>
          <w:bCs/>
          <w:sz w:val="18"/>
          <w:szCs w:val="18"/>
        </w:rPr>
        <w:lastRenderedPageBreak/>
        <w:t>（4） 公司已签订的重大销售合同、重大采购合同截至本报告期的履行情况</w:t>
      </w:r>
      <w:bookmarkEnd w:id="2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 w:val="18"/>
          <w:szCs w:val="18"/>
        </w:rPr>
      </w:pPr>
      <w:bookmarkStart w:id="24" w:name="_Toc988913"/>
      <w:r>
        <w:rPr>
          <w:rFonts w:ascii="宋体" w:eastAsia="宋体" w:hAnsi="宋体" w:cs="宋体"/>
          <w:b/>
          <w:bCs/>
          <w:sz w:val="18"/>
          <w:szCs w:val="18"/>
        </w:rPr>
        <w:t>（5） 营业成本构成</w:t>
      </w:r>
      <w:bookmarkEnd w:id="24"/>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行业和产品分类</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行业和产品分类</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01"/>
        <w:gridCol w:w="1559"/>
        <w:gridCol w:w="1843"/>
        <w:gridCol w:w="1134"/>
        <w:gridCol w:w="1842"/>
        <w:gridCol w:w="1134"/>
        <w:gridCol w:w="1026"/>
      </w:tblGrid>
      <w:tr w:rsidR="000D58D8" w:rsidTr="000F627F">
        <w:trPr>
          <w:trHeight w:val="240"/>
        </w:trPr>
        <w:tc>
          <w:tcPr>
            <w:tcW w:w="11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行业分类</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97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297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02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0D58D8" w:rsidTr="000F627F">
        <w:trPr>
          <w:trHeight w:val="240"/>
        </w:trPr>
        <w:tc>
          <w:tcPr>
            <w:tcW w:w="110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55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占营业成本比重</w:t>
            </w:r>
          </w:p>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占营业成本比重</w:t>
            </w:r>
          </w:p>
        </w:tc>
        <w:tc>
          <w:tcPr>
            <w:tcW w:w="102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rsidTr="000F627F">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棉纺行业</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直接材料</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11,140,955,583.96</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85.28%</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11,721,673,872.01</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85.53%</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-4.95%</w:t>
            </w:r>
          </w:p>
        </w:tc>
      </w:tr>
      <w:tr w:rsidR="000D58D8" w:rsidTr="000F627F">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棉纺行业</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直接人工</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664,365,203.32</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5.09%</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658,321,086.24</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4.80%</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0.92%</w:t>
            </w:r>
          </w:p>
        </w:tc>
      </w:tr>
      <w:tr w:rsidR="000D58D8" w:rsidTr="000F627F">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棉纺行业</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折旧</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416,526,013.98</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3.19%</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415,884,194.12</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3.03%</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0.15%</w:t>
            </w:r>
          </w:p>
        </w:tc>
      </w:tr>
      <w:tr w:rsidR="000D58D8" w:rsidTr="000F627F">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棉纺行业</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能源和动力</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489,237,970.47</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3.74%</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506,293,616.12</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3.69%</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-3.37%</w:t>
            </w:r>
          </w:p>
        </w:tc>
      </w:tr>
      <w:tr w:rsidR="000D58D8" w:rsidTr="000F627F">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棉纺行业</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销售运费及佣金</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164,349,300.90</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1.26%</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160,898,167.73</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2.14%</w:t>
            </w:r>
          </w:p>
        </w:tc>
      </w:tr>
      <w:tr w:rsidR="000D58D8" w:rsidTr="000F627F">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棉纺行业</w:t>
            </w:r>
          </w:p>
        </w:tc>
        <w:tc>
          <w:tcPr>
            <w:tcW w:w="155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189,234,953.17</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1.45%</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243,744,218.46</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1.78%</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-22.36%</w:t>
            </w:r>
          </w:p>
        </w:tc>
      </w:tr>
    </w:tbl>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01"/>
        <w:gridCol w:w="1653"/>
        <w:gridCol w:w="1749"/>
        <w:gridCol w:w="1134"/>
        <w:gridCol w:w="1842"/>
        <w:gridCol w:w="1134"/>
        <w:gridCol w:w="1026"/>
      </w:tblGrid>
      <w:tr w:rsidR="000D58D8" w:rsidTr="00F54E4B">
        <w:trPr>
          <w:trHeight w:val="240"/>
        </w:trPr>
        <w:tc>
          <w:tcPr>
            <w:tcW w:w="11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产品分类</w:t>
            </w:r>
          </w:p>
        </w:tc>
        <w:tc>
          <w:tcPr>
            <w:tcW w:w="165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88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297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02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0D58D8" w:rsidTr="00F54E4B">
        <w:trPr>
          <w:trHeight w:val="240"/>
        </w:trPr>
        <w:tc>
          <w:tcPr>
            <w:tcW w:w="110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65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74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占营业成本比重</w:t>
            </w:r>
          </w:p>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占营业成本比重</w:t>
            </w:r>
          </w:p>
        </w:tc>
        <w:tc>
          <w:tcPr>
            <w:tcW w:w="102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纱线</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直接材料</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3,766,541,490.34</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28.42%</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3,810,628,250.83</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27.80%</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纱线</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直接人工</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584,328,155.36</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4.28%</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584,328,155.36</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4.26%</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纱线</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折旧</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380,395,027.69</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2.78%</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380,395,027.69</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2.78%</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纱线</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能源和动力</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472,530,530.52</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3.51%</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489,714,537.87</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3.57%</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-3.51%</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纱线</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销售运费及佣金</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115,464,544.79</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0.86%</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119,663,519.16</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0.87%</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-3.51%</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纱线</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172,499,260.52</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1.61%</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182,426,524.35</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1.33%</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-5.44%</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网链</w:t>
            </w:r>
            <w:proofErr w:type="gramEnd"/>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直接材料</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7,202,105,642.09</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56.81%</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7,763,117,000.56</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56.64%</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-7.23%</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网链</w:t>
            </w:r>
            <w:proofErr w:type="gramEnd"/>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直接人工</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19,969,311.50</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0.16%</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21,254,903.92</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0.16%</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-6.05%</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网链</w:t>
            </w:r>
            <w:proofErr w:type="gramEnd"/>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折旧</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19,640,507.90</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0.15%</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21,023,693.34</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0.15%</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-6.58%</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网链</w:t>
            </w:r>
            <w:proofErr w:type="gramEnd"/>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能源和动力</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6,015,564.83</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6,748,482.85</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-10.86%</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网链</w:t>
            </w:r>
            <w:proofErr w:type="gramEnd"/>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销售运费及佣金</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18,947,316.23</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15,705,852.01</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20.64%</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网链</w:t>
            </w:r>
            <w:proofErr w:type="gramEnd"/>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11,156,309.23</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15,249,945.54</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-26.84%</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袜</w:t>
            </w:r>
            <w:proofErr w:type="gramEnd"/>
            <w:r>
              <w:rPr>
                <w:rFonts w:ascii="宋体" w:eastAsia="宋体" w:hAnsi="宋体" w:cs="宋体"/>
                <w:sz w:val="18"/>
                <w:szCs w:val="18"/>
              </w:rPr>
              <w:t>制品</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直接材料</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172,308,451.53</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147,928,620.62</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16.48%</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袜</w:t>
            </w:r>
            <w:proofErr w:type="gramEnd"/>
            <w:r>
              <w:rPr>
                <w:rFonts w:ascii="宋体" w:eastAsia="宋体" w:hAnsi="宋体" w:cs="宋体"/>
                <w:sz w:val="18"/>
                <w:szCs w:val="18"/>
              </w:rPr>
              <w:t>制品</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直接人工</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60,067,736.46</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0.39%</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52,738,026.96</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0.38%</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13.90%</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袜</w:t>
            </w:r>
            <w:proofErr w:type="gramEnd"/>
            <w:r>
              <w:rPr>
                <w:rFonts w:ascii="宋体" w:eastAsia="宋体" w:hAnsi="宋体" w:cs="宋体"/>
                <w:sz w:val="18"/>
                <w:szCs w:val="18"/>
              </w:rPr>
              <w:t>制品</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折旧</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16,490,478.39</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14,465,473.09</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14.00%</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袜</w:t>
            </w:r>
            <w:proofErr w:type="gramEnd"/>
            <w:r>
              <w:rPr>
                <w:rFonts w:ascii="宋体" w:eastAsia="宋体" w:hAnsi="宋体" w:cs="宋体"/>
                <w:sz w:val="18"/>
                <w:szCs w:val="18"/>
              </w:rPr>
              <w:t>制品</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能源和动力</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10,691,875.12</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0.07%</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9,830,595.40</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0.07%</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8.76%</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袜</w:t>
            </w:r>
            <w:proofErr w:type="gramEnd"/>
            <w:r>
              <w:rPr>
                <w:rFonts w:ascii="宋体" w:eastAsia="宋体" w:hAnsi="宋体" w:cs="宋体"/>
                <w:sz w:val="18"/>
                <w:szCs w:val="18"/>
              </w:rPr>
              <w:t>制品</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销售运费及佣金</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29,937,439.88</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0.19%</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25,528,796.56</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0.19%</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17.27%</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袜</w:t>
            </w:r>
            <w:proofErr w:type="gramEnd"/>
            <w:r>
              <w:rPr>
                <w:rFonts w:ascii="宋体" w:eastAsia="宋体" w:hAnsi="宋体" w:cs="宋体"/>
                <w:sz w:val="18"/>
                <w:szCs w:val="18"/>
              </w:rPr>
              <w:t>制品</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5,579,383.43</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4,158,383.24</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34.17%</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其他业务成本</w:t>
            </w:r>
          </w:p>
        </w:tc>
        <w:tc>
          <w:tcPr>
            <w:tcW w:w="165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17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19,147,058.82</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0.15%</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41,909,365.33</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-54.31%</w:t>
            </w:r>
          </w:p>
        </w:tc>
      </w:tr>
    </w:tbl>
    <w:p w:rsidR="000F627F" w:rsidRPr="00F54E4B" w:rsidRDefault="000F627F" w:rsidP="00F54E4B">
      <w:pPr>
        <w:spacing w:before="100" w:after="100" w:line="240" w:lineRule="exact"/>
        <w:rPr>
          <w:rFonts w:ascii="宋体" w:eastAsia="宋体" w:hAnsi="宋体" w:cs="宋体"/>
          <w:sz w:val="18"/>
          <w:szCs w:val="18"/>
        </w:rPr>
      </w:pPr>
      <w:r>
        <w:rPr>
          <w:rFonts w:ascii="宋体" w:eastAsia="宋体" w:hAnsi="宋体" w:cs="宋体"/>
          <w:sz w:val="18"/>
          <w:szCs w:val="18"/>
        </w:rPr>
        <w:t>说明</w:t>
      </w:r>
      <w:r w:rsidR="00F54E4B">
        <w:rPr>
          <w:rFonts w:ascii="宋体" w:eastAsia="宋体" w:hAnsi="宋体" w:cs="宋体" w:hint="eastAsia"/>
          <w:sz w:val="18"/>
          <w:szCs w:val="18"/>
        </w:rPr>
        <w:t>：</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25" w:name="_Toc988914"/>
      <w:r>
        <w:rPr>
          <w:rFonts w:ascii="宋体" w:eastAsia="宋体" w:hAnsi="宋体" w:cs="宋体"/>
          <w:b/>
          <w:bCs/>
          <w:sz w:val="18"/>
          <w:szCs w:val="18"/>
        </w:rPr>
        <w:t>（6） 报告期内合并范围是否发生变动</w:t>
      </w:r>
      <w:bookmarkEnd w:id="25"/>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0F627F" w:rsidRDefault="000F627F" w:rsidP="00F54E4B">
      <w:pPr>
        <w:pStyle w:val="a3"/>
        <w:numPr>
          <w:ilvl w:val="0"/>
          <w:numId w:val="134"/>
        </w:numPr>
        <w:divId w:val="1563638759"/>
        <w:rPr>
          <w:sz w:val="18"/>
          <w:szCs w:val="18"/>
        </w:rPr>
      </w:pPr>
      <w:r>
        <w:rPr>
          <w:rFonts w:hint="eastAsia"/>
          <w:sz w:val="18"/>
          <w:szCs w:val="18"/>
        </w:rPr>
        <w:t>本期新纳入合并范围的子公司</w:t>
      </w:r>
    </w:p>
    <w:p w:rsidR="00F54E4B" w:rsidRDefault="00F54E4B" w:rsidP="00F54E4B">
      <w:pPr>
        <w:pStyle w:val="a3"/>
        <w:divId w:val="1563638759"/>
      </w:pPr>
    </w:p>
    <w:tbl>
      <w:tblPr>
        <w:tblW w:w="9513" w:type="dxa"/>
        <w:jc w:val="center"/>
        <w:tblCellMar>
          <w:left w:w="0" w:type="dxa"/>
          <w:right w:w="0" w:type="dxa"/>
        </w:tblCellMar>
        <w:tblLook w:val="04A0" w:firstRow="1" w:lastRow="0" w:firstColumn="1" w:lastColumn="0" w:noHBand="0" w:noVBand="1"/>
      </w:tblPr>
      <w:tblGrid>
        <w:gridCol w:w="6000"/>
        <w:gridCol w:w="3513"/>
      </w:tblGrid>
      <w:tr w:rsidR="000F627F" w:rsidTr="00F54E4B">
        <w:trPr>
          <w:divId w:val="1563638759"/>
          <w:trHeight w:val="270"/>
          <w:jc w:val="center"/>
        </w:trPr>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名称</w:t>
            </w:r>
          </w:p>
        </w:tc>
        <w:tc>
          <w:tcPr>
            <w:tcW w:w="351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变更原因</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浙江果实设计有限公司</w:t>
            </w:r>
          </w:p>
        </w:tc>
        <w:tc>
          <w:tcPr>
            <w:tcW w:w="3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浙江其实科技有限公司</w:t>
            </w:r>
          </w:p>
        </w:tc>
        <w:tc>
          <w:tcPr>
            <w:tcW w:w="3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浙江果实纺织科技有限公司</w:t>
            </w:r>
          </w:p>
        </w:tc>
        <w:tc>
          <w:tcPr>
            <w:tcW w:w="3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浙江达米安品牌管理有限公司</w:t>
            </w:r>
          </w:p>
        </w:tc>
        <w:tc>
          <w:tcPr>
            <w:tcW w:w="3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新疆盛孚棉业有限公司</w:t>
            </w:r>
          </w:p>
        </w:tc>
        <w:tc>
          <w:tcPr>
            <w:tcW w:w="3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新疆泽孚棉花有限公司</w:t>
            </w:r>
          </w:p>
        </w:tc>
        <w:tc>
          <w:tcPr>
            <w:tcW w:w="3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新疆华孚宏丰农业开发有限公司</w:t>
            </w:r>
          </w:p>
        </w:tc>
        <w:tc>
          <w:tcPr>
            <w:tcW w:w="3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淮北华孚新能源有限公司</w:t>
            </w:r>
          </w:p>
        </w:tc>
        <w:tc>
          <w:tcPr>
            <w:tcW w:w="3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平湖市科新贸易有限公司</w:t>
            </w:r>
          </w:p>
        </w:tc>
        <w:tc>
          <w:tcPr>
            <w:tcW w:w="3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岳普湖</w:t>
            </w:r>
            <w:proofErr w:type="gramStart"/>
            <w:r>
              <w:rPr>
                <w:rFonts w:hint="eastAsia"/>
                <w:sz w:val="18"/>
                <w:szCs w:val="18"/>
              </w:rPr>
              <w:t>嘉孚棉</w:t>
            </w:r>
            <w:proofErr w:type="gramEnd"/>
            <w:r>
              <w:rPr>
                <w:rFonts w:hint="eastAsia"/>
                <w:sz w:val="18"/>
                <w:szCs w:val="18"/>
              </w:rPr>
              <w:t>业有限公司</w:t>
            </w:r>
          </w:p>
        </w:tc>
        <w:tc>
          <w:tcPr>
            <w:tcW w:w="3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岳普湖</w:t>
            </w:r>
            <w:proofErr w:type="gramStart"/>
            <w:r>
              <w:rPr>
                <w:rFonts w:hint="eastAsia"/>
                <w:sz w:val="18"/>
                <w:szCs w:val="18"/>
              </w:rPr>
              <w:t>恒孚棉</w:t>
            </w:r>
            <w:proofErr w:type="gramEnd"/>
            <w:r>
              <w:rPr>
                <w:rFonts w:hint="eastAsia"/>
                <w:sz w:val="18"/>
                <w:szCs w:val="18"/>
              </w:rPr>
              <w:t>业有限公司</w:t>
            </w:r>
          </w:p>
        </w:tc>
        <w:tc>
          <w:tcPr>
            <w:tcW w:w="3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岳普湖</w:t>
            </w:r>
            <w:proofErr w:type="gramStart"/>
            <w:r>
              <w:rPr>
                <w:rFonts w:hint="eastAsia"/>
                <w:sz w:val="18"/>
                <w:szCs w:val="18"/>
              </w:rPr>
              <w:t>鑫孚棉</w:t>
            </w:r>
            <w:proofErr w:type="gramEnd"/>
            <w:r>
              <w:rPr>
                <w:rFonts w:hint="eastAsia"/>
                <w:sz w:val="18"/>
                <w:szCs w:val="18"/>
              </w:rPr>
              <w:t>业有限公司</w:t>
            </w:r>
          </w:p>
        </w:tc>
        <w:tc>
          <w:tcPr>
            <w:tcW w:w="3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54E4B">
        <w:trPr>
          <w:divId w:val="1563638759"/>
          <w:trHeight w:val="45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proofErr w:type="gramStart"/>
            <w:r>
              <w:rPr>
                <w:rFonts w:hint="eastAsia"/>
                <w:sz w:val="18"/>
                <w:szCs w:val="18"/>
              </w:rPr>
              <w:t>伽师润孚棉花</w:t>
            </w:r>
            <w:proofErr w:type="gramEnd"/>
            <w:r>
              <w:rPr>
                <w:rFonts w:hint="eastAsia"/>
                <w:sz w:val="18"/>
                <w:szCs w:val="18"/>
              </w:rPr>
              <w:t>有限公司</w:t>
            </w:r>
          </w:p>
        </w:tc>
        <w:tc>
          <w:tcPr>
            <w:tcW w:w="3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伽师</w:t>
            </w:r>
            <w:proofErr w:type="gramStart"/>
            <w:r>
              <w:rPr>
                <w:rFonts w:hint="eastAsia"/>
                <w:sz w:val="18"/>
                <w:szCs w:val="18"/>
              </w:rPr>
              <w:t>锦孚棉</w:t>
            </w:r>
            <w:proofErr w:type="gramEnd"/>
            <w:r>
              <w:rPr>
                <w:rFonts w:hint="eastAsia"/>
                <w:sz w:val="18"/>
                <w:szCs w:val="18"/>
              </w:rPr>
              <w:t>业有限公司</w:t>
            </w:r>
          </w:p>
        </w:tc>
        <w:tc>
          <w:tcPr>
            <w:tcW w:w="3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proofErr w:type="gramStart"/>
            <w:r>
              <w:rPr>
                <w:rFonts w:hint="eastAsia"/>
                <w:sz w:val="18"/>
                <w:szCs w:val="18"/>
              </w:rPr>
              <w:t>伽师德孚棉业</w:t>
            </w:r>
            <w:proofErr w:type="gramEnd"/>
            <w:r>
              <w:rPr>
                <w:rFonts w:hint="eastAsia"/>
                <w:sz w:val="18"/>
                <w:szCs w:val="18"/>
              </w:rPr>
              <w:t>有限公司</w:t>
            </w:r>
          </w:p>
        </w:tc>
        <w:tc>
          <w:tcPr>
            <w:tcW w:w="3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bl>
    <w:p w:rsidR="000F627F" w:rsidRDefault="000F627F">
      <w:pPr>
        <w:pStyle w:val="a3"/>
        <w:divId w:val="1563638759"/>
      </w:pPr>
      <w:r>
        <w:rPr>
          <w:rFonts w:hint="eastAsia"/>
          <w:sz w:val="18"/>
          <w:szCs w:val="18"/>
        </w:rPr>
        <w:t>2.本期不纳入合并范围的子公司</w:t>
      </w:r>
    </w:p>
    <w:tbl>
      <w:tblPr>
        <w:tblW w:w="9507" w:type="dxa"/>
        <w:jc w:val="center"/>
        <w:tblCellMar>
          <w:left w:w="0" w:type="dxa"/>
          <w:right w:w="0" w:type="dxa"/>
        </w:tblCellMar>
        <w:tblLook w:val="04A0" w:firstRow="1" w:lastRow="0" w:firstColumn="1" w:lastColumn="0" w:noHBand="0" w:noVBand="1"/>
      </w:tblPr>
      <w:tblGrid>
        <w:gridCol w:w="6000"/>
        <w:gridCol w:w="3507"/>
      </w:tblGrid>
      <w:tr w:rsidR="000F627F" w:rsidTr="00F54E4B">
        <w:trPr>
          <w:divId w:val="1563638759"/>
          <w:trHeight w:val="270"/>
          <w:jc w:val="center"/>
        </w:trPr>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名称</w:t>
            </w:r>
          </w:p>
        </w:tc>
        <w:tc>
          <w:tcPr>
            <w:tcW w:w="3507"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变更原因</w:t>
            </w:r>
          </w:p>
        </w:tc>
      </w:tr>
      <w:tr w:rsidR="000F627F" w:rsidTr="00F54E4B">
        <w:trPr>
          <w:divId w:val="1563638759"/>
          <w:trHeight w:val="270"/>
          <w:jc w:val="center"/>
        </w:trPr>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新疆天路智能制造有限公司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注销</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绍兴市上虞华孚物流有限公司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注销</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浙江阿大贸易有限公司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注销</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诸暨市</w:t>
            </w:r>
            <w:proofErr w:type="gramStart"/>
            <w:r>
              <w:rPr>
                <w:rFonts w:hint="eastAsia"/>
                <w:color w:val="000000"/>
                <w:sz w:val="18"/>
                <w:szCs w:val="18"/>
              </w:rPr>
              <w:t>鲲驰投资</w:t>
            </w:r>
            <w:proofErr w:type="gramEnd"/>
            <w:r>
              <w:rPr>
                <w:rFonts w:hint="eastAsia"/>
                <w:color w:val="000000"/>
                <w:sz w:val="18"/>
                <w:szCs w:val="18"/>
              </w:rPr>
              <w:t>管理合伙企业（有限合伙）</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注销</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金华市</w:t>
            </w:r>
            <w:proofErr w:type="gramStart"/>
            <w:r>
              <w:rPr>
                <w:rFonts w:hint="eastAsia"/>
                <w:color w:val="000000"/>
                <w:sz w:val="18"/>
                <w:szCs w:val="18"/>
              </w:rPr>
              <w:t>菁英网红</w:t>
            </w:r>
            <w:proofErr w:type="gramEnd"/>
            <w:r>
              <w:rPr>
                <w:rFonts w:hint="eastAsia"/>
                <w:color w:val="000000"/>
                <w:sz w:val="18"/>
                <w:szCs w:val="18"/>
              </w:rPr>
              <w:t>品牌管理有限公司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注销</w:t>
            </w:r>
          </w:p>
        </w:tc>
      </w:tr>
      <w:tr w:rsidR="000F627F" w:rsidTr="00F54E4B">
        <w:trPr>
          <w:divId w:val="1563638759"/>
          <w:trHeight w:val="270"/>
          <w:jc w:val="center"/>
        </w:trPr>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浙江铭孚针纺有限公司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注销</w:t>
            </w:r>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呼图壁县</w:t>
            </w:r>
            <w:proofErr w:type="gramStart"/>
            <w:r>
              <w:rPr>
                <w:rFonts w:hint="eastAsia"/>
                <w:color w:val="000000"/>
                <w:sz w:val="18"/>
                <w:szCs w:val="18"/>
              </w:rPr>
              <w:t>宏盛棉业</w:t>
            </w:r>
            <w:proofErr w:type="gramEnd"/>
            <w:r>
              <w:rPr>
                <w:rFonts w:hint="eastAsia"/>
                <w:color w:val="000000"/>
                <w:sz w:val="18"/>
                <w:szCs w:val="18"/>
              </w:rPr>
              <w:t>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proofErr w:type="gramStart"/>
            <w:r>
              <w:rPr>
                <w:rFonts w:hint="eastAsia"/>
                <w:color w:val="000000"/>
                <w:sz w:val="18"/>
                <w:szCs w:val="18"/>
              </w:rPr>
              <w:t>非同控转让</w:t>
            </w:r>
            <w:proofErr w:type="gramEnd"/>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库车</w:t>
            </w:r>
            <w:proofErr w:type="gramStart"/>
            <w:r>
              <w:rPr>
                <w:rFonts w:hint="eastAsia"/>
                <w:color w:val="000000"/>
                <w:sz w:val="18"/>
                <w:szCs w:val="18"/>
              </w:rPr>
              <w:t>恒丰棉业</w:t>
            </w:r>
            <w:proofErr w:type="gramEnd"/>
            <w:r>
              <w:rPr>
                <w:rFonts w:hint="eastAsia"/>
                <w:color w:val="000000"/>
                <w:sz w:val="18"/>
                <w:szCs w:val="18"/>
              </w:rPr>
              <w:t>有限责任公司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proofErr w:type="gramStart"/>
            <w:r>
              <w:rPr>
                <w:rFonts w:hint="eastAsia"/>
                <w:color w:val="000000"/>
                <w:sz w:val="18"/>
                <w:szCs w:val="18"/>
              </w:rPr>
              <w:t>非同控转让</w:t>
            </w:r>
            <w:proofErr w:type="gramEnd"/>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新疆棉花产业（集团）叶城棉业有限责任公司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proofErr w:type="gramStart"/>
            <w:r>
              <w:rPr>
                <w:rFonts w:hint="eastAsia"/>
                <w:color w:val="000000"/>
                <w:sz w:val="18"/>
                <w:szCs w:val="18"/>
              </w:rPr>
              <w:t>非同控转让</w:t>
            </w:r>
            <w:proofErr w:type="gramEnd"/>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新疆棉花产业集团泽普棉业有限公司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proofErr w:type="gramStart"/>
            <w:r>
              <w:rPr>
                <w:rFonts w:hint="eastAsia"/>
                <w:color w:val="000000"/>
                <w:sz w:val="18"/>
                <w:szCs w:val="18"/>
              </w:rPr>
              <w:t>非同控转让</w:t>
            </w:r>
            <w:proofErr w:type="gramEnd"/>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浙江博忆纺织科技有限公司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proofErr w:type="gramStart"/>
            <w:r>
              <w:rPr>
                <w:rFonts w:hint="eastAsia"/>
                <w:color w:val="000000"/>
                <w:sz w:val="18"/>
                <w:szCs w:val="18"/>
              </w:rPr>
              <w:t>非同控转让</w:t>
            </w:r>
            <w:proofErr w:type="gramEnd"/>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浙江双琪进出口有限公司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proofErr w:type="gramStart"/>
            <w:r>
              <w:rPr>
                <w:rFonts w:hint="eastAsia"/>
                <w:color w:val="000000"/>
                <w:sz w:val="18"/>
                <w:szCs w:val="18"/>
              </w:rPr>
              <w:t>非同控转让</w:t>
            </w:r>
            <w:proofErr w:type="gramEnd"/>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浙江诸暨科宁投资有限公司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proofErr w:type="gramStart"/>
            <w:r>
              <w:rPr>
                <w:rFonts w:hint="eastAsia"/>
                <w:color w:val="000000"/>
                <w:sz w:val="18"/>
                <w:szCs w:val="18"/>
              </w:rPr>
              <w:t>非同控转让</w:t>
            </w:r>
            <w:proofErr w:type="gramEnd"/>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诸暨广</w:t>
            </w:r>
            <w:proofErr w:type="gramStart"/>
            <w:r>
              <w:rPr>
                <w:rFonts w:hint="eastAsia"/>
                <w:color w:val="000000"/>
                <w:sz w:val="18"/>
                <w:szCs w:val="18"/>
              </w:rPr>
              <w:t>昊</w:t>
            </w:r>
            <w:proofErr w:type="gramEnd"/>
            <w:r>
              <w:rPr>
                <w:rFonts w:hint="eastAsia"/>
                <w:color w:val="000000"/>
                <w:sz w:val="18"/>
                <w:szCs w:val="18"/>
              </w:rPr>
              <w:t>纺织有限公司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proofErr w:type="gramStart"/>
            <w:r>
              <w:rPr>
                <w:rFonts w:hint="eastAsia"/>
                <w:color w:val="000000"/>
                <w:sz w:val="18"/>
                <w:szCs w:val="18"/>
              </w:rPr>
              <w:t>非同控转让</w:t>
            </w:r>
            <w:proofErr w:type="gramEnd"/>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新疆科宁针纺科技有限公司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proofErr w:type="gramStart"/>
            <w:r>
              <w:rPr>
                <w:rFonts w:hint="eastAsia"/>
                <w:color w:val="000000"/>
                <w:sz w:val="18"/>
                <w:szCs w:val="18"/>
              </w:rPr>
              <w:t>非同控转让</w:t>
            </w:r>
            <w:proofErr w:type="gramEnd"/>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乌什县阿大纺织有限公司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proofErr w:type="gramStart"/>
            <w:r>
              <w:rPr>
                <w:rFonts w:hint="eastAsia"/>
                <w:color w:val="000000"/>
                <w:sz w:val="18"/>
                <w:szCs w:val="18"/>
              </w:rPr>
              <w:t>非同控转让</w:t>
            </w:r>
            <w:proofErr w:type="gramEnd"/>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安徽博忆纺织科技有限公司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proofErr w:type="gramStart"/>
            <w:r>
              <w:rPr>
                <w:rFonts w:hint="eastAsia"/>
                <w:color w:val="000000"/>
                <w:sz w:val="18"/>
                <w:szCs w:val="18"/>
              </w:rPr>
              <w:t>非同控转让</w:t>
            </w:r>
            <w:proofErr w:type="gramEnd"/>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FF0000"/>
                <w:sz w:val="18"/>
                <w:szCs w:val="18"/>
              </w:rPr>
            </w:pPr>
            <w:r>
              <w:rPr>
                <w:rFonts w:hint="eastAsia"/>
                <w:color w:val="000000"/>
                <w:sz w:val="18"/>
                <w:szCs w:val="18"/>
              </w:rPr>
              <w:t>岳普湖</w:t>
            </w:r>
            <w:proofErr w:type="gramStart"/>
            <w:r>
              <w:rPr>
                <w:rFonts w:hint="eastAsia"/>
                <w:color w:val="000000"/>
                <w:sz w:val="18"/>
                <w:szCs w:val="18"/>
              </w:rPr>
              <w:t>嘉孚棉</w:t>
            </w:r>
            <w:proofErr w:type="gramEnd"/>
            <w:r>
              <w:rPr>
                <w:rFonts w:hint="eastAsia"/>
                <w:color w:val="000000"/>
                <w:sz w:val="18"/>
                <w:szCs w:val="18"/>
              </w:rPr>
              <w:t>业有限公司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proofErr w:type="gramStart"/>
            <w:r>
              <w:rPr>
                <w:rFonts w:hint="eastAsia"/>
                <w:color w:val="000000"/>
                <w:sz w:val="18"/>
                <w:szCs w:val="18"/>
              </w:rPr>
              <w:t>非同控转让</w:t>
            </w:r>
            <w:proofErr w:type="gramEnd"/>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FF0000"/>
                <w:sz w:val="18"/>
                <w:szCs w:val="18"/>
              </w:rPr>
            </w:pPr>
            <w:r>
              <w:rPr>
                <w:rFonts w:hint="eastAsia"/>
                <w:color w:val="000000"/>
                <w:sz w:val="18"/>
                <w:szCs w:val="18"/>
              </w:rPr>
              <w:t>岳普湖</w:t>
            </w:r>
            <w:proofErr w:type="gramStart"/>
            <w:r>
              <w:rPr>
                <w:rFonts w:hint="eastAsia"/>
                <w:color w:val="000000"/>
                <w:sz w:val="18"/>
                <w:szCs w:val="18"/>
              </w:rPr>
              <w:t>恒孚棉</w:t>
            </w:r>
            <w:proofErr w:type="gramEnd"/>
            <w:r>
              <w:rPr>
                <w:rFonts w:hint="eastAsia"/>
                <w:color w:val="000000"/>
                <w:sz w:val="18"/>
                <w:szCs w:val="18"/>
              </w:rPr>
              <w:t>业有限公司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proofErr w:type="gramStart"/>
            <w:r>
              <w:rPr>
                <w:rFonts w:hint="eastAsia"/>
                <w:color w:val="000000"/>
                <w:sz w:val="18"/>
                <w:szCs w:val="18"/>
              </w:rPr>
              <w:t>非同控转让</w:t>
            </w:r>
            <w:proofErr w:type="gramEnd"/>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FF0000"/>
                <w:sz w:val="18"/>
                <w:szCs w:val="18"/>
              </w:rPr>
            </w:pPr>
            <w:r>
              <w:rPr>
                <w:rFonts w:hint="eastAsia"/>
                <w:color w:val="000000"/>
                <w:sz w:val="18"/>
                <w:szCs w:val="18"/>
              </w:rPr>
              <w:t>岳普湖</w:t>
            </w:r>
            <w:proofErr w:type="gramStart"/>
            <w:r>
              <w:rPr>
                <w:rFonts w:hint="eastAsia"/>
                <w:color w:val="000000"/>
                <w:sz w:val="18"/>
                <w:szCs w:val="18"/>
              </w:rPr>
              <w:t>鑫孚棉</w:t>
            </w:r>
            <w:proofErr w:type="gramEnd"/>
            <w:r>
              <w:rPr>
                <w:rFonts w:hint="eastAsia"/>
                <w:color w:val="000000"/>
                <w:sz w:val="18"/>
                <w:szCs w:val="18"/>
              </w:rPr>
              <w:t>业有限公司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proofErr w:type="gramStart"/>
            <w:r>
              <w:rPr>
                <w:rFonts w:hint="eastAsia"/>
                <w:color w:val="000000"/>
                <w:sz w:val="18"/>
                <w:szCs w:val="18"/>
              </w:rPr>
              <w:t>非同控转让</w:t>
            </w:r>
            <w:proofErr w:type="gramEnd"/>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FF0000"/>
                <w:sz w:val="18"/>
                <w:szCs w:val="18"/>
              </w:rPr>
            </w:pPr>
            <w:proofErr w:type="gramStart"/>
            <w:r>
              <w:rPr>
                <w:rFonts w:hint="eastAsia"/>
                <w:color w:val="000000"/>
                <w:sz w:val="18"/>
                <w:szCs w:val="18"/>
              </w:rPr>
              <w:t>伽师润孚棉花</w:t>
            </w:r>
            <w:proofErr w:type="gramEnd"/>
            <w:r>
              <w:rPr>
                <w:rFonts w:hint="eastAsia"/>
                <w:color w:val="000000"/>
                <w:sz w:val="18"/>
                <w:szCs w:val="18"/>
              </w:rPr>
              <w:t>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proofErr w:type="gramStart"/>
            <w:r>
              <w:rPr>
                <w:rFonts w:hint="eastAsia"/>
                <w:color w:val="000000"/>
                <w:sz w:val="18"/>
                <w:szCs w:val="18"/>
              </w:rPr>
              <w:t>非同控转让</w:t>
            </w:r>
            <w:proofErr w:type="gramEnd"/>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FF0000"/>
                <w:sz w:val="18"/>
                <w:szCs w:val="18"/>
              </w:rPr>
            </w:pPr>
            <w:r>
              <w:rPr>
                <w:rFonts w:hint="eastAsia"/>
                <w:color w:val="000000"/>
                <w:sz w:val="18"/>
                <w:szCs w:val="18"/>
              </w:rPr>
              <w:t>伽师</w:t>
            </w:r>
            <w:proofErr w:type="gramStart"/>
            <w:r>
              <w:rPr>
                <w:rFonts w:hint="eastAsia"/>
                <w:color w:val="000000"/>
                <w:sz w:val="18"/>
                <w:szCs w:val="18"/>
              </w:rPr>
              <w:t>锦孚棉</w:t>
            </w:r>
            <w:proofErr w:type="gramEnd"/>
            <w:r>
              <w:rPr>
                <w:rFonts w:hint="eastAsia"/>
                <w:color w:val="000000"/>
                <w:sz w:val="18"/>
                <w:szCs w:val="18"/>
              </w:rPr>
              <w:t>业有限公司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proofErr w:type="gramStart"/>
            <w:r>
              <w:rPr>
                <w:rFonts w:hint="eastAsia"/>
                <w:color w:val="000000"/>
                <w:sz w:val="18"/>
                <w:szCs w:val="18"/>
              </w:rPr>
              <w:t>非同控转让</w:t>
            </w:r>
            <w:proofErr w:type="gramEnd"/>
          </w:p>
        </w:tc>
      </w:tr>
      <w:tr w:rsidR="000F627F" w:rsidTr="00F54E4B">
        <w:trPr>
          <w:divId w:val="1563638759"/>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FF0000"/>
                <w:sz w:val="18"/>
                <w:szCs w:val="18"/>
              </w:rPr>
            </w:pPr>
            <w:proofErr w:type="gramStart"/>
            <w:r>
              <w:rPr>
                <w:rFonts w:hint="eastAsia"/>
                <w:color w:val="000000"/>
                <w:sz w:val="18"/>
                <w:szCs w:val="18"/>
              </w:rPr>
              <w:t>伽师德孚棉业</w:t>
            </w:r>
            <w:proofErr w:type="gramEnd"/>
            <w:r>
              <w:rPr>
                <w:rFonts w:hint="eastAsia"/>
                <w:color w:val="000000"/>
                <w:sz w:val="18"/>
                <w:szCs w:val="18"/>
              </w:rPr>
              <w:t>有限公司</w:t>
            </w:r>
          </w:p>
        </w:tc>
        <w:tc>
          <w:tcPr>
            <w:tcW w:w="350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proofErr w:type="gramStart"/>
            <w:r>
              <w:rPr>
                <w:rFonts w:hint="eastAsia"/>
                <w:color w:val="000000"/>
                <w:sz w:val="18"/>
                <w:szCs w:val="18"/>
              </w:rPr>
              <w:t>非同控转让</w:t>
            </w:r>
            <w:proofErr w:type="gramEnd"/>
          </w:p>
        </w:tc>
      </w:tr>
    </w:tbl>
    <w:p w:rsidR="000F627F" w:rsidRDefault="000F627F">
      <w:pPr>
        <w:pStyle w:val="a3"/>
        <w:divId w:val="1563638759"/>
      </w:pPr>
      <w:r>
        <w:rPr>
          <w:rFonts w:hint="eastAsia"/>
        </w:rPr>
        <w:t> </w:t>
      </w:r>
    </w:p>
    <w:p w:rsidR="000D58D8" w:rsidRDefault="000F627F">
      <w:pPr>
        <w:keepNext/>
        <w:keepLines/>
        <w:spacing w:before="300" w:after="300" w:line="280" w:lineRule="exact"/>
        <w:outlineLvl w:val="3"/>
        <w:rPr>
          <w:rFonts w:ascii="宋体" w:eastAsia="宋体" w:hAnsi="宋体" w:cs="宋体"/>
          <w:b/>
          <w:bCs/>
          <w:sz w:val="18"/>
          <w:szCs w:val="18"/>
        </w:rPr>
      </w:pPr>
      <w:bookmarkStart w:id="26" w:name="_Toc988915"/>
      <w:r>
        <w:rPr>
          <w:rFonts w:ascii="宋体" w:eastAsia="宋体" w:hAnsi="宋体" w:cs="宋体"/>
          <w:b/>
          <w:bCs/>
          <w:sz w:val="18"/>
          <w:szCs w:val="18"/>
        </w:rPr>
        <w:lastRenderedPageBreak/>
        <w:t>（7） 公司报告期内业务、产品或服务发生重大变化或调整有关情况</w:t>
      </w:r>
      <w:bookmarkEnd w:id="2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 w:val="18"/>
          <w:szCs w:val="18"/>
        </w:rPr>
      </w:pPr>
      <w:bookmarkStart w:id="27" w:name="_Toc988916"/>
      <w:r>
        <w:rPr>
          <w:rFonts w:ascii="宋体" w:eastAsia="宋体" w:hAnsi="宋体" w:cs="宋体"/>
          <w:b/>
          <w:bCs/>
          <w:sz w:val="18"/>
          <w:szCs w:val="18"/>
        </w:rPr>
        <w:t>（8） 主要销售客户和主要供应商情况</w:t>
      </w:r>
      <w:bookmarkEnd w:id="27"/>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公司主要销售客户情况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前五名客户合计销售金额（元）</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3,331,542,642.99</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前五名客户合计销售金额占年度销售总额比例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24.32%</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前五名客户销售额中关联方销售额占年度销售总额比例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公司前5大客户资料</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序号</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客户名称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销售额（元）</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占年度销售总额比例</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第一名</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1,603,980,732.14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11.71%</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第二名</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579,547,184.86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4.23%</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第三名</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479,070,794.13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第四名</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373,186,983.45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2.72%</w:t>
            </w:r>
          </w:p>
        </w:tc>
      </w:tr>
      <w:tr w:rsidR="000D58D8" w:rsidTr="00F54E4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第五名</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295,756,948.41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2.16%</w:t>
            </w:r>
          </w:p>
        </w:tc>
      </w:tr>
      <w:tr w:rsidR="000D58D8" w:rsidTr="00F54E4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0D58D8" w:rsidRDefault="000F627F" w:rsidP="00F54E4B">
            <w:pPr>
              <w:spacing w:line="240" w:lineRule="exact"/>
              <w:rPr>
                <w:rFonts w:ascii="宋体" w:eastAsia="宋体" w:hAnsi="宋体" w:cs="宋体"/>
                <w:sz w:val="18"/>
                <w:szCs w:val="18"/>
              </w:rPr>
            </w:pP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3,331,542,642.99</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24.32%</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主要客户其他情况说明</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公司主要供应商情况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前五名供应商合计采购金额（元）</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1,366,273,186.42</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前五名供应商合计采购金额占年度采购总额比例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13.34%</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前五名供应商采购额中关联方采购额占年度采购总额比例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公司前5名供应商资料</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序号</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供应商名称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采购额（元）</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占年度采购总额比例</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第一名</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284,223,192.33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2.77%</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第二名</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289,598,830.54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2.83%</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第三名</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280,096,218.22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2.73%</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第四名</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273,122,907.34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2.67%</w:t>
            </w:r>
          </w:p>
        </w:tc>
      </w:tr>
      <w:tr w:rsidR="000D58D8" w:rsidTr="00F54E4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第五名</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239,232,037.99</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2.34%</w:t>
            </w:r>
          </w:p>
        </w:tc>
      </w:tr>
      <w:tr w:rsidR="000D58D8" w:rsidTr="00F54E4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0D58D8" w:rsidRDefault="000F627F" w:rsidP="00F54E4B">
            <w:pPr>
              <w:spacing w:before="40" w:after="40" w:line="240" w:lineRule="exact"/>
              <w:rPr>
                <w:rFonts w:ascii="宋体" w:eastAsia="宋体" w:hAnsi="宋体" w:cs="宋体"/>
                <w:sz w:val="18"/>
                <w:szCs w:val="18"/>
              </w:rPr>
            </w:pP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1,366,273,186.42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13.34%</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主要供应</w:t>
      </w:r>
      <w:proofErr w:type="gramStart"/>
      <w:r>
        <w:rPr>
          <w:rFonts w:ascii="宋体" w:eastAsia="宋体" w:hAnsi="宋体" w:cs="宋体"/>
          <w:sz w:val="18"/>
          <w:szCs w:val="18"/>
        </w:rPr>
        <w:t>商其他</w:t>
      </w:r>
      <w:proofErr w:type="gramEnd"/>
      <w:r>
        <w:rPr>
          <w:rFonts w:ascii="宋体" w:eastAsia="宋体" w:hAnsi="宋体" w:cs="宋体"/>
          <w:sz w:val="18"/>
          <w:szCs w:val="18"/>
        </w:rPr>
        <w:t>情况说明</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28" w:name="_Toc988917"/>
      <w:r>
        <w:rPr>
          <w:rFonts w:ascii="宋体" w:hAnsi="宋体" w:cs="宋体"/>
          <w:b/>
          <w:bCs/>
        </w:rPr>
        <w:t>3、费用</w:t>
      </w:r>
      <w:bookmarkEnd w:id="28"/>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rsidTr="00F54E4B">
        <w:trPr>
          <w:trHeight w:val="240"/>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重大变动说明</w:t>
            </w:r>
          </w:p>
        </w:tc>
      </w:tr>
      <w:tr w:rsidR="000D58D8" w:rsidTr="00F54E4B">
        <w:trPr>
          <w:trHeight w:val="240"/>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销售费用</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114,860,021.17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125,342,768.48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-8.36%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F54E4B">
        <w:trPr>
          <w:trHeight w:val="240"/>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管理费用</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352,791,850.00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380,056,876.68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F54E4B">
        <w:trPr>
          <w:trHeight w:val="240"/>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财务费用</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180,723,068.06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251,480,147.62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-28.14%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F54E4B">
        <w:trPr>
          <w:trHeight w:val="240"/>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研发费用</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113,213,368.59</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110,377,111.52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公司需遵守《深圳证券交易所上市公司自律监管指引第3号——行业信息披露》中纺织服装相关业的披露要求</w:t>
      </w:r>
    </w:p>
    <w:p w:rsidR="000F627F" w:rsidRDefault="000F627F">
      <w:pPr>
        <w:pStyle w:val="a3"/>
        <w:divId w:val="19862720"/>
        <w:rPr>
          <w:sz w:val="18"/>
          <w:szCs w:val="18"/>
        </w:rPr>
      </w:pPr>
      <w:r>
        <w:rPr>
          <w:rFonts w:hint="eastAsia"/>
          <w:sz w:val="18"/>
          <w:szCs w:val="18"/>
        </w:rPr>
        <w:t>销售费用</w:t>
      </w:r>
    </w:p>
    <w:tbl>
      <w:tblPr>
        <w:tblW w:w="9577" w:type="dxa"/>
        <w:jc w:val="center"/>
        <w:tblCellMar>
          <w:left w:w="0" w:type="dxa"/>
          <w:right w:w="0" w:type="dxa"/>
        </w:tblCellMar>
        <w:tblLook w:val="04A0" w:firstRow="1" w:lastRow="0" w:firstColumn="1" w:lastColumn="0" w:noHBand="0" w:noVBand="1"/>
        <w:tblCaption w:val="D:\大华\华孚\2023年度\TB|0-合并TB-华孚时尚股份有限公司-2023年度.xlsx|W附注模板|_jds248|0|desc|||0|1"/>
      </w:tblPr>
      <w:tblGrid>
        <w:gridCol w:w="3171"/>
        <w:gridCol w:w="3171"/>
        <w:gridCol w:w="3235"/>
      </w:tblGrid>
      <w:tr w:rsidR="000F627F" w:rsidTr="00F54E4B">
        <w:trPr>
          <w:divId w:val="19862720"/>
          <w:trHeight w:val="285"/>
          <w:jc w:val="center"/>
        </w:trPr>
        <w:tc>
          <w:tcPr>
            <w:tcW w:w="317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center"/>
              <w:rPr>
                <w:rFonts w:asciiTheme="minorEastAsia" w:hAnsiTheme="minorEastAsia" w:cs="宋体"/>
                <w:color w:val="000000"/>
                <w:sz w:val="18"/>
                <w:szCs w:val="18"/>
              </w:rPr>
            </w:pPr>
            <w:r w:rsidRPr="00F54E4B">
              <w:rPr>
                <w:rFonts w:asciiTheme="minorEastAsia" w:hAnsiTheme="minorEastAsia" w:hint="eastAsia"/>
                <w:color w:val="000000"/>
                <w:sz w:val="18"/>
                <w:szCs w:val="18"/>
              </w:rPr>
              <w:t> 项目 </w:t>
            </w:r>
          </w:p>
        </w:tc>
        <w:tc>
          <w:tcPr>
            <w:tcW w:w="317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center"/>
              <w:rPr>
                <w:rFonts w:asciiTheme="minorEastAsia" w:hAnsiTheme="minorEastAsia" w:cs="宋体"/>
                <w:color w:val="000000"/>
                <w:sz w:val="18"/>
                <w:szCs w:val="18"/>
              </w:rPr>
            </w:pPr>
            <w:r w:rsidRPr="00F54E4B">
              <w:rPr>
                <w:rFonts w:asciiTheme="minorEastAsia" w:hAnsiTheme="minorEastAsia" w:hint="eastAsia"/>
                <w:color w:val="000000"/>
                <w:sz w:val="18"/>
                <w:szCs w:val="18"/>
              </w:rPr>
              <w:t> 本期发生额 </w:t>
            </w:r>
          </w:p>
        </w:tc>
        <w:tc>
          <w:tcPr>
            <w:tcW w:w="323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center"/>
              <w:rPr>
                <w:rFonts w:asciiTheme="minorEastAsia" w:hAnsiTheme="minorEastAsia" w:cs="宋体"/>
                <w:color w:val="000000"/>
                <w:sz w:val="18"/>
                <w:szCs w:val="18"/>
              </w:rPr>
            </w:pPr>
            <w:r w:rsidRPr="00F54E4B">
              <w:rPr>
                <w:rFonts w:asciiTheme="minorEastAsia" w:hAnsiTheme="minorEastAsia" w:hint="eastAsia"/>
                <w:color w:val="000000"/>
                <w:sz w:val="18"/>
                <w:szCs w:val="18"/>
              </w:rPr>
              <w:t> 上期发生额 </w:t>
            </w:r>
          </w:p>
        </w:tc>
      </w:tr>
      <w:tr w:rsidR="000F627F" w:rsidTr="00F54E4B">
        <w:trPr>
          <w:divId w:val="19862720"/>
          <w:trHeight w:val="270"/>
          <w:jc w:val="center"/>
        </w:trPr>
        <w:tc>
          <w:tcPr>
            <w:tcW w:w="31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rPr>
                <w:rFonts w:asciiTheme="minorEastAsia" w:hAnsiTheme="minorEastAsia" w:cs="宋体"/>
                <w:color w:val="000000"/>
                <w:sz w:val="18"/>
                <w:szCs w:val="18"/>
              </w:rPr>
            </w:pPr>
            <w:r w:rsidRPr="00F54E4B">
              <w:rPr>
                <w:rFonts w:asciiTheme="minorEastAsia" w:hAnsiTheme="minorEastAsia" w:hint="eastAsia"/>
                <w:color w:val="000000"/>
                <w:sz w:val="18"/>
                <w:szCs w:val="18"/>
              </w:rPr>
              <w:t> 工资及相关费用 </w:t>
            </w:r>
          </w:p>
        </w:tc>
        <w:tc>
          <w:tcPr>
            <w:tcW w:w="31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36,579,737.02</w:t>
            </w:r>
          </w:p>
        </w:tc>
        <w:tc>
          <w:tcPr>
            <w:tcW w:w="32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42,468,429.28</w:t>
            </w:r>
          </w:p>
        </w:tc>
      </w:tr>
      <w:tr w:rsidR="000F627F" w:rsidTr="00F54E4B">
        <w:trPr>
          <w:divId w:val="19862720"/>
          <w:trHeight w:val="270"/>
          <w:jc w:val="center"/>
        </w:trPr>
        <w:tc>
          <w:tcPr>
            <w:tcW w:w="31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rPr>
                <w:rFonts w:asciiTheme="minorEastAsia" w:hAnsiTheme="minorEastAsia" w:cs="宋体"/>
                <w:color w:val="000000"/>
                <w:sz w:val="18"/>
                <w:szCs w:val="18"/>
              </w:rPr>
            </w:pPr>
            <w:r w:rsidRPr="00F54E4B">
              <w:rPr>
                <w:rFonts w:asciiTheme="minorEastAsia" w:hAnsiTheme="minorEastAsia" w:hint="eastAsia"/>
                <w:color w:val="000000"/>
                <w:sz w:val="18"/>
                <w:szCs w:val="18"/>
              </w:rPr>
              <w:t> 办公费用 </w:t>
            </w:r>
          </w:p>
        </w:tc>
        <w:tc>
          <w:tcPr>
            <w:tcW w:w="31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1,267,863.65</w:t>
            </w:r>
          </w:p>
        </w:tc>
        <w:tc>
          <w:tcPr>
            <w:tcW w:w="32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3,033,225.71</w:t>
            </w:r>
          </w:p>
        </w:tc>
      </w:tr>
      <w:tr w:rsidR="000F627F" w:rsidTr="00F54E4B">
        <w:trPr>
          <w:divId w:val="19862720"/>
          <w:trHeight w:val="270"/>
          <w:jc w:val="center"/>
        </w:trPr>
        <w:tc>
          <w:tcPr>
            <w:tcW w:w="31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rPr>
                <w:rFonts w:asciiTheme="minorEastAsia" w:hAnsiTheme="minorEastAsia" w:cs="宋体"/>
                <w:color w:val="000000"/>
                <w:sz w:val="18"/>
                <w:szCs w:val="18"/>
              </w:rPr>
            </w:pPr>
            <w:r w:rsidRPr="00F54E4B">
              <w:rPr>
                <w:rFonts w:asciiTheme="minorEastAsia" w:hAnsiTheme="minorEastAsia" w:hint="eastAsia"/>
                <w:color w:val="000000"/>
                <w:sz w:val="18"/>
                <w:szCs w:val="18"/>
              </w:rPr>
              <w:t> 租赁费 </w:t>
            </w:r>
          </w:p>
        </w:tc>
        <w:tc>
          <w:tcPr>
            <w:tcW w:w="31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29,512,278.89</w:t>
            </w:r>
          </w:p>
        </w:tc>
        <w:tc>
          <w:tcPr>
            <w:tcW w:w="32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31,043,710.91</w:t>
            </w:r>
          </w:p>
        </w:tc>
      </w:tr>
      <w:tr w:rsidR="000F627F" w:rsidTr="00F54E4B">
        <w:trPr>
          <w:divId w:val="19862720"/>
          <w:trHeight w:val="270"/>
          <w:jc w:val="center"/>
        </w:trPr>
        <w:tc>
          <w:tcPr>
            <w:tcW w:w="31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rPr>
                <w:rFonts w:asciiTheme="minorEastAsia" w:hAnsiTheme="minorEastAsia" w:cs="宋体"/>
                <w:color w:val="000000"/>
                <w:sz w:val="18"/>
                <w:szCs w:val="18"/>
              </w:rPr>
            </w:pPr>
            <w:r w:rsidRPr="00F54E4B">
              <w:rPr>
                <w:rFonts w:asciiTheme="minorEastAsia" w:hAnsiTheme="minorEastAsia" w:hint="eastAsia"/>
                <w:color w:val="000000"/>
                <w:sz w:val="18"/>
                <w:szCs w:val="18"/>
              </w:rPr>
              <w:t> 开发费 </w:t>
            </w:r>
          </w:p>
        </w:tc>
        <w:tc>
          <w:tcPr>
            <w:tcW w:w="31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xml:space="preserve">　</w:t>
            </w:r>
          </w:p>
        </w:tc>
        <w:tc>
          <w:tcPr>
            <w:tcW w:w="32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653,604.50</w:t>
            </w:r>
          </w:p>
        </w:tc>
      </w:tr>
      <w:tr w:rsidR="000F627F" w:rsidTr="00F54E4B">
        <w:trPr>
          <w:divId w:val="19862720"/>
          <w:trHeight w:val="270"/>
          <w:jc w:val="center"/>
        </w:trPr>
        <w:tc>
          <w:tcPr>
            <w:tcW w:w="31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rPr>
                <w:rFonts w:asciiTheme="minorEastAsia" w:hAnsiTheme="minorEastAsia" w:cs="宋体"/>
                <w:color w:val="000000"/>
                <w:sz w:val="18"/>
                <w:szCs w:val="18"/>
              </w:rPr>
            </w:pPr>
            <w:r w:rsidRPr="00F54E4B">
              <w:rPr>
                <w:rFonts w:asciiTheme="minorEastAsia" w:hAnsiTheme="minorEastAsia" w:hint="eastAsia"/>
                <w:color w:val="000000"/>
                <w:sz w:val="18"/>
                <w:szCs w:val="18"/>
              </w:rPr>
              <w:t> 单证费 </w:t>
            </w:r>
          </w:p>
        </w:tc>
        <w:tc>
          <w:tcPr>
            <w:tcW w:w="31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571.53</w:t>
            </w:r>
          </w:p>
        </w:tc>
        <w:tc>
          <w:tcPr>
            <w:tcW w:w="32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6,315.71</w:t>
            </w:r>
          </w:p>
        </w:tc>
      </w:tr>
      <w:tr w:rsidR="000F627F" w:rsidTr="00F54E4B">
        <w:trPr>
          <w:divId w:val="19862720"/>
          <w:trHeight w:val="270"/>
          <w:jc w:val="center"/>
        </w:trPr>
        <w:tc>
          <w:tcPr>
            <w:tcW w:w="31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rPr>
                <w:rFonts w:asciiTheme="minorEastAsia" w:hAnsiTheme="minorEastAsia" w:cs="宋体"/>
                <w:color w:val="000000"/>
                <w:sz w:val="18"/>
                <w:szCs w:val="18"/>
              </w:rPr>
            </w:pPr>
            <w:r w:rsidRPr="00F54E4B">
              <w:rPr>
                <w:rFonts w:asciiTheme="minorEastAsia" w:hAnsiTheme="minorEastAsia" w:hint="eastAsia"/>
                <w:color w:val="000000"/>
                <w:sz w:val="18"/>
                <w:szCs w:val="18"/>
              </w:rPr>
              <w:t> 低值易耗品 </w:t>
            </w:r>
          </w:p>
        </w:tc>
        <w:tc>
          <w:tcPr>
            <w:tcW w:w="31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1,944,800.80</w:t>
            </w:r>
          </w:p>
        </w:tc>
        <w:tc>
          <w:tcPr>
            <w:tcW w:w="32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1,350,251.61</w:t>
            </w:r>
          </w:p>
        </w:tc>
      </w:tr>
      <w:tr w:rsidR="000F627F" w:rsidTr="00F54E4B">
        <w:trPr>
          <w:divId w:val="19862720"/>
          <w:trHeight w:val="270"/>
          <w:jc w:val="center"/>
        </w:trPr>
        <w:tc>
          <w:tcPr>
            <w:tcW w:w="31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rPr>
                <w:rFonts w:asciiTheme="minorEastAsia" w:hAnsiTheme="minorEastAsia" w:cs="宋体"/>
                <w:color w:val="000000"/>
                <w:sz w:val="18"/>
                <w:szCs w:val="18"/>
              </w:rPr>
            </w:pPr>
            <w:r w:rsidRPr="00F54E4B">
              <w:rPr>
                <w:rFonts w:asciiTheme="minorEastAsia" w:hAnsiTheme="minorEastAsia" w:hint="eastAsia"/>
                <w:color w:val="000000"/>
                <w:sz w:val="18"/>
                <w:szCs w:val="18"/>
              </w:rPr>
              <w:t> 修理费 </w:t>
            </w:r>
          </w:p>
        </w:tc>
        <w:tc>
          <w:tcPr>
            <w:tcW w:w="31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582,725.83</w:t>
            </w:r>
          </w:p>
        </w:tc>
        <w:tc>
          <w:tcPr>
            <w:tcW w:w="32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534,222.13</w:t>
            </w:r>
          </w:p>
        </w:tc>
      </w:tr>
      <w:tr w:rsidR="000F627F" w:rsidTr="00F54E4B">
        <w:trPr>
          <w:divId w:val="19862720"/>
          <w:trHeight w:val="270"/>
          <w:jc w:val="center"/>
        </w:trPr>
        <w:tc>
          <w:tcPr>
            <w:tcW w:w="31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rPr>
                <w:rFonts w:asciiTheme="minorEastAsia" w:hAnsiTheme="minorEastAsia" w:cs="宋体"/>
                <w:color w:val="000000"/>
                <w:sz w:val="18"/>
                <w:szCs w:val="18"/>
              </w:rPr>
            </w:pPr>
            <w:r w:rsidRPr="00F54E4B">
              <w:rPr>
                <w:rFonts w:asciiTheme="minorEastAsia" w:hAnsiTheme="minorEastAsia" w:hint="eastAsia"/>
                <w:color w:val="000000"/>
                <w:sz w:val="18"/>
                <w:szCs w:val="18"/>
              </w:rPr>
              <w:t> 折旧费 </w:t>
            </w:r>
          </w:p>
        </w:tc>
        <w:tc>
          <w:tcPr>
            <w:tcW w:w="31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6,664,881.15</w:t>
            </w:r>
          </w:p>
        </w:tc>
        <w:tc>
          <w:tcPr>
            <w:tcW w:w="32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4,669,566.54</w:t>
            </w:r>
          </w:p>
        </w:tc>
      </w:tr>
      <w:tr w:rsidR="000F627F" w:rsidTr="00F54E4B">
        <w:trPr>
          <w:divId w:val="19862720"/>
          <w:trHeight w:val="270"/>
          <w:jc w:val="center"/>
        </w:trPr>
        <w:tc>
          <w:tcPr>
            <w:tcW w:w="31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rPr>
                <w:rFonts w:asciiTheme="minorEastAsia" w:hAnsiTheme="minorEastAsia" w:cs="宋体"/>
                <w:color w:val="000000"/>
                <w:sz w:val="18"/>
                <w:szCs w:val="18"/>
              </w:rPr>
            </w:pPr>
            <w:r w:rsidRPr="00F54E4B">
              <w:rPr>
                <w:rFonts w:asciiTheme="minorEastAsia" w:hAnsiTheme="minorEastAsia" w:hint="eastAsia"/>
                <w:color w:val="000000"/>
                <w:sz w:val="18"/>
                <w:szCs w:val="18"/>
              </w:rPr>
              <w:t> 差旅费 </w:t>
            </w:r>
          </w:p>
        </w:tc>
        <w:tc>
          <w:tcPr>
            <w:tcW w:w="31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1,486,525.08</w:t>
            </w:r>
          </w:p>
        </w:tc>
        <w:tc>
          <w:tcPr>
            <w:tcW w:w="32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990,940.90</w:t>
            </w:r>
          </w:p>
        </w:tc>
      </w:tr>
      <w:tr w:rsidR="000F627F" w:rsidTr="00F54E4B">
        <w:trPr>
          <w:divId w:val="19862720"/>
          <w:trHeight w:val="270"/>
          <w:jc w:val="center"/>
        </w:trPr>
        <w:tc>
          <w:tcPr>
            <w:tcW w:w="31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rPr>
                <w:rFonts w:asciiTheme="minorEastAsia" w:hAnsiTheme="minorEastAsia" w:cs="宋体"/>
                <w:color w:val="000000"/>
                <w:sz w:val="18"/>
                <w:szCs w:val="18"/>
              </w:rPr>
            </w:pPr>
            <w:r w:rsidRPr="00F54E4B">
              <w:rPr>
                <w:rFonts w:asciiTheme="minorEastAsia" w:hAnsiTheme="minorEastAsia" w:hint="eastAsia"/>
                <w:color w:val="000000"/>
                <w:sz w:val="18"/>
                <w:szCs w:val="18"/>
              </w:rPr>
              <w:t> 业务招待费 </w:t>
            </w:r>
          </w:p>
        </w:tc>
        <w:tc>
          <w:tcPr>
            <w:tcW w:w="31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1,060,527.59</w:t>
            </w:r>
          </w:p>
        </w:tc>
        <w:tc>
          <w:tcPr>
            <w:tcW w:w="32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317,336.82</w:t>
            </w:r>
          </w:p>
        </w:tc>
      </w:tr>
      <w:tr w:rsidR="000F627F" w:rsidTr="00F54E4B">
        <w:trPr>
          <w:divId w:val="19862720"/>
          <w:trHeight w:val="270"/>
          <w:jc w:val="center"/>
        </w:trPr>
        <w:tc>
          <w:tcPr>
            <w:tcW w:w="31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rPr>
                <w:rFonts w:asciiTheme="minorEastAsia" w:hAnsiTheme="minorEastAsia" w:cs="宋体"/>
                <w:color w:val="000000"/>
                <w:sz w:val="18"/>
                <w:szCs w:val="18"/>
              </w:rPr>
            </w:pPr>
            <w:r w:rsidRPr="00F54E4B">
              <w:rPr>
                <w:rFonts w:asciiTheme="minorEastAsia" w:hAnsiTheme="minorEastAsia" w:hint="eastAsia"/>
                <w:color w:val="000000"/>
                <w:sz w:val="18"/>
                <w:szCs w:val="18"/>
              </w:rPr>
              <w:t> 电商平台服务费 </w:t>
            </w:r>
          </w:p>
        </w:tc>
        <w:tc>
          <w:tcPr>
            <w:tcW w:w="31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31,585,723.69</w:t>
            </w:r>
          </w:p>
        </w:tc>
        <w:tc>
          <w:tcPr>
            <w:tcW w:w="32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37,228,023.03</w:t>
            </w:r>
          </w:p>
        </w:tc>
      </w:tr>
      <w:tr w:rsidR="000F627F" w:rsidTr="00F54E4B">
        <w:trPr>
          <w:divId w:val="19862720"/>
          <w:trHeight w:val="270"/>
          <w:jc w:val="center"/>
        </w:trPr>
        <w:tc>
          <w:tcPr>
            <w:tcW w:w="31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rPr>
                <w:rFonts w:asciiTheme="minorEastAsia" w:hAnsiTheme="minorEastAsia" w:cs="宋体"/>
                <w:color w:val="000000"/>
                <w:sz w:val="18"/>
                <w:szCs w:val="18"/>
              </w:rPr>
            </w:pPr>
            <w:r w:rsidRPr="00F54E4B">
              <w:rPr>
                <w:rFonts w:asciiTheme="minorEastAsia" w:hAnsiTheme="minorEastAsia" w:hint="eastAsia"/>
                <w:color w:val="000000"/>
                <w:sz w:val="18"/>
                <w:szCs w:val="18"/>
              </w:rPr>
              <w:t> 其他 </w:t>
            </w:r>
          </w:p>
        </w:tc>
        <w:tc>
          <w:tcPr>
            <w:tcW w:w="31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4,174,385.94</w:t>
            </w:r>
          </w:p>
        </w:tc>
        <w:tc>
          <w:tcPr>
            <w:tcW w:w="32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3,047,141.34</w:t>
            </w:r>
          </w:p>
        </w:tc>
      </w:tr>
      <w:tr w:rsidR="000F627F" w:rsidTr="00F54E4B">
        <w:trPr>
          <w:divId w:val="19862720"/>
          <w:trHeight w:val="285"/>
          <w:jc w:val="center"/>
        </w:trPr>
        <w:tc>
          <w:tcPr>
            <w:tcW w:w="31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center"/>
              <w:rPr>
                <w:rFonts w:asciiTheme="minorEastAsia" w:hAnsiTheme="minorEastAsia" w:cs="宋体"/>
                <w:color w:val="000000"/>
                <w:sz w:val="18"/>
                <w:szCs w:val="18"/>
              </w:rPr>
            </w:pPr>
            <w:r w:rsidRPr="00F54E4B">
              <w:rPr>
                <w:rFonts w:asciiTheme="minorEastAsia" w:hAnsiTheme="minorEastAsia" w:hint="eastAsia"/>
                <w:color w:val="000000"/>
                <w:sz w:val="18"/>
                <w:szCs w:val="18"/>
              </w:rPr>
              <w:t> 合计 </w:t>
            </w:r>
          </w:p>
        </w:tc>
        <w:tc>
          <w:tcPr>
            <w:tcW w:w="31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jc w:val="right"/>
              <w:rPr>
                <w:rFonts w:asciiTheme="minorEastAsia" w:hAnsiTheme="minorEastAsia" w:cs="宋体"/>
                <w:color w:val="000000"/>
                <w:sz w:val="18"/>
                <w:szCs w:val="18"/>
              </w:rPr>
            </w:pPr>
            <w:r w:rsidRPr="00F54E4B">
              <w:rPr>
                <w:rFonts w:asciiTheme="minorEastAsia" w:hAnsiTheme="minorEastAsia" w:hint="eastAsia"/>
                <w:color w:val="000000"/>
                <w:sz w:val="18"/>
                <w:szCs w:val="18"/>
              </w:rPr>
              <w:t>  114,860,021.17</w:t>
            </w:r>
          </w:p>
        </w:tc>
        <w:tc>
          <w:tcPr>
            <w:tcW w:w="32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F54E4B" w:rsidRDefault="000F627F">
            <w:pPr>
              <w:pStyle w:val="a3"/>
              <w:jc w:val="right"/>
              <w:rPr>
                <w:rFonts w:asciiTheme="minorEastAsia" w:eastAsiaTheme="minorEastAsia" w:hAnsiTheme="minorEastAsia"/>
                <w:color w:val="000000"/>
                <w:sz w:val="18"/>
                <w:szCs w:val="18"/>
              </w:rPr>
            </w:pPr>
            <w:r w:rsidRPr="00F54E4B">
              <w:rPr>
                <w:rFonts w:asciiTheme="minorEastAsia" w:eastAsiaTheme="minorEastAsia" w:hAnsiTheme="minorEastAsia" w:hint="eastAsia"/>
                <w:color w:val="000000"/>
                <w:sz w:val="18"/>
                <w:szCs w:val="18"/>
              </w:rPr>
              <w:t>  125,342,768.48</w:t>
            </w:r>
          </w:p>
        </w:tc>
      </w:tr>
    </w:tbl>
    <w:p w:rsidR="000D58D8" w:rsidRDefault="000F627F">
      <w:pPr>
        <w:pStyle w:val="3"/>
        <w:spacing w:line="280" w:lineRule="exact"/>
        <w:jc w:val="left"/>
        <w:rPr>
          <w:rFonts w:ascii="宋体" w:hAnsi="宋体" w:cs="宋体"/>
          <w:b/>
          <w:bCs/>
        </w:rPr>
      </w:pPr>
      <w:bookmarkStart w:id="29" w:name="_Toc988918"/>
      <w:r>
        <w:rPr>
          <w:rFonts w:ascii="宋体" w:hAnsi="宋体" w:cs="宋体"/>
          <w:b/>
          <w:bCs/>
        </w:rPr>
        <w:t>4、纺织服装相关行业信息披露指引要求的其他信息</w:t>
      </w:r>
      <w:bookmarkEnd w:id="2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公司需遵守《深圳证券交易所上市公司自律监管指引第3号——行业信息披露》中纺织服装相关业的披露要求</w:t>
      </w:r>
    </w:p>
    <w:p w:rsidR="000D58D8" w:rsidRDefault="000F627F">
      <w:pPr>
        <w:keepNext/>
        <w:keepLines/>
        <w:spacing w:before="300" w:after="300" w:line="280" w:lineRule="exact"/>
        <w:outlineLvl w:val="3"/>
        <w:rPr>
          <w:rFonts w:ascii="宋体" w:eastAsia="宋体" w:hAnsi="宋体" w:cs="宋体"/>
          <w:b/>
          <w:bCs/>
          <w:szCs w:val="21"/>
        </w:rPr>
      </w:pPr>
      <w:bookmarkStart w:id="30" w:name="_Toc988919"/>
      <w:r>
        <w:rPr>
          <w:rFonts w:ascii="宋体" w:eastAsia="宋体" w:hAnsi="宋体" w:cs="宋体"/>
          <w:b/>
          <w:bCs/>
          <w:szCs w:val="21"/>
        </w:rPr>
        <w:t>（1） 产能情况</w:t>
      </w:r>
      <w:bookmarkEnd w:id="3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公司自有产能状况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r>
      <w:tr w:rsidR="000D58D8" w:rsidTr="00F54E4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总产能</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F54E4B">
            <w:pPr>
              <w:spacing w:line="240" w:lineRule="exact"/>
              <w:jc w:val="right"/>
              <w:rPr>
                <w:rFonts w:ascii="宋体" w:eastAsia="宋体" w:hAnsi="宋体" w:cs="宋体"/>
                <w:sz w:val="18"/>
                <w:szCs w:val="18"/>
              </w:rPr>
            </w:pPr>
            <w:r>
              <w:rPr>
                <w:rFonts w:ascii="宋体" w:eastAsia="宋体" w:hAnsi="宋体" w:cs="宋体"/>
                <w:sz w:val="18"/>
                <w:szCs w:val="18"/>
              </w:rPr>
              <w:t>206万锭</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F54E4B">
            <w:pPr>
              <w:spacing w:line="240" w:lineRule="exact"/>
              <w:jc w:val="right"/>
              <w:rPr>
                <w:rFonts w:ascii="宋体" w:eastAsia="宋体" w:hAnsi="宋体" w:cs="宋体"/>
                <w:sz w:val="18"/>
                <w:szCs w:val="18"/>
              </w:rPr>
            </w:pPr>
            <w:r>
              <w:rPr>
                <w:rFonts w:ascii="宋体" w:eastAsia="宋体" w:hAnsi="宋体" w:cs="宋体"/>
                <w:sz w:val="18"/>
                <w:szCs w:val="18"/>
              </w:rPr>
              <w:t>206万锭</w:t>
            </w:r>
          </w:p>
        </w:tc>
      </w:tr>
      <w:tr w:rsidR="000D58D8" w:rsidTr="00F54E4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产能利用率</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F54E4B">
            <w:pPr>
              <w:spacing w:line="240" w:lineRule="exact"/>
              <w:jc w:val="right"/>
              <w:rPr>
                <w:rFonts w:ascii="宋体" w:eastAsia="宋体" w:hAnsi="宋体" w:cs="宋体"/>
                <w:sz w:val="18"/>
                <w:szCs w:val="18"/>
              </w:rPr>
            </w:pPr>
            <w:r>
              <w:rPr>
                <w:rFonts w:ascii="宋体" w:eastAsia="宋体" w:hAnsi="宋体" w:cs="宋体"/>
                <w:sz w:val="18"/>
                <w:szCs w:val="18"/>
              </w:rPr>
              <w:t>83.00%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F54E4B">
            <w:pPr>
              <w:spacing w:line="240" w:lineRule="exact"/>
              <w:jc w:val="right"/>
              <w:rPr>
                <w:rFonts w:ascii="宋体" w:eastAsia="宋体" w:hAnsi="宋体" w:cs="宋体"/>
                <w:sz w:val="18"/>
                <w:szCs w:val="18"/>
              </w:rPr>
            </w:pPr>
            <w:r>
              <w:rPr>
                <w:rFonts w:ascii="宋体" w:eastAsia="宋体" w:hAnsi="宋体" w:cs="宋体"/>
                <w:sz w:val="18"/>
                <w:szCs w:val="18"/>
              </w:rPr>
              <w:t>80.00%</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产能利用率同比变动超过10% </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是否存在境外产能</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境内</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境外</w:t>
            </w:r>
          </w:p>
        </w:tc>
      </w:tr>
      <w:tr w:rsidR="000D58D8" w:rsidTr="00F54E4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产能的占比</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F54E4B">
            <w:pPr>
              <w:spacing w:line="240" w:lineRule="exact"/>
              <w:jc w:val="right"/>
              <w:rPr>
                <w:rFonts w:ascii="宋体" w:eastAsia="宋体" w:hAnsi="宋体" w:cs="宋体"/>
                <w:sz w:val="18"/>
                <w:szCs w:val="18"/>
              </w:rPr>
            </w:pPr>
            <w:r>
              <w:rPr>
                <w:rFonts w:ascii="宋体" w:eastAsia="宋体" w:hAnsi="宋体" w:cs="宋体"/>
                <w:sz w:val="18"/>
                <w:szCs w:val="18"/>
              </w:rPr>
              <w:t>86.00%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F54E4B">
            <w:pPr>
              <w:spacing w:line="240" w:lineRule="exact"/>
              <w:jc w:val="right"/>
              <w:rPr>
                <w:rFonts w:ascii="宋体" w:eastAsia="宋体" w:hAnsi="宋体" w:cs="宋体"/>
                <w:sz w:val="18"/>
                <w:szCs w:val="18"/>
              </w:rPr>
            </w:pPr>
            <w:r>
              <w:rPr>
                <w:rFonts w:ascii="宋体" w:eastAsia="宋体" w:hAnsi="宋体" w:cs="宋体"/>
                <w:sz w:val="18"/>
                <w:szCs w:val="18"/>
              </w:rPr>
              <w:t>14.00%</w:t>
            </w:r>
          </w:p>
        </w:tc>
      </w:tr>
      <w:tr w:rsidR="000D58D8" w:rsidTr="00F54E4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产能的布局</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F54E4B">
            <w:pPr>
              <w:spacing w:line="240" w:lineRule="exact"/>
              <w:jc w:val="right"/>
              <w:rPr>
                <w:rFonts w:ascii="宋体" w:eastAsia="宋体" w:hAnsi="宋体" w:cs="宋体"/>
                <w:sz w:val="18"/>
                <w:szCs w:val="18"/>
              </w:rPr>
            </w:pPr>
            <w:r>
              <w:rPr>
                <w:rFonts w:ascii="宋体" w:eastAsia="宋体" w:hAnsi="宋体" w:cs="宋体"/>
                <w:sz w:val="18"/>
                <w:szCs w:val="18"/>
              </w:rPr>
              <w:t> 177万锭</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F54E4B">
            <w:pPr>
              <w:spacing w:line="240" w:lineRule="exact"/>
              <w:jc w:val="right"/>
              <w:rPr>
                <w:rFonts w:ascii="宋体" w:eastAsia="宋体" w:hAnsi="宋体" w:cs="宋体"/>
                <w:sz w:val="18"/>
                <w:szCs w:val="18"/>
              </w:rPr>
            </w:pPr>
            <w:r>
              <w:rPr>
                <w:rFonts w:ascii="宋体" w:eastAsia="宋体" w:hAnsi="宋体" w:cs="宋体"/>
                <w:sz w:val="18"/>
                <w:szCs w:val="18"/>
              </w:rPr>
              <w:t> 29万锭</w:t>
            </w:r>
          </w:p>
        </w:tc>
      </w:tr>
      <w:tr w:rsidR="000D58D8" w:rsidTr="00F54E4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产能利用率</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F54E4B">
            <w:pPr>
              <w:spacing w:line="240" w:lineRule="exact"/>
              <w:jc w:val="right"/>
              <w:rPr>
                <w:rFonts w:ascii="宋体" w:eastAsia="宋体" w:hAnsi="宋体" w:cs="宋体"/>
                <w:sz w:val="18"/>
                <w:szCs w:val="18"/>
              </w:rPr>
            </w:pPr>
            <w:r>
              <w:rPr>
                <w:rFonts w:ascii="宋体" w:eastAsia="宋体" w:hAnsi="宋体" w:cs="宋体"/>
                <w:sz w:val="18"/>
                <w:szCs w:val="18"/>
              </w:rPr>
              <w:t>83.00%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F54E4B">
            <w:pPr>
              <w:spacing w:line="240" w:lineRule="exact"/>
              <w:jc w:val="right"/>
              <w:rPr>
                <w:rFonts w:ascii="宋体" w:eastAsia="宋体" w:hAnsi="宋体" w:cs="宋体"/>
                <w:sz w:val="18"/>
                <w:szCs w:val="18"/>
              </w:rPr>
            </w:pPr>
            <w:r>
              <w:rPr>
                <w:rFonts w:ascii="宋体" w:eastAsia="宋体" w:hAnsi="宋体" w:cs="宋体"/>
                <w:sz w:val="18"/>
                <w:szCs w:val="18"/>
              </w:rPr>
              <w:t>80.00%</w:t>
            </w:r>
          </w:p>
        </w:tc>
      </w:tr>
    </w:tbl>
    <w:p w:rsidR="000F627F" w:rsidRPr="00F54E4B" w:rsidRDefault="000F627F" w:rsidP="00F54E4B">
      <w:pPr>
        <w:spacing w:before="100" w:after="100" w:line="240" w:lineRule="exact"/>
        <w:rPr>
          <w:rFonts w:ascii="宋体" w:eastAsia="宋体" w:hAnsi="宋体" w:cs="宋体"/>
          <w:sz w:val="18"/>
          <w:szCs w:val="18"/>
        </w:rPr>
      </w:pPr>
      <w:r>
        <w:rPr>
          <w:rFonts w:ascii="宋体" w:eastAsia="宋体" w:hAnsi="宋体" w:cs="宋体"/>
          <w:sz w:val="18"/>
          <w:szCs w:val="18"/>
        </w:rPr>
        <w:t>公司未来的境外产能扩建计划</w:t>
      </w:r>
      <w:r w:rsidR="00F54E4B">
        <w:rPr>
          <w:rFonts w:ascii="宋体" w:eastAsia="宋体" w:hAnsi="宋体" w:cs="宋体" w:hint="eastAsia"/>
          <w:sz w:val="18"/>
          <w:szCs w:val="18"/>
        </w:rPr>
        <w:t>：</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31" w:name="_Toc988920"/>
      <w:r>
        <w:rPr>
          <w:rFonts w:ascii="宋体" w:eastAsia="宋体" w:hAnsi="宋体" w:cs="宋体"/>
          <w:b/>
          <w:bCs/>
          <w:szCs w:val="21"/>
        </w:rPr>
        <w:t>（2） 销售模式及渠道情况</w:t>
      </w:r>
      <w:bookmarkEnd w:id="3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产品的销售渠道及实际运营方式</w:t>
      </w:r>
    </w:p>
    <w:p w:rsidR="000F627F" w:rsidRDefault="000F627F">
      <w:pPr>
        <w:pStyle w:val="a3"/>
        <w:divId w:val="1546141415"/>
        <w:rPr>
          <w:sz w:val="18"/>
          <w:szCs w:val="18"/>
        </w:rPr>
      </w:pPr>
      <w:r>
        <w:rPr>
          <w:rFonts w:hint="eastAsia"/>
          <w:sz w:val="18"/>
          <w:szCs w:val="18"/>
        </w:rPr>
        <w:t>无。</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01"/>
        <w:gridCol w:w="1771"/>
        <w:gridCol w:w="1772"/>
        <w:gridCol w:w="864"/>
        <w:gridCol w:w="1377"/>
        <w:gridCol w:w="1377"/>
        <w:gridCol w:w="1377"/>
      </w:tblGrid>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销售渠道</w:t>
            </w:r>
          </w:p>
        </w:tc>
        <w:tc>
          <w:tcPr>
            <w:tcW w:w="17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77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86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毛利率比上年同期增减（%）</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线上销售</w:t>
            </w:r>
          </w:p>
        </w:tc>
        <w:tc>
          <w:tcPr>
            <w:tcW w:w="17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146,749,729.95</w:t>
            </w:r>
          </w:p>
        </w:tc>
        <w:tc>
          <w:tcPr>
            <w:tcW w:w="177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86,820,061.31</w:t>
            </w:r>
          </w:p>
        </w:tc>
        <w:tc>
          <w:tcPr>
            <w:tcW w:w="8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40.84%</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7.17%</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-0.02%</w:t>
            </w:r>
          </w:p>
        </w:tc>
      </w:tr>
      <w:tr w:rsidR="000D58D8" w:rsidTr="00F54E4B">
        <w:trPr>
          <w:trHeight w:val="240"/>
        </w:trPr>
        <w:tc>
          <w:tcPr>
            <w:tcW w:w="110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直营销售</w:t>
            </w:r>
          </w:p>
        </w:tc>
        <w:tc>
          <w:tcPr>
            <w:tcW w:w="17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13,516,719,595.73</w:t>
            </w:r>
          </w:p>
        </w:tc>
        <w:tc>
          <w:tcPr>
            <w:tcW w:w="177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12,996,996,023.32</w:t>
            </w:r>
          </w:p>
        </w:tc>
        <w:tc>
          <w:tcPr>
            <w:tcW w:w="8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-4.73%</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-0.01%</w:t>
            </w:r>
          </w:p>
        </w:tc>
      </w:tr>
    </w:tbl>
    <w:p w:rsidR="000D58D8" w:rsidRDefault="000F627F">
      <w:pPr>
        <w:keepNext/>
        <w:keepLines/>
        <w:spacing w:before="300" w:after="300" w:line="280" w:lineRule="exact"/>
        <w:outlineLvl w:val="3"/>
        <w:rPr>
          <w:rFonts w:ascii="宋体" w:eastAsia="宋体" w:hAnsi="宋体" w:cs="宋体"/>
          <w:b/>
          <w:bCs/>
          <w:szCs w:val="21"/>
        </w:rPr>
      </w:pPr>
      <w:bookmarkStart w:id="32" w:name="_Toc988921"/>
      <w:r>
        <w:rPr>
          <w:rFonts w:ascii="宋体" w:eastAsia="宋体" w:hAnsi="宋体" w:cs="宋体"/>
          <w:b/>
          <w:bCs/>
          <w:szCs w:val="21"/>
        </w:rPr>
        <w:t>（3） 加盟、分销</w:t>
      </w:r>
      <w:bookmarkEnd w:id="3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加盟商、分销商实现销售收入占比超过30%</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keepNext/>
        <w:keepLines/>
        <w:spacing w:before="300" w:after="300" w:line="280" w:lineRule="exact"/>
        <w:outlineLvl w:val="3"/>
        <w:rPr>
          <w:rFonts w:ascii="宋体" w:eastAsia="宋体" w:hAnsi="宋体" w:cs="宋体"/>
          <w:b/>
          <w:bCs/>
          <w:szCs w:val="21"/>
        </w:rPr>
      </w:pPr>
      <w:bookmarkStart w:id="33" w:name="_Toc988922"/>
      <w:r>
        <w:rPr>
          <w:rFonts w:ascii="宋体" w:eastAsia="宋体" w:hAnsi="宋体" w:cs="宋体"/>
          <w:b/>
          <w:bCs/>
          <w:szCs w:val="21"/>
        </w:rPr>
        <w:t>（4） 线上销售</w:t>
      </w:r>
      <w:bookmarkEnd w:id="3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线上销售实现销售收入占比超过30%</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是否自建销售平台</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是否与第三</w:t>
      </w:r>
      <w:proofErr w:type="gramStart"/>
      <w:r>
        <w:rPr>
          <w:rFonts w:ascii="宋体" w:eastAsia="宋体" w:hAnsi="宋体" w:cs="宋体"/>
          <w:sz w:val="18"/>
          <w:szCs w:val="18"/>
        </w:rPr>
        <w:t>方销售</w:t>
      </w:r>
      <w:proofErr w:type="gramEnd"/>
      <w:r>
        <w:rPr>
          <w:rFonts w:ascii="宋体" w:eastAsia="宋体" w:hAnsi="宋体" w:cs="宋体"/>
          <w:sz w:val="18"/>
          <w:szCs w:val="18"/>
        </w:rPr>
        <w:t>平台合作</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平台名称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报告期内的交易金额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退货率</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阿里巴巴</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7,663,809.34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抖音</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8,330,719.30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天猫</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72,536,818.14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唯品会</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27,858,794.36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快手</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14,116,966.54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拼多多</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4,340,407.42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天猫超市</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4,733,389.48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得物</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4,590,255.02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小红书</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575,515.10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好衣库</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61,843.26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京东</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1,941,212.00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公司开设或关闭线上销售渠道</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说明对公司当期及未来发展的影响</w:t>
      </w:r>
    </w:p>
    <w:p w:rsidR="000D58D8" w:rsidRDefault="000F627F">
      <w:pPr>
        <w:keepNext/>
        <w:keepLines/>
        <w:spacing w:before="300" w:after="300" w:line="280" w:lineRule="exact"/>
        <w:outlineLvl w:val="3"/>
        <w:rPr>
          <w:rFonts w:ascii="宋体" w:eastAsia="宋体" w:hAnsi="宋体" w:cs="宋体"/>
          <w:b/>
          <w:bCs/>
          <w:szCs w:val="21"/>
        </w:rPr>
      </w:pPr>
      <w:bookmarkStart w:id="34" w:name="_Toc988923"/>
      <w:r>
        <w:rPr>
          <w:rFonts w:ascii="宋体" w:eastAsia="宋体" w:hAnsi="宋体" w:cs="宋体"/>
          <w:b/>
          <w:bCs/>
          <w:szCs w:val="21"/>
        </w:rPr>
        <w:t>（5） 代运营模式</w:t>
      </w:r>
      <w:bookmarkEnd w:id="34"/>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是否涉及代运营模式</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keepNext/>
        <w:keepLines/>
        <w:spacing w:before="300" w:after="300" w:line="280" w:lineRule="exact"/>
        <w:outlineLvl w:val="3"/>
        <w:rPr>
          <w:rFonts w:ascii="宋体" w:eastAsia="宋体" w:hAnsi="宋体" w:cs="宋体"/>
          <w:b/>
          <w:bCs/>
          <w:szCs w:val="21"/>
        </w:rPr>
      </w:pPr>
      <w:bookmarkStart w:id="35" w:name="_Toc988924"/>
      <w:r>
        <w:rPr>
          <w:rFonts w:ascii="宋体" w:eastAsia="宋体" w:hAnsi="宋体" w:cs="宋体"/>
          <w:b/>
          <w:bCs/>
          <w:szCs w:val="21"/>
        </w:rPr>
        <w:t>（6） 存货情况</w:t>
      </w:r>
      <w:bookmarkEnd w:id="35"/>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存货情况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存货周转天数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存货数量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存货库龄</w:t>
            </w:r>
            <w:proofErr w:type="gramEnd"/>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存货余额同比增减情况</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0D58D8" w:rsidTr="00F54E4B">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纱线</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rsidP="00F54E4B">
            <w:pPr>
              <w:spacing w:line="240" w:lineRule="exact"/>
              <w:jc w:val="right"/>
              <w:rPr>
                <w:rFonts w:ascii="宋体" w:eastAsia="宋体" w:hAnsi="宋体" w:cs="宋体"/>
                <w:sz w:val="18"/>
                <w:szCs w:val="18"/>
              </w:rPr>
            </w:pPr>
            <w:r>
              <w:rPr>
                <w:rFonts w:ascii="宋体" w:eastAsia="宋体" w:hAnsi="宋体" w:cs="宋体"/>
                <w:sz w:val="18"/>
                <w:szCs w:val="18"/>
              </w:rPr>
              <w:t>153</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rsidP="00F54E4B">
            <w:pPr>
              <w:spacing w:line="240" w:lineRule="exact"/>
              <w:jc w:val="right"/>
              <w:rPr>
                <w:rFonts w:ascii="宋体" w:eastAsia="宋体" w:hAnsi="宋体" w:cs="宋体"/>
                <w:sz w:val="18"/>
                <w:szCs w:val="18"/>
              </w:rPr>
            </w:pPr>
            <w:r>
              <w:rPr>
                <w:rFonts w:ascii="宋体" w:eastAsia="宋体" w:hAnsi="宋体" w:cs="宋体"/>
                <w:sz w:val="18"/>
                <w:szCs w:val="18"/>
              </w:rPr>
              <w:t>66,952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rsidP="00F54E4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rsidP="00F54E4B">
            <w:pPr>
              <w:spacing w:line="240" w:lineRule="exact"/>
              <w:jc w:val="right"/>
              <w:rPr>
                <w:rFonts w:ascii="宋体" w:eastAsia="宋体" w:hAnsi="宋体" w:cs="宋体"/>
                <w:sz w:val="18"/>
                <w:szCs w:val="18"/>
              </w:rPr>
            </w:pPr>
            <w:r>
              <w:rPr>
                <w:rFonts w:ascii="宋体" w:eastAsia="宋体" w:hAnsi="宋体" w:cs="宋体"/>
                <w:sz w:val="18"/>
                <w:szCs w:val="18"/>
              </w:rPr>
              <w:t>10.88%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F54E4B">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 原、色</w:t>
            </w:r>
            <w:proofErr w:type="gramStart"/>
            <w:r>
              <w:rPr>
                <w:rFonts w:ascii="宋体" w:eastAsia="宋体" w:hAnsi="宋体" w:cs="宋体"/>
                <w:sz w:val="18"/>
                <w:szCs w:val="18"/>
              </w:rPr>
              <w:t>纤</w:t>
            </w:r>
            <w:proofErr w:type="gramEnd"/>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rsidP="00F54E4B">
            <w:pPr>
              <w:spacing w:line="240" w:lineRule="exact"/>
              <w:jc w:val="right"/>
              <w:rPr>
                <w:rFonts w:ascii="宋体" w:eastAsia="宋体" w:hAnsi="宋体" w:cs="宋体"/>
                <w:sz w:val="18"/>
                <w:szCs w:val="18"/>
              </w:rPr>
            </w:pPr>
            <w:r>
              <w:rPr>
                <w:rFonts w:ascii="宋体" w:eastAsia="宋体" w:hAnsi="宋体" w:cs="宋体"/>
                <w:sz w:val="18"/>
                <w:szCs w:val="18"/>
              </w:rPr>
              <w:t>136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rsidP="00F54E4B">
            <w:pPr>
              <w:spacing w:line="240" w:lineRule="exact"/>
              <w:jc w:val="right"/>
              <w:rPr>
                <w:rFonts w:ascii="宋体" w:eastAsia="宋体" w:hAnsi="宋体" w:cs="宋体"/>
                <w:sz w:val="18"/>
                <w:szCs w:val="18"/>
              </w:rPr>
            </w:pPr>
            <w:r>
              <w:rPr>
                <w:rFonts w:ascii="宋体" w:eastAsia="宋体" w:hAnsi="宋体" w:cs="宋体"/>
                <w:sz w:val="18"/>
                <w:szCs w:val="18"/>
              </w:rPr>
              <w:t>181,672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rsidP="00F54E4B">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rsidP="00F54E4B">
            <w:pPr>
              <w:spacing w:line="240" w:lineRule="exact"/>
              <w:jc w:val="right"/>
              <w:rPr>
                <w:rFonts w:ascii="宋体" w:eastAsia="宋体" w:hAnsi="宋体" w:cs="宋体"/>
                <w:sz w:val="18"/>
                <w:szCs w:val="18"/>
              </w:rPr>
            </w:pPr>
            <w:r>
              <w:rPr>
                <w:rFonts w:ascii="宋体" w:eastAsia="宋体" w:hAnsi="宋体" w:cs="宋体"/>
                <w:sz w:val="18"/>
                <w:szCs w:val="18"/>
              </w:rPr>
              <w:t>-16.79%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主要系棉花库存增加所致</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存货跌价准备的计提情况</w:t>
      </w:r>
    </w:p>
    <w:tbl>
      <w:tblPr>
        <w:tblW w:w="9606" w:type="dxa"/>
        <w:tblCellMar>
          <w:left w:w="0" w:type="dxa"/>
          <w:right w:w="0" w:type="dxa"/>
        </w:tblCellMar>
        <w:tblLook w:val="04A0" w:firstRow="1" w:lastRow="0" w:firstColumn="1" w:lastColumn="0" w:noHBand="0" w:noVBand="1"/>
        <w:tblCaption w:val="D:\大华\华孚\2023年度\TB|0-合并TB-华孚时尚股份有限公司-2023年度.xlsx|W附注模板|_jds88|0|desc|||0|1"/>
      </w:tblPr>
      <w:tblGrid>
        <w:gridCol w:w="688"/>
        <w:gridCol w:w="1476"/>
        <w:gridCol w:w="1296"/>
        <w:gridCol w:w="602"/>
        <w:gridCol w:w="1386"/>
        <w:gridCol w:w="1476"/>
        <w:gridCol w:w="1296"/>
        <w:gridCol w:w="1386"/>
      </w:tblGrid>
      <w:tr w:rsidR="000F627F" w:rsidRPr="00F54E4B" w:rsidTr="00F54E4B">
        <w:trPr>
          <w:divId w:val="192497511"/>
          <w:trHeight w:val="340"/>
          <w:tblHeader/>
        </w:trPr>
        <w:tc>
          <w:tcPr>
            <w:tcW w:w="123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pPr>
              <w:pStyle w:val="a3"/>
              <w:spacing w:before="0" w:beforeAutospacing="0" w:after="0" w:afterAutospacing="0"/>
              <w:jc w:val="center"/>
              <w:rPr>
                <w:rFonts w:asciiTheme="minorEastAsia" w:eastAsiaTheme="minorEastAsia" w:hAnsiTheme="minorEastAsia" w:cs="Times New Roman"/>
                <w:sz w:val="18"/>
                <w:szCs w:val="21"/>
              </w:rPr>
            </w:pPr>
            <w:r w:rsidRPr="00F54E4B">
              <w:rPr>
                <w:rFonts w:asciiTheme="minorEastAsia" w:eastAsiaTheme="minorEastAsia" w:hAnsiTheme="minorEastAsia" w:cs="Times New Roman" w:hint="eastAsia"/>
                <w:sz w:val="18"/>
                <w:szCs w:val="15"/>
              </w:rPr>
              <w:t>项目</w:t>
            </w:r>
          </w:p>
        </w:tc>
        <w:tc>
          <w:tcPr>
            <w:tcW w:w="12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pPr>
              <w:pStyle w:val="a3"/>
              <w:spacing w:before="0" w:beforeAutospacing="0" w:after="0" w:afterAutospacing="0"/>
              <w:jc w:val="center"/>
              <w:rPr>
                <w:rFonts w:asciiTheme="minorEastAsia" w:eastAsiaTheme="minorEastAsia" w:hAnsiTheme="minorEastAsia" w:cs="Times New Roman"/>
                <w:sz w:val="18"/>
                <w:szCs w:val="21"/>
              </w:rPr>
            </w:pPr>
            <w:r w:rsidRPr="00F54E4B">
              <w:rPr>
                <w:rFonts w:asciiTheme="minorEastAsia" w:eastAsiaTheme="minorEastAsia" w:hAnsiTheme="minorEastAsia" w:cs="Times New Roman" w:hint="eastAsia"/>
                <w:sz w:val="18"/>
                <w:szCs w:val="15"/>
              </w:rPr>
              <w:t>期初余额</w:t>
            </w:r>
          </w:p>
        </w:tc>
        <w:tc>
          <w:tcPr>
            <w:tcW w:w="2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pPr>
              <w:pStyle w:val="a3"/>
              <w:spacing w:before="0" w:beforeAutospacing="0" w:after="0" w:afterAutospacing="0"/>
              <w:jc w:val="center"/>
              <w:rPr>
                <w:rFonts w:asciiTheme="minorEastAsia" w:eastAsiaTheme="minorEastAsia" w:hAnsiTheme="minorEastAsia" w:cs="Times New Roman"/>
                <w:sz w:val="18"/>
                <w:szCs w:val="21"/>
              </w:rPr>
            </w:pPr>
            <w:r w:rsidRPr="00F54E4B">
              <w:rPr>
                <w:rFonts w:asciiTheme="minorEastAsia" w:eastAsiaTheme="minorEastAsia" w:hAnsiTheme="minorEastAsia" w:cs="Times New Roman" w:hint="eastAsia"/>
                <w:sz w:val="18"/>
                <w:szCs w:val="15"/>
              </w:rPr>
              <w:t>本期增加金额</w:t>
            </w:r>
          </w:p>
        </w:tc>
        <w:tc>
          <w:tcPr>
            <w:tcW w:w="35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pPr>
              <w:pStyle w:val="a3"/>
              <w:spacing w:before="0" w:beforeAutospacing="0" w:after="0" w:afterAutospacing="0"/>
              <w:jc w:val="center"/>
              <w:rPr>
                <w:rFonts w:asciiTheme="minorEastAsia" w:eastAsiaTheme="minorEastAsia" w:hAnsiTheme="minorEastAsia" w:cs="Times New Roman"/>
                <w:sz w:val="18"/>
                <w:szCs w:val="21"/>
              </w:rPr>
            </w:pPr>
            <w:r w:rsidRPr="00F54E4B">
              <w:rPr>
                <w:rFonts w:asciiTheme="minorEastAsia" w:eastAsiaTheme="minorEastAsia" w:hAnsiTheme="minorEastAsia" w:cs="Times New Roman" w:hint="eastAsia"/>
                <w:sz w:val="18"/>
                <w:szCs w:val="15"/>
              </w:rPr>
              <w:t>本期减少金额</w:t>
            </w:r>
          </w:p>
        </w:tc>
        <w:tc>
          <w:tcPr>
            <w:tcW w:w="12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pPr>
              <w:pStyle w:val="a3"/>
              <w:spacing w:before="0" w:beforeAutospacing="0" w:after="0" w:afterAutospacing="0"/>
              <w:jc w:val="center"/>
              <w:rPr>
                <w:rFonts w:asciiTheme="minorEastAsia" w:eastAsiaTheme="minorEastAsia" w:hAnsiTheme="minorEastAsia" w:cs="Times New Roman"/>
                <w:sz w:val="18"/>
                <w:szCs w:val="21"/>
              </w:rPr>
            </w:pPr>
            <w:r w:rsidRPr="00F54E4B">
              <w:rPr>
                <w:rFonts w:asciiTheme="minorEastAsia" w:eastAsiaTheme="minorEastAsia" w:hAnsiTheme="minorEastAsia" w:cs="Times New Roman" w:hint="eastAsia"/>
                <w:sz w:val="18"/>
                <w:szCs w:val="15"/>
              </w:rPr>
              <w:t>期末余额</w:t>
            </w:r>
          </w:p>
        </w:tc>
      </w:tr>
      <w:tr w:rsidR="000F627F" w:rsidRPr="00F54E4B" w:rsidTr="00F54E4B">
        <w:trPr>
          <w:divId w:val="192497511"/>
          <w:trHeight w:val="34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627F" w:rsidRPr="00F54E4B" w:rsidRDefault="000F627F">
            <w:pPr>
              <w:rPr>
                <w:rFonts w:asciiTheme="minorEastAsia" w:hAnsiTheme="minorEastAsia" w:cs="Times New Roman"/>
                <w:sz w:val="18"/>
                <w:szCs w:val="21"/>
              </w:rPr>
            </w:pPr>
          </w:p>
        </w:tc>
        <w:tc>
          <w:tcPr>
            <w:tcW w:w="0" w:type="auto"/>
            <w:vMerge/>
            <w:tcBorders>
              <w:top w:val="single" w:sz="8" w:space="0" w:color="auto"/>
              <w:left w:val="nil"/>
              <w:bottom w:val="single" w:sz="8" w:space="0" w:color="auto"/>
              <w:right w:val="single" w:sz="8" w:space="0" w:color="auto"/>
            </w:tcBorders>
            <w:vAlign w:val="center"/>
            <w:hideMark/>
          </w:tcPr>
          <w:p w:rsidR="000F627F" w:rsidRPr="00F54E4B" w:rsidRDefault="000F627F">
            <w:pPr>
              <w:rPr>
                <w:rFonts w:asciiTheme="minorEastAsia" w:hAnsiTheme="minorEastAsia" w:cs="Times New Roman"/>
                <w:sz w:val="18"/>
                <w:szCs w:val="21"/>
              </w:rPr>
            </w:pPr>
          </w:p>
        </w:tc>
        <w:tc>
          <w:tcPr>
            <w:tcW w:w="1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pPr>
              <w:pStyle w:val="a3"/>
              <w:spacing w:before="0" w:beforeAutospacing="0" w:after="0" w:afterAutospacing="0"/>
              <w:jc w:val="center"/>
              <w:rPr>
                <w:rFonts w:asciiTheme="minorEastAsia" w:eastAsiaTheme="minorEastAsia" w:hAnsiTheme="minorEastAsia" w:cs="Times New Roman"/>
                <w:sz w:val="18"/>
                <w:szCs w:val="21"/>
              </w:rPr>
            </w:pPr>
            <w:r w:rsidRPr="00F54E4B">
              <w:rPr>
                <w:rFonts w:asciiTheme="minorEastAsia" w:eastAsiaTheme="minorEastAsia" w:hAnsiTheme="minorEastAsia" w:cs="Times New Roman" w:hint="eastAsia"/>
                <w:sz w:val="18"/>
                <w:szCs w:val="15"/>
              </w:rPr>
              <w:t>计提</w:t>
            </w:r>
          </w:p>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pPr>
              <w:pStyle w:val="a3"/>
              <w:spacing w:before="0" w:beforeAutospacing="0" w:after="0" w:afterAutospacing="0"/>
              <w:jc w:val="center"/>
              <w:rPr>
                <w:rFonts w:asciiTheme="minorEastAsia" w:eastAsiaTheme="minorEastAsia" w:hAnsiTheme="minorEastAsia" w:cs="Times New Roman"/>
                <w:sz w:val="18"/>
                <w:szCs w:val="21"/>
              </w:rPr>
            </w:pPr>
            <w:r w:rsidRPr="00F54E4B">
              <w:rPr>
                <w:rFonts w:asciiTheme="minorEastAsia" w:eastAsiaTheme="minorEastAsia" w:hAnsiTheme="minorEastAsia" w:cs="Times New Roman" w:hint="eastAsia"/>
                <w:sz w:val="18"/>
                <w:szCs w:val="15"/>
              </w:rPr>
              <w:t>其他</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pPr>
              <w:pStyle w:val="a3"/>
              <w:spacing w:before="0" w:beforeAutospacing="0" w:after="0" w:afterAutospacing="0"/>
              <w:jc w:val="center"/>
              <w:rPr>
                <w:rFonts w:asciiTheme="minorEastAsia" w:eastAsiaTheme="minorEastAsia" w:hAnsiTheme="minorEastAsia" w:cs="Times New Roman"/>
                <w:sz w:val="18"/>
                <w:szCs w:val="21"/>
              </w:rPr>
            </w:pPr>
            <w:r w:rsidRPr="00F54E4B">
              <w:rPr>
                <w:rFonts w:asciiTheme="minorEastAsia" w:eastAsiaTheme="minorEastAsia" w:hAnsiTheme="minorEastAsia" w:cs="Times New Roman" w:hint="eastAsia"/>
                <w:sz w:val="18"/>
                <w:szCs w:val="15"/>
              </w:rPr>
              <w:t>转回</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pPr>
              <w:pStyle w:val="a3"/>
              <w:spacing w:before="0" w:beforeAutospacing="0" w:after="0" w:afterAutospacing="0"/>
              <w:jc w:val="center"/>
              <w:rPr>
                <w:rFonts w:asciiTheme="minorEastAsia" w:eastAsiaTheme="minorEastAsia" w:hAnsiTheme="minorEastAsia" w:cs="Times New Roman"/>
                <w:sz w:val="18"/>
                <w:szCs w:val="21"/>
              </w:rPr>
            </w:pPr>
            <w:r w:rsidRPr="00F54E4B">
              <w:rPr>
                <w:rFonts w:asciiTheme="minorEastAsia" w:eastAsiaTheme="minorEastAsia" w:hAnsiTheme="minorEastAsia" w:cs="Times New Roman" w:hint="eastAsia"/>
                <w:sz w:val="18"/>
                <w:szCs w:val="15"/>
              </w:rPr>
              <w:t>转销</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pPr>
              <w:pStyle w:val="a3"/>
              <w:spacing w:before="0" w:beforeAutospacing="0" w:after="0" w:afterAutospacing="0"/>
              <w:jc w:val="center"/>
              <w:rPr>
                <w:rFonts w:asciiTheme="minorEastAsia" w:eastAsiaTheme="minorEastAsia" w:hAnsiTheme="minorEastAsia" w:cs="Times New Roman"/>
                <w:sz w:val="18"/>
                <w:szCs w:val="21"/>
              </w:rPr>
            </w:pPr>
            <w:r w:rsidRPr="00F54E4B">
              <w:rPr>
                <w:rFonts w:asciiTheme="minorEastAsia" w:eastAsiaTheme="minorEastAsia" w:hAnsiTheme="minorEastAsia" w:cs="Times New Roman" w:hint="eastAsia"/>
                <w:sz w:val="18"/>
                <w:szCs w:val="15"/>
              </w:rPr>
              <w:t>其他</w:t>
            </w:r>
          </w:p>
        </w:tc>
        <w:tc>
          <w:tcPr>
            <w:tcW w:w="1275" w:type="dxa"/>
            <w:vMerge/>
            <w:tcBorders>
              <w:top w:val="single" w:sz="8" w:space="0" w:color="auto"/>
              <w:left w:val="nil"/>
              <w:bottom w:val="single" w:sz="8" w:space="0" w:color="auto"/>
              <w:right w:val="single" w:sz="8" w:space="0" w:color="auto"/>
            </w:tcBorders>
            <w:vAlign w:val="center"/>
            <w:hideMark/>
          </w:tcPr>
          <w:p w:rsidR="000F627F" w:rsidRPr="00F54E4B" w:rsidRDefault="000F627F">
            <w:pPr>
              <w:rPr>
                <w:rFonts w:asciiTheme="minorEastAsia" w:hAnsiTheme="minorEastAsia" w:cs="Times New Roman"/>
                <w:sz w:val="18"/>
                <w:szCs w:val="21"/>
              </w:rPr>
            </w:pPr>
          </w:p>
        </w:tc>
      </w:tr>
      <w:tr w:rsidR="000F627F" w:rsidRPr="00F54E4B" w:rsidTr="00F54E4B">
        <w:trPr>
          <w:divId w:val="192497511"/>
          <w:trHeight w:val="340"/>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pPr>
              <w:pStyle w:val="a3"/>
              <w:spacing w:before="0" w:beforeAutospacing="0" w:after="0" w:afterAutospacing="0"/>
              <w:ind w:left="-105" w:right="-105"/>
              <w:rPr>
                <w:rFonts w:asciiTheme="minorEastAsia" w:eastAsiaTheme="minorEastAsia" w:hAnsiTheme="minorEastAsia" w:cs="Times New Roman"/>
                <w:sz w:val="18"/>
                <w:szCs w:val="21"/>
              </w:rPr>
            </w:pPr>
            <w:r w:rsidRPr="00F54E4B">
              <w:rPr>
                <w:rFonts w:asciiTheme="minorEastAsia" w:eastAsiaTheme="minorEastAsia" w:hAnsiTheme="minorEastAsia" w:cs="Times New Roman" w:hint="eastAsia"/>
                <w:sz w:val="18"/>
                <w:szCs w:val="15"/>
              </w:rPr>
              <w:t>原材料</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86,680,947.48</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 </w:t>
            </w:r>
          </w:p>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 </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89,222.63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81,990,422.94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1,044,892.67</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3,556,409.24</w:t>
            </w:r>
          </w:p>
        </w:tc>
      </w:tr>
      <w:tr w:rsidR="000F627F" w:rsidRPr="00F54E4B" w:rsidTr="00F54E4B">
        <w:trPr>
          <w:divId w:val="192497511"/>
          <w:trHeight w:val="340"/>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pPr>
              <w:pStyle w:val="a3"/>
              <w:spacing w:before="0" w:beforeAutospacing="0" w:after="0" w:afterAutospacing="0"/>
              <w:ind w:left="-105" w:right="-105"/>
              <w:rPr>
                <w:rFonts w:asciiTheme="minorEastAsia" w:eastAsiaTheme="minorEastAsia" w:hAnsiTheme="minorEastAsia" w:cs="Times New Roman"/>
                <w:sz w:val="18"/>
                <w:szCs w:val="21"/>
              </w:rPr>
            </w:pPr>
            <w:r w:rsidRPr="00F54E4B">
              <w:rPr>
                <w:rFonts w:asciiTheme="minorEastAsia" w:eastAsiaTheme="minorEastAsia" w:hAnsiTheme="minorEastAsia" w:cs="Times New Roman" w:hint="eastAsia"/>
                <w:sz w:val="18"/>
                <w:szCs w:val="15"/>
              </w:rPr>
              <w:t>在产品</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15,406,278.32</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2,493,162.85</w:t>
            </w:r>
          </w:p>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 </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14,581,699.25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83,851.46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3,233,890.46</w:t>
            </w:r>
          </w:p>
        </w:tc>
      </w:tr>
      <w:tr w:rsidR="000F627F" w:rsidRPr="00F54E4B" w:rsidTr="00F54E4B">
        <w:trPr>
          <w:divId w:val="192497511"/>
          <w:trHeight w:val="340"/>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pPr>
              <w:pStyle w:val="a3"/>
              <w:spacing w:before="0" w:beforeAutospacing="0" w:after="0" w:afterAutospacing="0"/>
              <w:ind w:left="-105" w:right="-105"/>
              <w:rPr>
                <w:rFonts w:asciiTheme="minorEastAsia" w:eastAsiaTheme="minorEastAsia" w:hAnsiTheme="minorEastAsia" w:cs="Times New Roman"/>
                <w:sz w:val="18"/>
                <w:szCs w:val="21"/>
              </w:rPr>
            </w:pPr>
            <w:r w:rsidRPr="00F54E4B">
              <w:rPr>
                <w:rFonts w:asciiTheme="minorEastAsia" w:eastAsiaTheme="minorEastAsia" w:hAnsiTheme="minorEastAsia" w:cs="Times New Roman" w:hint="eastAsia"/>
                <w:sz w:val="18"/>
                <w:szCs w:val="15"/>
              </w:rPr>
              <w:t>库存商品</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203,551,247.41</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 </w:t>
            </w:r>
          </w:p>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 </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28,714,923.57</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107,152,189.16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1,260,555.14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66,423,579.54</w:t>
            </w:r>
          </w:p>
        </w:tc>
      </w:tr>
      <w:tr w:rsidR="000F627F" w:rsidRPr="00F54E4B" w:rsidTr="00F54E4B">
        <w:trPr>
          <w:divId w:val="192497511"/>
          <w:trHeight w:val="340"/>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pPr>
              <w:pStyle w:val="a3"/>
              <w:spacing w:before="0" w:beforeAutospacing="0" w:after="0" w:afterAutospacing="0"/>
              <w:jc w:val="center"/>
              <w:rPr>
                <w:rFonts w:asciiTheme="minorEastAsia" w:eastAsiaTheme="minorEastAsia" w:hAnsiTheme="minorEastAsia" w:cs="Times New Roman"/>
                <w:sz w:val="18"/>
                <w:szCs w:val="21"/>
              </w:rPr>
            </w:pPr>
            <w:r w:rsidRPr="00F54E4B">
              <w:rPr>
                <w:rFonts w:asciiTheme="minorEastAsia" w:eastAsiaTheme="minorEastAsia" w:hAnsiTheme="minorEastAsia" w:cs="Times New Roman" w:hint="eastAsia"/>
                <w:sz w:val="18"/>
                <w:szCs w:val="15"/>
              </w:rPr>
              <w:t>合计</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305,638,473.21</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2,493,162.85</w:t>
            </w:r>
          </w:p>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 </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28,804,146.20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203,724,311.35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2,389,299.27</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F54E4B" w:rsidRDefault="000F627F" w:rsidP="00F54E4B">
            <w:pPr>
              <w:pStyle w:val="a3"/>
              <w:spacing w:before="0" w:beforeAutospacing="0" w:after="0" w:afterAutospacing="0"/>
              <w:jc w:val="right"/>
              <w:rPr>
                <w:rFonts w:asciiTheme="minorEastAsia" w:eastAsiaTheme="minorEastAsia" w:hAnsiTheme="minorEastAsia" w:cs="Times New Roman"/>
                <w:sz w:val="18"/>
                <w:szCs w:val="21"/>
              </w:rPr>
            </w:pPr>
            <w:r w:rsidRPr="00F54E4B">
              <w:rPr>
                <w:rFonts w:asciiTheme="minorEastAsia" w:eastAsiaTheme="minorEastAsia" w:hAnsiTheme="minorEastAsia" w:cs="Times New Roman"/>
                <w:sz w:val="18"/>
                <w:szCs w:val="15"/>
              </w:rPr>
              <w:t>73,213,879.24</w:t>
            </w:r>
          </w:p>
        </w:tc>
      </w:tr>
    </w:tbl>
    <w:p w:rsidR="000D58D8" w:rsidRDefault="000F627F">
      <w:pPr>
        <w:keepNext/>
        <w:keepLines/>
        <w:spacing w:before="300" w:after="300" w:line="280" w:lineRule="exact"/>
        <w:outlineLvl w:val="3"/>
        <w:rPr>
          <w:rFonts w:ascii="宋体" w:eastAsia="宋体" w:hAnsi="宋体" w:cs="宋体"/>
          <w:b/>
          <w:bCs/>
          <w:szCs w:val="21"/>
        </w:rPr>
      </w:pPr>
      <w:bookmarkStart w:id="36" w:name="_Toc988925"/>
      <w:r>
        <w:rPr>
          <w:rFonts w:ascii="宋体" w:eastAsia="宋体" w:hAnsi="宋体" w:cs="宋体"/>
          <w:b/>
          <w:bCs/>
          <w:szCs w:val="21"/>
        </w:rPr>
        <w:t>（7） 品牌建设情况</w:t>
      </w:r>
      <w:bookmarkEnd w:id="3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公司是否涉及生产和销售品牌服装、服饰以及家纺产品</w:t>
      </w:r>
    </w:p>
    <w:p w:rsidR="000D58D8" w:rsidRDefault="000F627F">
      <w:pPr>
        <w:spacing w:before="10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自有品牌</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205"/>
        <w:gridCol w:w="1205"/>
        <w:gridCol w:w="1205"/>
        <w:gridCol w:w="1205"/>
        <w:gridCol w:w="1205"/>
        <w:gridCol w:w="1205"/>
        <w:gridCol w:w="1205"/>
      </w:tblGrid>
      <w:tr w:rsidR="000D58D8">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品牌名称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商标名称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主要产品类型</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特点</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目标客户群</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主要产品价格带</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主要销售区域</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城市级别</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carmalla</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carmalla</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袜子</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时尚可爱</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女性</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30-60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一</w:t>
            </w:r>
            <w:proofErr w:type="gramEnd"/>
            <w:r>
              <w:rPr>
                <w:rFonts w:ascii="宋体" w:eastAsia="宋体" w:hAnsi="宋体" w:cs="宋体"/>
                <w:sz w:val="18"/>
                <w:szCs w:val="18"/>
              </w:rPr>
              <w:t>二线城市</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isku</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isku</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袜子</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w:t>
            </w:r>
            <w:proofErr w:type="gramStart"/>
            <w:r>
              <w:rPr>
                <w:rFonts w:ascii="宋体" w:eastAsia="宋体" w:hAnsi="宋体" w:cs="宋体"/>
                <w:sz w:val="18"/>
                <w:szCs w:val="18"/>
              </w:rPr>
              <w:t>酷潮</w:t>
            </w:r>
            <w:proofErr w:type="gramEnd"/>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男女</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50-80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一</w:t>
            </w:r>
            <w:proofErr w:type="gramEnd"/>
            <w:r>
              <w:rPr>
                <w:rFonts w:ascii="宋体" w:eastAsia="宋体" w:hAnsi="宋体" w:cs="宋体"/>
                <w:sz w:val="18"/>
                <w:szCs w:val="18"/>
              </w:rPr>
              <w:t>二线城市</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ilooklike</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ilooklike</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袜子</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基础简约</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女性</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30-60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一</w:t>
            </w:r>
            <w:proofErr w:type="gramEnd"/>
            <w:r>
              <w:rPr>
                <w:rFonts w:ascii="宋体" w:eastAsia="宋体" w:hAnsi="宋体" w:cs="宋体"/>
                <w:sz w:val="18"/>
                <w:szCs w:val="18"/>
              </w:rPr>
              <w:t>二线城市</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caramella~kids</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caramella~kids</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童袜</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可爱卡通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女性</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30-60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一</w:t>
            </w:r>
            <w:proofErr w:type="gramEnd"/>
            <w:r>
              <w:rPr>
                <w:rFonts w:ascii="宋体" w:eastAsia="宋体" w:hAnsi="宋体" w:cs="宋体"/>
                <w:sz w:val="18"/>
                <w:szCs w:val="18"/>
              </w:rPr>
              <w:t>二线城市</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整季</w:t>
            </w:r>
            <w:proofErr w:type="gramEnd"/>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w:t>
            </w:r>
            <w:proofErr w:type="gramStart"/>
            <w:r>
              <w:rPr>
                <w:rFonts w:ascii="宋体" w:eastAsia="宋体" w:hAnsi="宋体" w:cs="宋体"/>
                <w:sz w:val="18"/>
                <w:szCs w:val="18"/>
              </w:rPr>
              <w:t>整季</w:t>
            </w:r>
            <w:proofErr w:type="gramEnd"/>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袜子</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基础量贩</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男女</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20-100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一二三四线城市</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合作品牌</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4"/>
        <w:gridCol w:w="804"/>
        <w:gridCol w:w="804"/>
        <w:gridCol w:w="803"/>
        <w:gridCol w:w="803"/>
        <w:gridCol w:w="803"/>
        <w:gridCol w:w="803"/>
        <w:gridCol w:w="803"/>
        <w:gridCol w:w="803"/>
        <w:gridCol w:w="803"/>
        <w:gridCol w:w="803"/>
        <w:gridCol w:w="803"/>
      </w:tblGrid>
      <w:tr w:rsidR="000D58D8">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品牌名称</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商标名称</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主要产品类型</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特点</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目标客户群</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主要产品价格带</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主要销售区域</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城市级别</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品牌及商标权权属</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合作方名称</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合作方式</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合作期限</w:t>
            </w:r>
          </w:p>
        </w:tc>
      </w:tr>
      <w:tr w:rsidR="000D58D8">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植物王国</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植物王国</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袜子</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可爱卡通</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儿童</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20-50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一二三线城市</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植物王国</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孩子王儿童用品股份有限公司采购中心</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ODM/OEM</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长期</w:t>
            </w:r>
          </w:p>
        </w:tc>
      </w:tr>
      <w:tr w:rsidR="000D58D8">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名创优品</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名创优品</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袜子</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女性</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18-60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一二三线城市</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名创优品</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名创优品（广州）有限责任公司</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OEM</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长期</w:t>
            </w:r>
          </w:p>
        </w:tc>
      </w:tr>
      <w:tr w:rsidR="000D58D8">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KKV</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KKV</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袜子</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女性</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20-60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一二三线城市</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KKV</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深圳市</w:t>
            </w:r>
            <w:proofErr w:type="gramStart"/>
            <w:r>
              <w:rPr>
                <w:rFonts w:ascii="宋体" w:eastAsia="宋体" w:hAnsi="宋体" w:cs="宋体"/>
                <w:sz w:val="18"/>
                <w:szCs w:val="18"/>
              </w:rPr>
              <w:t>盟客供应链科技</w:t>
            </w:r>
            <w:proofErr w:type="gramEnd"/>
            <w:r>
              <w:rPr>
                <w:rFonts w:ascii="宋体" w:eastAsia="宋体" w:hAnsi="宋体" w:cs="宋体"/>
                <w:sz w:val="18"/>
                <w:szCs w:val="18"/>
              </w:rPr>
              <w:t>有限公司</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OEM</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长期</w:t>
            </w:r>
          </w:p>
        </w:tc>
      </w:tr>
      <w:tr w:rsidR="000D58D8">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诺米</w:t>
            </w:r>
            <w:proofErr w:type="gramEnd"/>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诺米</w:t>
            </w:r>
            <w:proofErr w:type="gramEnd"/>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袜子</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女性</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20-60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一二三线城市</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w:t>
            </w:r>
            <w:proofErr w:type="gramStart"/>
            <w:r>
              <w:rPr>
                <w:rFonts w:ascii="宋体" w:eastAsia="宋体" w:hAnsi="宋体" w:cs="宋体"/>
                <w:sz w:val="18"/>
                <w:szCs w:val="18"/>
              </w:rPr>
              <w:t>诺米</w:t>
            </w:r>
            <w:proofErr w:type="gramEnd"/>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w:t>
            </w:r>
            <w:proofErr w:type="gramStart"/>
            <w:r>
              <w:rPr>
                <w:rFonts w:ascii="宋体" w:eastAsia="宋体" w:hAnsi="宋体" w:cs="宋体"/>
                <w:sz w:val="18"/>
                <w:szCs w:val="18"/>
              </w:rPr>
              <w:t>诺盈</w:t>
            </w:r>
            <w:proofErr w:type="gramEnd"/>
            <w:r>
              <w:rPr>
                <w:rFonts w:ascii="宋体" w:eastAsia="宋体" w:hAnsi="宋体" w:cs="宋体"/>
                <w:sz w:val="18"/>
                <w:szCs w:val="18"/>
              </w:rPr>
              <w:t>(广州)贸易有限公司</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OEM</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长期</w:t>
            </w:r>
          </w:p>
        </w:tc>
      </w:tr>
      <w:tr w:rsidR="000D58D8">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三福百货</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三福百货</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袜子</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女性</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20-50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一二三线城市</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三福百货</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福建三福服饰有限公司</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OEM</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长期</w:t>
            </w:r>
          </w:p>
        </w:tc>
      </w:tr>
      <w:tr w:rsidR="000D58D8">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红豆</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红豆</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袜子</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女性</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20-50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一二三线城市</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红豆</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微原（浙江）商业贸易有限公司</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OEM</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长期</w:t>
            </w:r>
          </w:p>
        </w:tc>
      </w:tr>
      <w:tr w:rsidR="000D58D8">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芬腾</w:t>
            </w:r>
            <w:proofErr w:type="gramEnd"/>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芬腾</w:t>
            </w:r>
            <w:proofErr w:type="gramEnd"/>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袜子</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女性</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20-60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一二三线城市</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芬腾</w:t>
            </w:r>
            <w:proofErr w:type="gramEnd"/>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洪兴（瑞金）实业有限公司</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OEM</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长期</w:t>
            </w:r>
          </w:p>
        </w:tc>
      </w:tr>
      <w:tr w:rsidR="000D58D8">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畹町</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畹町</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袜子</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女性</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20-50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一二三线城市</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畹町</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上海市松江区九里亭街道</w:t>
            </w:r>
            <w:proofErr w:type="gramStart"/>
            <w:r>
              <w:rPr>
                <w:rFonts w:ascii="宋体" w:eastAsia="宋体" w:hAnsi="宋体" w:cs="宋体"/>
                <w:sz w:val="18"/>
                <w:szCs w:val="18"/>
              </w:rPr>
              <w:t>畹</w:t>
            </w:r>
            <w:proofErr w:type="gramEnd"/>
            <w:r>
              <w:rPr>
                <w:rFonts w:ascii="宋体" w:eastAsia="宋体" w:hAnsi="宋体" w:cs="宋体"/>
                <w:sz w:val="18"/>
                <w:szCs w:val="18"/>
              </w:rPr>
              <w:t>悠百货店</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OEM</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长期</w:t>
            </w:r>
          </w:p>
        </w:tc>
      </w:tr>
      <w:tr w:rsidR="000D58D8">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艾诗塔</w:t>
            </w:r>
            <w:proofErr w:type="gramEnd"/>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艾诗塔</w:t>
            </w:r>
            <w:proofErr w:type="gramEnd"/>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袜子</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女性</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20-50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一二三线城市</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艾诗塔</w:t>
            </w:r>
            <w:proofErr w:type="gramEnd"/>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w:t>
            </w:r>
            <w:proofErr w:type="gramStart"/>
            <w:r>
              <w:rPr>
                <w:rFonts w:ascii="宋体" w:eastAsia="宋体" w:hAnsi="宋体" w:cs="宋体"/>
                <w:sz w:val="18"/>
                <w:szCs w:val="18"/>
              </w:rPr>
              <w:t>艾诗塔品牌</w:t>
            </w:r>
            <w:proofErr w:type="gramEnd"/>
            <w:r>
              <w:rPr>
                <w:rFonts w:ascii="宋体" w:eastAsia="宋体" w:hAnsi="宋体" w:cs="宋体"/>
                <w:sz w:val="18"/>
                <w:szCs w:val="18"/>
              </w:rPr>
              <w:t>管理有限公司</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OEM</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长期</w:t>
            </w:r>
          </w:p>
        </w:tc>
      </w:tr>
      <w:tr w:rsidR="000D58D8">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乎兮</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乎兮</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袜子</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成人</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20-50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一二三线城市</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乎兮</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苏州美山子制衣有限公司</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OEM</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长期</w:t>
            </w:r>
          </w:p>
        </w:tc>
      </w:tr>
      <w:tr w:rsidR="000D58D8">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红红红</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红红红</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袜子</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女性</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20-50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一二三线城市</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红红红</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汕头市</w:t>
            </w:r>
            <w:proofErr w:type="gramStart"/>
            <w:r>
              <w:rPr>
                <w:rFonts w:ascii="宋体" w:eastAsia="宋体" w:hAnsi="宋体" w:cs="宋体"/>
                <w:sz w:val="18"/>
                <w:szCs w:val="18"/>
              </w:rPr>
              <w:t>婷</w:t>
            </w:r>
            <w:proofErr w:type="gramEnd"/>
            <w:r>
              <w:rPr>
                <w:rFonts w:ascii="宋体" w:eastAsia="宋体" w:hAnsi="宋体" w:cs="宋体"/>
                <w:sz w:val="18"/>
                <w:szCs w:val="18"/>
              </w:rPr>
              <w:t>媚内衣实业有限公司</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OEM</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长期</w:t>
            </w:r>
          </w:p>
        </w:tc>
      </w:tr>
      <w:tr w:rsidR="000D58D8">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纯棉</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纯棉</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袜子</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女性</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20-50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一二三线城市</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纯棉</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CA-广东纯棉居物医疗科技有限公司</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OEM</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长期</w:t>
            </w:r>
          </w:p>
        </w:tc>
      </w:tr>
      <w:tr w:rsidR="000D58D8">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欧度</w:t>
            </w:r>
            <w:proofErr w:type="gramEnd"/>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欧度</w:t>
            </w:r>
            <w:proofErr w:type="gramEnd"/>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袜子</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男性</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20-50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一二三线城市</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欧度</w:t>
            </w:r>
            <w:proofErr w:type="gramEnd"/>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欧度控股</w:t>
            </w:r>
            <w:proofErr w:type="gramEnd"/>
            <w:r>
              <w:rPr>
                <w:rFonts w:ascii="宋体" w:eastAsia="宋体" w:hAnsi="宋体" w:cs="宋体"/>
                <w:sz w:val="18"/>
                <w:szCs w:val="18"/>
              </w:rPr>
              <w:t>有限公司</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ODM</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长期</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被授权品牌</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7"/>
        <w:gridCol w:w="877"/>
        <w:gridCol w:w="877"/>
        <w:gridCol w:w="876"/>
        <w:gridCol w:w="876"/>
        <w:gridCol w:w="876"/>
        <w:gridCol w:w="876"/>
        <w:gridCol w:w="876"/>
        <w:gridCol w:w="876"/>
        <w:gridCol w:w="876"/>
        <w:gridCol w:w="876"/>
      </w:tblGrid>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品牌名称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商标名称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特点</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目标客户群</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主要产品价格带</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主要销售区域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城市级别</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授权方</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授权期限</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是否为独家授权</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smile</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smile</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袜子</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酷潮</w:t>
            </w:r>
            <w:proofErr w:type="gramEnd"/>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男女</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50-80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一</w:t>
            </w:r>
            <w:proofErr w:type="gramEnd"/>
            <w:r>
              <w:rPr>
                <w:rFonts w:ascii="宋体" w:eastAsia="宋体" w:hAnsi="宋体" w:cs="宋体"/>
                <w:sz w:val="18"/>
                <w:szCs w:val="18"/>
              </w:rPr>
              <w:t>二线城市</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品牌方</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1年</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彼得兔</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彼得兔</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袜子</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可爱卡通</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女性</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30-60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全国</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一</w:t>
            </w:r>
            <w:proofErr w:type="gramEnd"/>
            <w:r>
              <w:rPr>
                <w:rFonts w:ascii="宋体" w:eastAsia="宋体" w:hAnsi="宋体" w:cs="宋体"/>
                <w:sz w:val="18"/>
                <w:szCs w:val="18"/>
              </w:rPr>
              <w:t>二线城市</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品牌方</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3年</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名创优品</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MINISO</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袜子、内衣裤</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16-35岁</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30-90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线上</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一</w:t>
            </w:r>
            <w:proofErr w:type="gramEnd"/>
            <w:r>
              <w:rPr>
                <w:rFonts w:ascii="宋体" w:eastAsia="宋体" w:hAnsi="宋体" w:cs="宋体"/>
                <w:sz w:val="18"/>
                <w:szCs w:val="18"/>
              </w:rPr>
              <w:t>二线城市</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品牌方</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2年</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报告期内各品牌的营销与运营</w:t>
      </w:r>
    </w:p>
    <w:p w:rsidR="000F627F" w:rsidRDefault="000F627F">
      <w:pPr>
        <w:pStyle w:val="a3"/>
        <w:divId w:val="1943414484"/>
        <w:rPr>
          <w:sz w:val="18"/>
          <w:szCs w:val="18"/>
        </w:rPr>
      </w:pPr>
      <w:r>
        <w:rPr>
          <w:rFonts w:hint="eastAsia"/>
          <w:sz w:val="18"/>
          <w:szCs w:val="18"/>
        </w:rPr>
        <w:lastRenderedPageBreak/>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涉及商标权属纠纷等情况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Cs w:val="21"/>
        </w:rPr>
      </w:pPr>
      <w:bookmarkStart w:id="37" w:name="_Toc988926"/>
      <w:r>
        <w:rPr>
          <w:rFonts w:ascii="宋体" w:eastAsia="宋体" w:hAnsi="宋体" w:cs="宋体"/>
          <w:b/>
          <w:bCs/>
          <w:szCs w:val="21"/>
        </w:rPr>
        <w:t>（8） 其他</w:t>
      </w:r>
      <w:bookmarkEnd w:id="37"/>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公司是否从事服装设计相关业务</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652"/>
        <w:gridCol w:w="2126"/>
        <w:gridCol w:w="2410"/>
        <w:gridCol w:w="1451"/>
      </w:tblGrid>
      <w:tr w:rsidR="000D58D8" w:rsidTr="00F54E4B">
        <w:trPr>
          <w:trHeight w:val="240"/>
        </w:trPr>
        <w:tc>
          <w:tcPr>
            <w:tcW w:w="365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自有的服装设计师数量</w:t>
            </w:r>
          </w:p>
        </w:tc>
        <w:tc>
          <w:tcPr>
            <w:tcW w:w="212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签约的服装设计师数量</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w:t>
            </w:r>
          </w:p>
        </w:tc>
      </w:tr>
      <w:tr w:rsidR="000D58D8" w:rsidTr="002469CE">
        <w:trPr>
          <w:trHeight w:val="240"/>
        </w:trPr>
        <w:tc>
          <w:tcPr>
            <w:tcW w:w="365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搭建的设计师平台的运营情况</w:t>
            </w:r>
          </w:p>
        </w:tc>
        <w:tc>
          <w:tcPr>
            <w:tcW w:w="5987"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rsidP="002469CE">
            <w:pPr>
              <w:spacing w:line="240" w:lineRule="exact"/>
              <w:jc w:val="right"/>
              <w:rPr>
                <w:rFonts w:ascii="宋体" w:eastAsia="宋体" w:hAnsi="宋体" w:cs="宋体"/>
                <w:sz w:val="18"/>
                <w:szCs w:val="18"/>
              </w:rPr>
            </w:pPr>
            <w:r>
              <w:rPr>
                <w:rFonts w:ascii="宋体" w:eastAsia="宋体" w:hAnsi="宋体" w:cs="宋体"/>
                <w:sz w:val="18"/>
                <w:szCs w:val="18"/>
              </w:rPr>
              <w:t> 良好</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公司是否举办订货会</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pStyle w:val="3"/>
        <w:spacing w:line="280" w:lineRule="exact"/>
        <w:jc w:val="left"/>
        <w:rPr>
          <w:rFonts w:ascii="宋体" w:hAnsi="宋体" w:cs="宋体"/>
          <w:b/>
          <w:bCs/>
        </w:rPr>
      </w:pPr>
      <w:bookmarkStart w:id="38" w:name="_Toc988927"/>
      <w:r>
        <w:rPr>
          <w:rFonts w:ascii="宋体" w:hAnsi="宋体" w:cs="宋体"/>
          <w:b/>
          <w:bCs/>
        </w:rPr>
        <w:t>5、研发投入</w:t>
      </w:r>
      <w:bookmarkEnd w:id="38"/>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主要研发项目名称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项目目的</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项目进展</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拟达到的目标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预计对公司未来发展的影响</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长短丝覆合</w:t>
            </w:r>
            <w:proofErr w:type="gramEnd"/>
            <w:r>
              <w:rPr>
                <w:rFonts w:ascii="宋体" w:eastAsia="宋体" w:hAnsi="宋体" w:cs="宋体"/>
                <w:sz w:val="18"/>
                <w:szCs w:val="18"/>
              </w:rPr>
              <w:t>纺纱产品开发</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通过设备工艺创新，实现长丝和短</w:t>
            </w:r>
            <w:proofErr w:type="gramStart"/>
            <w:r>
              <w:rPr>
                <w:rFonts w:ascii="宋体" w:eastAsia="宋体" w:hAnsi="宋体" w:cs="宋体"/>
                <w:sz w:val="18"/>
                <w:szCs w:val="18"/>
              </w:rPr>
              <w:t>纤纱覆</w:t>
            </w:r>
            <w:proofErr w:type="gramEnd"/>
            <w:r>
              <w:rPr>
                <w:rFonts w:ascii="宋体" w:eastAsia="宋体" w:hAnsi="宋体" w:cs="宋体"/>
                <w:sz w:val="18"/>
                <w:szCs w:val="18"/>
              </w:rPr>
              <w:t>合，具有抗起毛球、吸湿速干、舒适等功能。</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开发完成，产品推广中</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产品附加值高，在针织、梭织、毛衫等领域推广销售，为公司创造经济效益</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这个产品性能好，应用范围广，新的产品品类开发成功，成为公司新产品销售新的增长点。</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国内品牌</w:t>
            </w:r>
            <w:proofErr w:type="gramStart"/>
            <w:r>
              <w:rPr>
                <w:rFonts w:ascii="宋体" w:eastAsia="宋体" w:hAnsi="宋体" w:cs="宋体"/>
                <w:sz w:val="18"/>
                <w:szCs w:val="18"/>
              </w:rPr>
              <w:t>基因色棉开发</w:t>
            </w:r>
            <w:proofErr w:type="gramEnd"/>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通过染化料优化，染色技术创新，开发具有华孚基因色的产品</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部分完成，持续开发更多的颜色</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难模仿的华孚基因色，耐多洗水洗，颜色深、亮、艳。生产高品质产品。</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巩固华孚色纺纱领军地位</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二醋酸混纺产品开发</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二醋酸纺纱性能试验，染色技术研究，混纺工艺创新，增加穿着舒适感。</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完成开发，推广</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新产品推广，取得较好的经济效益和社会效益。</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产品市场热卖产品，产品性能优良，又具有环保概念，是未来趋势产品，通过环保产品的推广，倡导环保理念，取得品牌信任，扩大华孚产品影响力。</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中长纤维仿毛产品系列开发</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对现有棉纺设备进行改造，纺纱工艺创新，满足中长纤维的纺纱要求，开发异型聚酯纤维仿毛手感产品，聚酯纤维具有毛的柔软弹性手感。</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完成开发，推广</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新产品推广，取得较好的经济效益和社会效益。</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这个产品性能好，价廉物美，节约资源，仿真胜真，新的产品品类开发成功，成为公司新产品销售新的增长点。</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天然植物染料染色纤维色纺产品研发</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棉纤维改性技术研究，植物染料筛选及染色技术开发；植物染色牢度提升及系列产品开发。</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完成开发，推广</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产品健康环保，颜色鲜艳，色牢度达3级以上</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产品颜色来源与大自然的废弃物，健康环保，颜色丰富、色牢度好，具有较强的市场竞争力，降为公司带来较好的经济收益。</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公司研发人员情况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变动比例</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研发人员数量（人）</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734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研发人员数量占比</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4.79%</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0.02%</w:t>
            </w:r>
          </w:p>
        </w:tc>
      </w:tr>
      <w:tr w:rsidR="000D58D8">
        <w:trPr>
          <w:trHeight w:val="240"/>
        </w:trPr>
        <w:tc>
          <w:tcPr>
            <w:tcW w:w="963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研发人员学历结构</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本科</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77</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9.09%</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硕士</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13.33%</w:t>
            </w:r>
          </w:p>
        </w:tc>
      </w:tr>
      <w:tr w:rsidR="000D58D8">
        <w:trPr>
          <w:trHeight w:val="240"/>
        </w:trPr>
        <w:tc>
          <w:tcPr>
            <w:tcW w:w="963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研发人员年龄构成</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30岁以下</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2.65%</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30~40岁</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187</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179</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4.47%</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公司研发投入情况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变动比例</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研发投入金额（元）</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141,374,827.24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139,275,847.34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1.51%</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研发投入占营业收入比例</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0.96%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0.07%</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研发投入资本化的金额（元）</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资本化研发投入占研发投入的比例</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公司研发人员构成发生重大变化的原因及影响</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研发投入总额占营业收入的比重较上年发生显著变化的原因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研发投入资本化率大幅变动的原因及其合理性说明</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39" w:name="_Toc988928"/>
      <w:r>
        <w:rPr>
          <w:rFonts w:ascii="宋体" w:hAnsi="宋体" w:cs="宋体"/>
          <w:b/>
          <w:bCs/>
        </w:rPr>
        <w:t>6、现金流</w:t>
      </w:r>
      <w:bookmarkEnd w:id="39"/>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369"/>
        <w:gridCol w:w="2409"/>
        <w:gridCol w:w="2410"/>
        <w:gridCol w:w="1451"/>
      </w:tblGrid>
      <w:tr w:rsidR="000D58D8" w:rsidTr="000A0ACB">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45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0D58D8" w:rsidTr="000A0ACB">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24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15,229,935,367.53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15,576,199,142.02</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-2.22%</w:t>
            </w:r>
          </w:p>
        </w:tc>
      </w:tr>
      <w:tr w:rsidR="000D58D8" w:rsidTr="000A0ACB">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24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14,372,162,146.14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14,683,236,022.24</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-2.12%</w:t>
            </w:r>
          </w:p>
        </w:tc>
      </w:tr>
      <w:tr w:rsidR="000D58D8" w:rsidTr="000A0ACB">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24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857,773,221.39</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892,963,119.78</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-3.94%</w:t>
            </w:r>
          </w:p>
        </w:tc>
      </w:tr>
      <w:tr w:rsidR="000D58D8" w:rsidTr="000A0ACB">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24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2,631,874,937.71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1,482,534,812.17</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77.53%</w:t>
            </w:r>
          </w:p>
        </w:tc>
      </w:tr>
      <w:tr w:rsidR="000D58D8" w:rsidTr="000A0ACB">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24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2,624,683,063.31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1,910,398,007.96</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37.39%</w:t>
            </w:r>
          </w:p>
        </w:tc>
      </w:tr>
      <w:tr w:rsidR="000D58D8" w:rsidTr="000A0ACB">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24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7,191,874.40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-427,863,195.79</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101.68%</w:t>
            </w:r>
          </w:p>
        </w:tc>
      </w:tr>
      <w:tr w:rsidR="000D58D8" w:rsidTr="000A0ACB">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24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6,187,553,565.07</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10,249,719,110.13</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-39.63%</w:t>
            </w:r>
          </w:p>
        </w:tc>
      </w:tr>
      <w:tr w:rsidR="000D58D8" w:rsidTr="000A0ACB">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24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6,746,019,684.86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11,289,654,743.80</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-40.25%</w:t>
            </w:r>
          </w:p>
        </w:tc>
      </w:tr>
      <w:tr w:rsidR="000D58D8" w:rsidTr="000A0ACB">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24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-558,466,119.79</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-1,039,935,633.67</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46.30%</w:t>
            </w:r>
          </w:p>
        </w:tc>
      </w:tr>
      <w:tr w:rsidR="000D58D8" w:rsidTr="000A0ACB">
        <w:trPr>
          <w:trHeight w:val="240"/>
        </w:trPr>
        <w:tc>
          <w:tcPr>
            <w:tcW w:w="336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现金及现金等价物净增加额</w:t>
            </w:r>
          </w:p>
        </w:tc>
        <w:tc>
          <w:tcPr>
            <w:tcW w:w="24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342,062,003.92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-558,866,418.39</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161.21%</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相关数据同比发生重大变动的主要影响因素说明</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940" w:type="dxa"/>
        <w:tblCellMar>
          <w:left w:w="0" w:type="dxa"/>
          <w:right w:w="0" w:type="dxa"/>
        </w:tblCellMar>
        <w:tblLook w:val="04A0" w:firstRow="1" w:lastRow="0" w:firstColumn="1" w:lastColumn="0" w:noHBand="0" w:noVBand="1"/>
      </w:tblPr>
      <w:tblGrid>
        <w:gridCol w:w="3040"/>
        <w:gridCol w:w="1511"/>
        <w:gridCol w:w="1701"/>
        <w:gridCol w:w="1134"/>
        <w:gridCol w:w="2554"/>
      </w:tblGrid>
      <w:tr w:rsidR="000F627F" w:rsidRPr="000A0ACB" w:rsidTr="000A0ACB">
        <w:trPr>
          <w:divId w:val="1304654961"/>
          <w:trHeight w:val="465"/>
        </w:trPr>
        <w:tc>
          <w:tcPr>
            <w:tcW w:w="304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Pr="000A0ACB" w:rsidRDefault="000F627F">
            <w:pPr>
              <w:jc w:val="center"/>
              <w:rPr>
                <w:rFonts w:asciiTheme="minorEastAsia" w:hAnsiTheme="minorEastAsia" w:cs="宋体"/>
                <w:color w:val="000000"/>
                <w:sz w:val="18"/>
                <w:szCs w:val="18"/>
              </w:rPr>
            </w:pPr>
            <w:r w:rsidRPr="000A0ACB">
              <w:rPr>
                <w:rFonts w:asciiTheme="minorEastAsia" w:hAnsiTheme="minorEastAsia" w:hint="eastAsia"/>
                <w:color w:val="000000"/>
                <w:sz w:val="18"/>
                <w:szCs w:val="18"/>
              </w:rPr>
              <w:t>项目</w:t>
            </w:r>
          </w:p>
        </w:tc>
        <w:tc>
          <w:tcPr>
            <w:tcW w:w="151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F627F" w:rsidRPr="000A0ACB" w:rsidRDefault="000F627F">
            <w:pPr>
              <w:jc w:val="center"/>
              <w:rPr>
                <w:rFonts w:asciiTheme="minorEastAsia" w:hAnsiTheme="minorEastAsia" w:cs="宋体"/>
                <w:color w:val="000000"/>
                <w:sz w:val="18"/>
                <w:szCs w:val="18"/>
              </w:rPr>
            </w:pPr>
            <w:r w:rsidRPr="000A0ACB">
              <w:rPr>
                <w:rFonts w:asciiTheme="minorEastAsia" w:hAnsiTheme="minorEastAsia" w:hint="eastAsia"/>
                <w:color w:val="000000"/>
                <w:sz w:val="18"/>
                <w:szCs w:val="18"/>
              </w:rPr>
              <w:t>2023年</w:t>
            </w:r>
          </w:p>
        </w:tc>
        <w:tc>
          <w:tcPr>
            <w:tcW w:w="170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F627F" w:rsidRPr="000A0ACB" w:rsidRDefault="000F627F">
            <w:pPr>
              <w:jc w:val="center"/>
              <w:rPr>
                <w:rFonts w:asciiTheme="minorEastAsia" w:hAnsiTheme="minorEastAsia" w:cs="宋体"/>
                <w:color w:val="000000"/>
                <w:sz w:val="18"/>
                <w:szCs w:val="18"/>
              </w:rPr>
            </w:pPr>
            <w:r w:rsidRPr="000A0ACB">
              <w:rPr>
                <w:rFonts w:asciiTheme="minorEastAsia" w:hAnsiTheme="minorEastAsia" w:hint="eastAsia"/>
                <w:color w:val="000000"/>
                <w:sz w:val="18"/>
                <w:szCs w:val="18"/>
              </w:rPr>
              <w:t>2022年</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F627F" w:rsidRPr="000A0ACB" w:rsidRDefault="000F627F">
            <w:pPr>
              <w:jc w:val="center"/>
              <w:rPr>
                <w:rFonts w:asciiTheme="minorEastAsia" w:hAnsiTheme="minorEastAsia" w:cs="宋体"/>
                <w:color w:val="000000"/>
                <w:sz w:val="18"/>
                <w:szCs w:val="18"/>
              </w:rPr>
            </w:pPr>
            <w:r w:rsidRPr="000A0ACB">
              <w:rPr>
                <w:rFonts w:asciiTheme="minorEastAsia" w:hAnsiTheme="minorEastAsia" w:hint="eastAsia"/>
                <w:color w:val="000000"/>
                <w:sz w:val="18"/>
                <w:szCs w:val="18"/>
              </w:rPr>
              <w:t>同比增减</w:t>
            </w:r>
          </w:p>
        </w:tc>
        <w:tc>
          <w:tcPr>
            <w:tcW w:w="255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F627F" w:rsidRPr="000A0ACB" w:rsidRDefault="000F627F">
            <w:pPr>
              <w:jc w:val="center"/>
              <w:rPr>
                <w:rFonts w:asciiTheme="minorEastAsia" w:hAnsiTheme="minorEastAsia" w:cs="宋体"/>
                <w:color w:val="000000"/>
                <w:sz w:val="18"/>
                <w:szCs w:val="18"/>
              </w:rPr>
            </w:pPr>
            <w:r w:rsidRPr="000A0ACB">
              <w:rPr>
                <w:rFonts w:asciiTheme="minorEastAsia" w:hAnsiTheme="minorEastAsia" w:hint="eastAsia"/>
                <w:color w:val="000000"/>
                <w:sz w:val="18"/>
                <w:szCs w:val="18"/>
              </w:rPr>
              <w:t>重大变动原因说明</w:t>
            </w:r>
          </w:p>
        </w:tc>
      </w:tr>
      <w:tr w:rsidR="000F627F" w:rsidRPr="000A0ACB" w:rsidTr="000A0ACB">
        <w:trPr>
          <w:divId w:val="1304654961"/>
          <w:trHeight w:val="690"/>
        </w:trPr>
        <w:tc>
          <w:tcPr>
            <w:tcW w:w="30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Pr="000A0ACB" w:rsidRDefault="000F627F">
            <w:pPr>
              <w:rPr>
                <w:rFonts w:asciiTheme="minorEastAsia" w:hAnsiTheme="minorEastAsia" w:cs="宋体"/>
                <w:color w:val="000000"/>
                <w:sz w:val="18"/>
                <w:szCs w:val="18"/>
              </w:rPr>
            </w:pPr>
            <w:r w:rsidRPr="000A0ACB">
              <w:rPr>
                <w:rFonts w:asciiTheme="minorEastAsia" w:hAnsiTheme="minorEastAsia" w:hint="eastAsia"/>
                <w:color w:val="000000"/>
                <w:sz w:val="18"/>
                <w:szCs w:val="18"/>
              </w:rPr>
              <w:lastRenderedPageBreak/>
              <w:t>投资活动产生的现金流量净额</w:t>
            </w:r>
          </w:p>
        </w:tc>
        <w:tc>
          <w:tcPr>
            <w:tcW w:w="151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0A0ACB" w:rsidRDefault="000F627F">
            <w:pPr>
              <w:jc w:val="right"/>
              <w:rPr>
                <w:rFonts w:asciiTheme="minorEastAsia" w:hAnsiTheme="minorEastAsia" w:cs="宋体"/>
                <w:color w:val="000000"/>
                <w:sz w:val="18"/>
                <w:szCs w:val="18"/>
              </w:rPr>
            </w:pPr>
            <w:r w:rsidRPr="000A0ACB">
              <w:rPr>
                <w:rFonts w:asciiTheme="minorEastAsia" w:hAnsiTheme="minorEastAsia" w:hint="eastAsia"/>
                <w:color w:val="000000"/>
                <w:sz w:val="18"/>
                <w:szCs w:val="18"/>
              </w:rPr>
              <w:t>7,191,874.40</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0A0ACB" w:rsidRDefault="000F627F">
            <w:pPr>
              <w:jc w:val="right"/>
              <w:rPr>
                <w:rFonts w:asciiTheme="minorEastAsia" w:hAnsiTheme="minorEastAsia" w:cs="宋体"/>
                <w:color w:val="000000"/>
                <w:sz w:val="18"/>
                <w:szCs w:val="18"/>
              </w:rPr>
            </w:pPr>
            <w:r w:rsidRPr="000A0ACB">
              <w:rPr>
                <w:rFonts w:asciiTheme="minorEastAsia" w:hAnsiTheme="minorEastAsia" w:hint="eastAsia"/>
                <w:color w:val="000000"/>
                <w:sz w:val="18"/>
                <w:szCs w:val="18"/>
              </w:rPr>
              <w:t>-427,863,195.79</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0A0ACB" w:rsidRDefault="000F627F">
            <w:pPr>
              <w:jc w:val="right"/>
              <w:rPr>
                <w:rFonts w:asciiTheme="minorEastAsia" w:hAnsiTheme="minorEastAsia" w:cs="宋体"/>
                <w:color w:val="000000"/>
                <w:sz w:val="18"/>
                <w:szCs w:val="18"/>
              </w:rPr>
            </w:pPr>
            <w:r w:rsidRPr="000A0ACB">
              <w:rPr>
                <w:rFonts w:asciiTheme="minorEastAsia" w:hAnsiTheme="minorEastAsia" w:hint="eastAsia"/>
                <w:color w:val="000000"/>
                <w:sz w:val="18"/>
                <w:szCs w:val="18"/>
              </w:rPr>
              <w:t>101.68%</w:t>
            </w:r>
          </w:p>
        </w:tc>
        <w:tc>
          <w:tcPr>
            <w:tcW w:w="25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0A0ACB" w:rsidRDefault="000F627F">
            <w:pPr>
              <w:rPr>
                <w:rFonts w:asciiTheme="minorEastAsia" w:hAnsiTheme="minorEastAsia" w:cs="宋体"/>
                <w:color w:val="000000"/>
                <w:sz w:val="18"/>
                <w:szCs w:val="18"/>
              </w:rPr>
            </w:pPr>
            <w:r w:rsidRPr="000A0ACB">
              <w:rPr>
                <w:rFonts w:asciiTheme="minorEastAsia" w:hAnsiTheme="minorEastAsia" w:hint="eastAsia"/>
                <w:color w:val="000000"/>
                <w:sz w:val="18"/>
                <w:szCs w:val="18"/>
              </w:rPr>
              <w:t>主要系理财资金收回、处置子公司收到的金额增加所致。</w:t>
            </w:r>
          </w:p>
        </w:tc>
      </w:tr>
      <w:tr w:rsidR="000F627F" w:rsidRPr="000A0ACB" w:rsidTr="000A0ACB">
        <w:trPr>
          <w:divId w:val="1304654961"/>
          <w:trHeight w:val="285"/>
        </w:trPr>
        <w:tc>
          <w:tcPr>
            <w:tcW w:w="30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Pr="000A0ACB" w:rsidRDefault="000F627F">
            <w:pPr>
              <w:rPr>
                <w:rFonts w:asciiTheme="minorEastAsia" w:hAnsiTheme="minorEastAsia" w:cs="宋体"/>
                <w:color w:val="000000"/>
                <w:sz w:val="18"/>
                <w:szCs w:val="18"/>
              </w:rPr>
            </w:pPr>
            <w:r w:rsidRPr="000A0ACB">
              <w:rPr>
                <w:rFonts w:asciiTheme="minorEastAsia" w:hAnsiTheme="minorEastAsia" w:hint="eastAsia"/>
                <w:color w:val="000000"/>
                <w:sz w:val="18"/>
                <w:szCs w:val="18"/>
              </w:rPr>
              <w:t>筹资活动产生的现金流量净额</w:t>
            </w:r>
          </w:p>
        </w:tc>
        <w:tc>
          <w:tcPr>
            <w:tcW w:w="151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0A0ACB" w:rsidRDefault="000F627F">
            <w:pPr>
              <w:jc w:val="right"/>
              <w:rPr>
                <w:rFonts w:asciiTheme="minorEastAsia" w:hAnsiTheme="minorEastAsia" w:cs="宋体"/>
                <w:color w:val="000000"/>
                <w:sz w:val="18"/>
                <w:szCs w:val="18"/>
              </w:rPr>
            </w:pPr>
            <w:r w:rsidRPr="000A0ACB">
              <w:rPr>
                <w:rFonts w:asciiTheme="minorEastAsia" w:hAnsiTheme="minorEastAsia" w:hint="eastAsia"/>
                <w:color w:val="000000"/>
                <w:sz w:val="18"/>
                <w:szCs w:val="18"/>
              </w:rPr>
              <w:t>-558,466,119.79</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0A0ACB" w:rsidRDefault="000F627F">
            <w:pPr>
              <w:jc w:val="right"/>
              <w:rPr>
                <w:rFonts w:asciiTheme="minorEastAsia" w:hAnsiTheme="minorEastAsia" w:cs="宋体"/>
                <w:color w:val="000000"/>
                <w:sz w:val="18"/>
                <w:szCs w:val="18"/>
              </w:rPr>
            </w:pPr>
            <w:r w:rsidRPr="000A0ACB">
              <w:rPr>
                <w:rFonts w:asciiTheme="minorEastAsia" w:hAnsiTheme="minorEastAsia" w:hint="eastAsia"/>
                <w:color w:val="000000"/>
                <w:sz w:val="18"/>
                <w:szCs w:val="18"/>
              </w:rPr>
              <w:t>-1,039,935,633.67</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0A0ACB" w:rsidRDefault="000F627F">
            <w:pPr>
              <w:jc w:val="right"/>
              <w:rPr>
                <w:rFonts w:asciiTheme="minorEastAsia" w:hAnsiTheme="minorEastAsia" w:cs="宋体"/>
                <w:color w:val="000000"/>
                <w:sz w:val="18"/>
                <w:szCs w:val="18"/>
              </w:rPr>
            </w:pPr>
            <w:r w:rsidRPr="000A0ACB">
              <w:rPr>
                <w:rFonts w:asciiTheme="minorEastAsia" w:hAnsiTheme="minorEastAsia" w:hint="eastAsia"/>
                <w:color w:val="000000"/>
                <w:sz w:val="18"/>
                <w:szCs w:val="18"/>
              </w:rPr>
              <w:t>46.30%</w:t>
            </w:r>
          </w:p>
        </w:tc>
        <w:tc>
          <w:tcPr>
            <w:tcW w:w="25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Pr="000A0ACB" w:rsidRDefault="000F627F">
            <w:pPr>
              <w:rPr>
                <w:rFonts w:asciiTheme="minorEastAsia" w:hAnsiTheme="minorEastAsia" w:cs="宋体"/>
                <w:color w:val="000000"/>
                <w:sz w:val="18"/>
                <w:szCs w:val="18"/>
              </w:rPr>
            </w:pPr>
            <w:r w:rsidRPr="000A0ACB">
              <w:rPr>
                <w:rFonts w:asciiTheme="minorEastAsia" w:hAnsiTheme="minorEastAsia" w:hint="eastAsia"/>
                <w:color w:val="000000"/>
                <w:sz w:val="18"/>
                <w:szCs w:val="18"/>
              </w:rPr>
              <w:t>主要系受限资金减少所致。</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报告期内公司经营活动产生的现金净流量与本年度净利润存在重大差异的原因说明</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F627F" w:rsidRDefault="000F627F">
      <w:pPr>
        <w:pStyle w:val="a3"/>
        <w:divId w:val="1314483248"/>
        <w:rPr>
          <w:sz w:val="18"/>
          <w:szCs w:val="18"/>
        </w:rPr>
      </w:pPr>
      <w:r>
        <w:rPr>
          <w:rFonts w:hint="eastAsia"/>
          <w:sz w:val="18"/>
          <w:szCs w:val="18"/>
        </w:rPr>
        <w:t>报告期内公司经营活动产生的现金净流里与本年度净利润存在重大差异的原因主要是存货减少所致。</w:t>
      </w:r>
    </w:p>
    <w:p w:rsidR="000D58D8" w:rsidRDefault="000F627F">
      <w:pPr>
        <w:pStyle w:val="2"/>
        <w:spacing w:before="300" w:after="300" w:line="320" w:lineRule="exact"/>
        <w:rPr>
          <w:rFonts w:ascii="宋体" w:eastAsia="宋体" w:hAnsi="宋体" w:cs="宋体"/>
          <w:b/>
          <w:bCs/>
          <w:sz w:val="24"/>
          <w:szCs w:val="24"/>
        </w:rPr>
      </w:pPr>
      <w:bookmarkStart w:id="40" w:name="_Toc988929"/>
      <w:r>
        <w:rPr>
          <w:rFonts w:ascii="宋体" w:eastAsia="宋体" w:hAnsi="宋体" w:cs="宋体"/>
          <w:b/>
          <w:bCs/>
          <w:sz w:val="24"/>
          <w:szCs w:val="24"/>
        </w:rPr>
        <w:t>五、非主营业务分析</w:t>
      </w:r>
      <w:bookmarkEnd w:id="4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583"/>
        <w:gridCol w:w="1560"/>
        <w:gridCol w:w="2835"/>
        <w:gridCol w:w="1734"/>
      </w:tblGrid>
      <w:tr w:rsidR="000D58D8" w:rsidTr="000A0ACB">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58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占利润总额比例</w:t>
            </w:r>
          </w:p>
        </w:tc>
        <w:tc>
          <w:tcPr>
            <w:tcW w:w="283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形成原因说明</w:t>
            </w:r>
          </w:p>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是否具有可持续性</w:t>
            </w:r>
          </w:p>
        </w:tc>
      </w:tr>
      <w:tr w:rsidR="000D58D8" w:rsidTr="000A0ACB">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投资收益</w:t>
            </w:r>
          </w:p>
        </w:tc>
        <w:tc>
          <w:tcPr>
            <w:tcW w:w="158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43,481,876.64</w:t>
            </w:r>
          </w:p>
        </w:tc>
        <w:tc>
          <w:tcPr>
            <w:tcW w:w="156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36.65%</w:t>
            </w:r>
          </w:p>
        </w:tc>
        <w:tc>
          <w:tcPr>
            <w:tcW w:w="283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主要系处置子公司、理财产品等业务损益收益形成所致。</w:t>
            </w:r>
          </w:p>
        </w:tc>
        <w:tc>
          <w:tcPr>
            <w:tcW w:w="17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0A0ACB">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公允价值变动损益</w:t>
            </w:r>
          </w:p>
        </w:tc>
        <w:tc>
          <w:tcPr>
            <w:tcW w:w="158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-16,425,097.75</w:t>
            </w:r>
          </w:p>
        </w:tc>
        <w:tc>
          <w:tcPr>
            <w:tcW w:w="156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-13.85%</w:t>
            </w:r>
          </w:p>
        </w:tc>
        <w:tc>
          <w:tcPr>
            <w:tcW w:w="283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A0ACB">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资产减值</w:t>
            </w:r>
          </w:p>
        </w:tc>
        <w:tc>
          <w:tcPr>
            <w:tcW w:w="158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26,310,983.35</w:t>
            </w:r>
          </w:p>
        </w:tc>
        <w:tc>
          <w:tcPr>
            <w:tcW w:w="156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22.18%</w:t>
            </w:r>
          </w:p>
        </w:tc>
        <w:tc>
          <w:tcPr>
            <w:tcW w:w="283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主要是存货跌价计提所致。</w:t>
            </w:r>
          </w:p>
        </w:tc>
        <w:tc>
          <w:tcPr>
            <w:tcW w:w="17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0A0ACB">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营业外收入</w:t>
            </w:r>
          </w:p>
        </w:tc>
        <w:tc>
          <w:tcPr>
            <w:tcW w:w="158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16,112,684.70</w:t>
            </w:r>
          </w:p>
        </w:tc>
        <w:tc>
          <w:tcPr>
            <w:tcW w:w="156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13.58%</w:t>
            </w:r>
          </w:p>
        </w:tc>
        <w:tc>
          <w:tcPr>
            <w:tcW w:w="283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A0ACB">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营业外支出</w:t>
            </w:r>
          </w:p>
        </w:tc>
        <w:tc>
          <w:tcPr>
            <w:tcW w:w="158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5,062,219.81</w:t>
            </w:r>
          </w:p>
        </w:tc>
        <w:tc>
          <w:tcPr>
            <w:tcW w:w="156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4.27%</w:t>
            </w:r>
          </w:p>
        </w:tc>
        <w:tc>
          <w:tcPr>
            <w:tcW w:w="283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bl>
    <w:p w:rsidR="000D58D8" w:rsidRDefault="000F627F">
      <w:pPr>
        <w:pStyle w:val="2"/>
        <w:spacing w:before="300" w:after="300" w:line="320" w:lineRule="exact"/>
        <w:rPr>
          <w:rFonts w:ascii="宋体" w:eastAsia="宋体" w:hAnsi="宋体" w:cs="宋体"/>
          <w:b/>
          <w:bCs/>
          <w:sz w:val="24"/>
          <w:szCs w:val="24"/>
        </w:rPr>
      </w:pPr>
      <w:bookmarkStart w:id="41" w:name="_Toc988930"/>
      <w:r>
        <w:rPr>
          <w:rFonts w:ascii="宋体" w:eastAsia="宋体" w:hAnsi="宋体" w:cs="宋体"/>
          <w:b/>
          <w:bCs/>
          <w:sz w:val="24"/>
          <w:szCs w:val="24"/>
        </w:rPr>
        <w:t>六、资产及负债状况分析</w:t>
      </w:r>
      <w:bookmarkEnd w:id="41"/>
    </w:p>
    <w:p w:rsidR="000D58D8" w:rsidRDefault="000F627F">
      <w:pPr>
        <w:pStyle w:val="3"/>
        <w:spacing w:line="280" w:lineRule="exact"/>
        <w:jc w:val="left"/>
        <w:rPr>
          <w:rFonts w:ascii="宋体" w:hAnsi="宋体" w:cs="宋体"/>
          <w:b/>
          <w:bCs/>
        </w:rPr>
      </w:pPr>
      <w:bookmarkStart w:id="42" w:name="_Toc988931"/>
      <w:r>
        <w:rPr>
          <w:rFonts w:ascii="宋体" w:hAnsi="宋体" w:cs="宋体"/>
          <w:b/>
          <w:bCs/>
        </w:rPr>
        <w:t>1、资产构成重大变动情况</w:t>
      </w:r>
      <w:bookmarkEnd w:id="42"/>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708"/>
        <w:gridCol w:w="1418"/>
        <w:gridCol w:w="1701"/>
        <w:gridCol w:w="1417"/>
        <w:gridCol w:w="1134"/>
        <w:gridCol w:w="884"/>
      </w:tblGrid>
      <w:tr w:rsidR="000D58D8" w:rsidTr="000A0ACB">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12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2023年末</w:t>
            </w:r>
          </w:p>
        </w:tc>
        <w:tc>
          <w:tcPr>
            <w:tcW w:w="311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2023年初</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比重增减</w:t>
            </w:r>
          </w:p>
        </w:tc>
        <w:tc>
          <w:tcPr>
            <w:tcW w:w="88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重大变动说明</w:t>
            </w:r>
          </w:p>
        </w:tc>
      </w:tr>
      <w:tr w:rsidR="000D58D8" w:rsidTr="000A0ACB">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70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113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8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rsidTr="000A0A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170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2,636,623,050.27</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15.47%</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2,718,875,461.56</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14.98%</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0.49%</w:t>
            </w: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A0A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应收账款</w:t>
            </w:r>
          </w:p>
        </w:tc>
        <w:tc>
          <w:tcPr>
            <w:tcW w:w="170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1,004,058,465.64</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5.89%</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927,683,738.93</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5.11%</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0.78%</w:t>
            </w: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A0A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存货</w:t>
            </w:r>
          </w:p>
        </w:tc>
        <w:tc>
          <w:tcPr>
            <w:tcW w:w="170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5,007,466,587.13</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29.38%</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5,337,498,180.84</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29.42%</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A0A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投资性房地产</w:t>
            </w:r>
          </w:p>
        </w:tc>
        <w:tc>
          <w:tcPr>
            <w:tcW w:w="170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132,702,829.02</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0.78%</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61,592,794.48</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0.34%</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0.44%</w:t>
            </w: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A0A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长期股权投资</w:t>
            </w:r>
          </w:p>
        </w:tc>
        <w:tc>
          <w:tcPr>
            <w:tcW w:w="170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326,084,172.45</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1.91%</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326,977,121.34</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1.80%</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A0A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170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4,675,835,696.14</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27.44%</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4,987,410,058.67</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27.49%</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A0A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在建工程</w:t>
            </w:r>
          </w:p>
        </w:tc>
        <w:tc>
          <w:tcPr>
            <w:tcW w:w="170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475,059,478.07</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2.79%</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405,320,838.98</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2.23%</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0.56%</w:t>
            </w: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A0A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使用权资产</w:t>
            </w:r>
          </w:p>
        </w:tc>
        <w:tc>
          <w:tcPr>
            <w:tcW w:w="170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27,243,799.27</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0.16%</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23,275,556.72</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0.13%</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A0A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短期借款</w:t>
            </w:r>
          </w:p>
        </w:tc>
        <w:tc>
          <w:tcPr>
            <w:tcW w:w="170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7,083,948,407.58</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41.57%</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7,649,257,866.34</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42.16%</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-0.59%</w:t>
            </w: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A0A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合同负债</w:t>
            </w:r>
          </w:p>
        </w:tc>
        <w:tc>
          <w:tcPr>
            <w:tcW w:w="170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715,430,170.40</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4.20%</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781,571,502.38</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4.31%</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A0A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长期借款</w:t>
            </w:r>
          </w:p>
        </w:tc>
        <w:tc>
          <w:tcPr>
            <w:tcW w:w="170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726,461,232.31</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4.26%</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920,040,822.50</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5.07%</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-0.81%</w:t>
            </w: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A0A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租赁负债</w:t>
            </w:r>
          </w:p>
        </w:tc>
        <w:tc>
          <w:tcPr>
            <w:tcW w:w="170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15,991,096.53</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0.09%</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16,671,345.58</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0.09%</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境外资产</w:t>
      </w:r>
      <w:proofErr w:type="gramStart"/>
      <w:r>
        <w:rPr>
          <w:rFonts w:ascii="宋体" w:eastAsia="宋体" w:hAnsi="宋体" w:cs="宋体"/>
          <w:sz w:val="18"/>
          <w:szCs w:val="18"/>
        </w:rPr>
        <w:t>占比较</w:t>
      </w:r>
      <w:proofErr w:type="gramEnd"/>
      <w:r>
        <w:rPr>
          <w:rFonts w:ascii="宋体" w:eastAsia="宋体" w:hAnsi="宋体" w:cs="宋体"/>
          <w:sz w:val="18"/>
          <w:szCs w:val="18"/>
        </w:rPr>
        <w:t>高</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43" w:name="_Toc988932"/>
      <w:r>
        <w:rPr>
          <w:rFonts w:ascii="宋体" w:hAnsi="宋体" w:cs="宋体"/>
          <w:b/>
          <w:bCs/>
        </w:rPr>
        <w:lastRenderedPageBreak/>
        <w:t>2、以公允价值计量的资产和负债</w:t>
      </w:r>
      <w:bookmarkEnd w:id="4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本期计提的减值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本期购买金额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本期出售金额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期末数</w:t>
            </w:r>
          </w:p>
        </w:tc>
      </w:tr>
      <w:tr w:rsidR="000D58D8">
        <w:trPr>
          <w:trHeight w:val="240"/>
        </w:trPr>
        <w:tc>
          <w:tcPr>
            <w:tcW w:w="9639" w:type="dxa"/>
            <w:gridSpan w:val="9"/>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金融资产</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2.衍生金融资产</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108,631,285.26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-14,136,740.76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545,580,942.14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518,427,062.59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121,648,424.05</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4.其他权益工具投资</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56,479,234.53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-1,724,487.62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54,754,746.91</w:t>
            </w:r>
          </w:p>
        </w:tc>
      </w:tr>
      <w:tr w:rsidR="000D58D8" w:rsidTr="000A0ACB">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金融资产小计</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165,110,519.79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-14,136,740.76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-1,724,487.62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545,580,942.14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518,427,062.59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176,403,170.96</w:t>
            </w:r>
          </w:p>
        </w:tc>
      </w:tr>
      <w:tr w:rsidR="000D58D8" w:rsidTr="000A0ACB">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理财产品</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499,932,798.40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-27,029.85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14,940,715,716.71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15,381,028,741.71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59,592,743.55</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上述合计</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665,043,318.19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-14,163,770.61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-1,724,487.62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15,486,296,658.85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15,899,455,804.30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235,995,914.51</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金融负债</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1,902,600.00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-1,902,600.00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0F627F" w:rsidRPr="000A0ACB" w:rsidRDefault="000F627F" w:rsidP="000A0ACB">
      <w:pPr>
        <w:spacing w:before="100" w:after="100" w:line="240" w:lineRule="exact"/>
        <w:rPr>
          <w:rFonts w:ascii="宋体" w:eastAsia="宋体" w:hAnsi="宋体" w:cs="宋体"/>
          <w:sz w:val="18"/>
          <w:szCs w:val="18"/>
        </w:rPr>
      </w:pPr>
      <w:r>
        <w:rPr>
          <w:rFonts w:ascii="宋体" w:eastAsia="宋体" w:hAnsi="宋体" w:cs="宋体"/>
          <w:sz w:val="18"/>
          <w:szCs w:val="18"/>
        </w:rPr>
        <w:t>其他变动的内容</w:t>
      </w:r>
      <w:r w:rsidR="000A0ACB">
        <w:rPr>
          <w:rFonts w:ascii="宋体" w:eastAsia="宋体" w:hAnsi="宋体" w:cs="宋体" w:hint="eastAsia"/>
          <w:sz w:val="18"/>
          <w:szCs w:val="18"/>
        </w:rPr>
        <w:t>：</w:t>
      </w: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报告期内公司主要资产计量属性是否发生重大变化</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pStyle w:val="3"/>
        <w:spacing w:line="280" w:lineRule="exact"/>
        <w:jc w:val="left"/>
        <w:rPr>
          <w:rFonts w:ascii="宋体" w:hAnsi="宋体" w:cs="宋体"/>
          <w:b/>
          <w:bCs/>
        </w:rPr>
      </w:pPr>
      <w:bookmarkStart w:id="44" w:name="_Toc988933"/>
      <w:r>
        <w:rPr>
          <w:rFonts w:ascii="宋体" w:hAnsi="宋体" w:cs="宋体"/>
          <w:b/>
          <w:bCs/>
        </w:rPr>
        <w:t>3、截至报告期末的资产权利受限情况</w:t>
      </w:r>
      <w:bookmarkEnd w:id="44"/>
    </w:p>
    <w:tbl>
      <w:tblPr>
        <w:tblW w:w="9606" w:type="dxa"/>
        <w:jc w:val="center"/>
        <w:tblCellMar>
          <w:left w:w="0" w:type="dxa"/>
          <w:right w:w="0" w:type="dxa"/>
        </w:tblCellMar>
        <w:tblLook w:val="04A0" w:firstRow="1" w:lastRow="0" w:firstColumn="1" w:lastColumn="0" w:noHBand="0" w:noVBand="1"/>
        <w:tblCaption w:val="D:\大华\华孚\2023年度\TB|0-合并TB-华孚时尚股份有限公司-2023年度.xlsx|W附注模板|_jds280|0|desc|||0|1"/>
      </w:tblPr>
      <w:tblGrid>
        <w:gridCol w:w="1525"/>
        <w:gridCol w:w="2693"/>
        <w:gridCol w:w="2694"/>
        <w:gridCol w:w="2694"/>
      </w:tblGrid>
      <w:tr w:rsidR="000F627F" w:rsidRPr="000A0ACB" w:rsidTr="000A0ACB">
        <w:trPr>
          <w:divId w:val="1303315460"/>
          <w:trHeight w:val="340"/>
          <w:tblHeader/>
          <w:jc w:val="center"/>
        </w:trPr>
        <w:tc>
          <w:tcPr>
            <w:tcW w:w="1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0A0ACB">
              <w:rPr>
                <w:rFonts w:asciiTheme="minorEastAsia" w:eastAsiaTheme="minorEastAsia" w:hAnsiTheme="minorEastAsia" w:cs="Times New Roman" w:hint="eastAsia"/>
                <w:sz w:val="18"/>
                <w:szCs w:val="18"/>
              </w:rPr>
              <w:t>项目</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0A0ACB">
              <w:rPr>
                <w:rFonts w:asciiTheme="minorEastAsia" w:eastAsiaTheme="minorEastAsia" w:hAnsiTheme="minorEastAsia" w:cs="Times New Roman" w:hint="eastAsia"/>
                <w:sz w:val="18"/>
                <w:szCs w:val="18"/>
              </w:rPr>
              <w:t>期末账面余额</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0A0ACB">
              <w:rPr>
                <w:rFonts w:asciiTheme="minorEastAsia" w:eastAsiaTheme="minorEastAsia" w:hAnsiTheme="minorEastAsia" w:cs="Times New Roman" w:hint="eastAsia"/>
                <w:sz w:val="18"/>
                <w:szCs w:val="18"/>
              </w:rPr>
              <w:t>期末账面价值</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0A0ACB">
              <w:rPr>
                <w:rFonts w:asciiTheme="minorEastAsia" w:eastAsiaTheme="minorEastAsia" w:hAnsiTheme="minorEastAsia" w:cs="Times New Roman" w:hint="eastAsia"/>
                <w:sz w:val="18"/>
                <w:szCs w:val="18"/>
              </w:rPr>
              <w:t>受限情况</w:t>
            </w:r>
          </w:p>
        </w:tc>
      </w:tr>
      <w:tr w:rsidR="000F627F" w:rsidRPr="000A0ACB" w:rsidTr="000A0ACB">
        <w:trPr>
          <w:divId w:val="1303315460"/>
          <w:trHeight w:val="340"/>
          <w:jc w:val="center"/>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rsidP="000A0ACB">
            <w:pPr>
              <w:pStyle w:val="a3"/>
              <w:spacing w:before="0" w:beforeAutospacing="0" w:after="0" w:afterAutospacing="0"/>
              <w:jc w:val="center"/>
              <w:rPr>
                <w:rFonts w:asciiTheme="minorEastAsia" w:eastAsiaTheme="minorEastAsia" w:hAnsiTheme="minorEastAsia" w:cs="Times New Roman"/>
                <w:sz w:val="21"/>
                <w:szCs w:val="21"/>
              </w:rPr>
            </w:pPr>
            <w:r w:rsidRPr="000A0ACB">
              <w:rPr>
                <w:rFonts w:asciiTheme="minorEastAsia" w:eastAsiaTheme="minorEastAsia" w:hAnsiTheme="minorEastAsia" w:cs="Times New Roman" w:hint="eastAsia"/>
                <w:sz w:val="18"/>
                <w:szCs w:val="18"/>
              </w:rPr>
              <w:t>货币资金</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jc w:val="right"/>
              <w:rPr>
                <w:rFonts w:asciiTheme="minorEastAsia" w:eastAsiaTheme="minorEastAsia" w:hAnsiTheme="minorEastAsia" w:cs="Times New Roman"/>
                <w:sz w:val="21"/>
                <w:szCs w:val="21"/>
              </w:rPr>
            </w:pPr>
            <w:r w:rsidRPr="000A0ACB">
              <w:rPr>
                <w:rFonts w:asciiTheme="minorEastAsia" w:eastAsiaTheme="minorEastAsia" w:hAnsiTheme="minorEastAsia" w:cs="Times New Roman"/>
                <w:sz w:val="18"/>
                <w:szCs w:val="18"/>
              </w:rPr>
              <w:t>451,800,076.10</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jc w:val="right"/>
              <w:rPr>
                <w:rFonts w:asciiTheme="minorEastAsia" w:eastAsiaTheme="minorEastAsia" w:hAnsiTheme="minorEastAsia" w:cs="Times New Roman"/>
                <w:sz w:val="21"/>
                <w:szCs w:val="21"/>
              </w:rPr>
            </w:pPr>
            <w:r w:rsidRPr="000A0ACB">
              <w:rPr>
                <w:rFonts w:asciiTheme="minorEastAsia" w:eastAsiaTheme="minorEastAsia" w:hAnsiTheme="minorEastAsia" w:cs="Times New Roman"/>
                <w:sz w:val="18"/>
                <w:szCs w:val="18"/>
              </w:rPr>
              <w:t>451,800,076.10</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rPr>
                <w:rFonts w:asciiTheme="minorEastAsia" w:eastAsiaTheme="minorEastAsia" w:hAnsiTheme="minorEastAsia" w:cs="Times New Roman"/>
                <w:sz w:val="21"/>
                <w:szCs w:val="21"/>
              </w:rPr>
            </w:pPr>
            <w:r w:rsidRPr="000A0ACB">
              <w:rPr>
                <w:rFonts w:asciiTheme="minorEastAsia" w:eastAsiaTheme="minorEastAsia" w:hAnsiTheme="minorEastAsia" w:cs="Times New Roman" w:hint="eastAsia"/>
                <w:sz w:val="18"/>
                <w:szCs w:val="18"/>
              </w:rPr>
              <w:t>票据及借款等保证金</w:t>
            </w:r>
          </w:p>
        </w:tc>
      </w:tr>
      <w:tr w:rsidR="000F627F" w:rsidRPr="000A0ACB" w:rsidTr="000A0ACB">
        <w:trPr>
          <w:divId w:val="1303315460"/>
          <w:trHeight w:val="340"/>
          <w:jc w:val="center"/>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rsidP="000A0ACB">
            <w:pPr>
              <w:pStyle w:val="a3"/>
              <w:spacing w:before="0" w:beforeAutospacing="0" w:after="0" w:afterAutospacing="0"/>
              <w:jc w:val="center"/>
              <w:rPr>
                <w:rFonts w:asciiTheme="minorEastAsia" w:eastAsiaTheme="minorEastAsia" w:hAnsiTheme="minorEastAsia" w:cs="Times New Roman"/>
                <w:sz w:val="21"/>
                <w:szCs w:val="21"/>
              </w:rPr>
            </w:pPr>
            <w:r w:rsidRPr="000A0ACB">
              <w:rPr>
                <w:rFonts w:asciiTheme="minorEastAsia" w:eastAsiaTheme="minorEastAsia" w:hAnsiTheme="minorEastAsia" w:cs="Times New Roman" w:hint="eastAsia"/>
                <w:sz w:val="18"/>
                <w:szCs w:val="18"/>
              </w:rPr>
              <w:t>应收票据</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jc w:val="right"/>
              <w:rPr>
                <w:rFonts w:asciiTheme="minorEastAsia" w:eastAsiaTheme="minorEastAsia" w:hAnsiTheme="minorEastAsia" w:cs="Times New Roman"/>
                <w:sz w:val="21"/>
                <w:szCs w:val="21"/>
              </w:rPr>
            </w:pPr>
            <w:r w:rsidRPr="000A0ACB">
              <w:rPr>
                <w:rFonts w:asciiTheme="minorEastAsia" w:eastAsiaTheme="minorEastAsia" w:hAnsiTheme="minorEastAsia" w:cs="Times New Roman"/>
                <w:sz w:val="18"/>
                <w:szCs w:val="18"/>
              </w:rPr>
              <w:t>9,083,903.44</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jc w:val="right"/>
              <w:rPr>
                <w:rFonts w:asciiTheme="minorEastAsia" w:eastAsiaTheme="minorEastAsia" w:hAnsiTheme="minorEastAsia" w:cs="Times New Roman"/>
                <w:sz w:val="21"/>
                <w:szCs w:val="21"/>
              </w:rPr>
            </w:pPr>
            <w:r w:rsidRPr="000A0ACB">
              <w:rPr>
                <w:rFonts w:asciiTheme="minorEastAsia" w:eastAsiaTheme="minorEastAsia" w:hAnsiTheme="minorEastAsia" w:cs="Times New Roman"/>
                <w:sz w:val="18"/>
                <w:szCs w:val="18"/>
              </w:rPr>
              <w:t>9,083,903.44</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rPr>
                <w:rFonts w:asciiTheme="minorEastAsia" w:eastAsiaTheme="minorEastAsia" w:hAnsiTheme="minorEastAsia" w:cs="Times New Roman"/>
                <w:sz w:val="21"/>
                <w:szCs w:val="21"/>
              </w:rPr>
            </w:pPr>
            <w:r w:rsidRPr="000A0ACB">
              <w:rPr>
                <w:rFonts w:asciiTheme="minorEastAsia" w:eastAsiaTheme="minorEastAsia" w:hAnsiTheme="minorEastAsia" w:cs="Times New Roman" w:hint="eastAsia"/>
                <w:sz w:val="18"/>
                <w:szCs w:val="18"/>
              </w:rPr>
              <w:t>应收票据质押借款</w:t>
            </w:r>
          </w:p>
        </w:tc>
      </w:tr>
      <w:tr w:rsidR="000F627F" w:rsidRPr="000A0ACB" w:rsidTr="000A0ACB">
        <w:trPr>
          <w:divId w:val="1303315460"/>
          <w:trHeight w:val="340"/>
          <w:jc w:val="center"/>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rsidP="000A0ACB">
            <w:pPr>
              <w:pStyle w:val="a3"/>
              <w:spacing w:before="0" w:beforeAutospacing="0" w:after="0" w:afterAutospacing="0"/>
              <w:jc w:val="center"/>
              <w:rPr>
                <w:rFonts w:asciiTheme="minorEastAsia" w:eastAsiaTheme="minorEastAsia" w:hAnsiTheme="minorEastAsia" w:cs="Times New Roman"/>
                <w:sz w:val="21"/>
                <w:szCs w:val="21"/>
              </w:rPr>
            </w:pPr>
            <w:r w:rsidRPr="000A0ACB">
              <w:rPr>
                <w:rFonts w:asciiTheme="minorEastAsia" w:eastAsiaTheme="minorEastAsia" w:hAnsiTheme="minorEastAsia" w:cs="Times New Roman" w:hint="eastAsia"/>
                <w:sz w:val="18"/>
                <w:szCs w:val="18"/>
              </w:rPr>
              <w:t>固定资产</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jc w:val="right"/>
              <w:rPr>
                <w:rFonts w:asciiTheme="minorEastAsia" w:eastAsiaTheme="minorEastAsia" w:hAnsiTheme="minorEastAsia" w:cs="Times New Roman"/>
                <w:sz w:val="21"/>
                <w:szCs w:val="21"/>
              </w:rPr>
            </w:pPr>
            <w:r w:rsidRPr="000A0ACB">
              <w:rPr>
                <w:rFonts w:asciiTheme="minorEastAsia" w:eastAsiaTheme="minorEastAsia" w:hAnsiTheme="minorEastAsia" w:cs="Times New Roman"/>
                <w:sz w:val="18"/>
                <w:szCs w:val="18"/>
              </w:rPr>
              <w:t>3,012,964,801.47</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jc w:val="right"/>
              <w:rPr>
                <w:rFonts w:asciiTheme="minorEastAsia" w:eastAsiaTheme="minorEastAsia" w:hAnsiTheme="minorEastAsia" w:cs="Times New Roman"/>
                <w:sz w:val="21"/>
                <w:szCs w:val="21"/>
              </w:rPr>
            </w:pPr>
            <w:r w:rsidRPr="000A0ACB">
              <w:rPr>
                <w:rFonts w:asciiTheme="minorEastAsia" w:eastAsiaTheme="minorEastAsia" w:hAnsiTheme="minorEastAsia" w:cs="Times New Roman"/>
                <w:sz w:val="18"/>
                <w:szCs w:val="18"/>
              </w:rPr>
              <w:t>1,837,189,262.44</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rPr>
                <w:rFonts w:asciiTheme="minorEastAsia" w:eastAsiaTheme="minorEastAsia" w:hAnsiTheme="minorEastAsia" w:cs="Times New Roman"/>
                <w:sz w:val="21"/>
                <w:szCs w:val="21"/>
              </w:rPr>
            </w:pPr>
            <w:r w:rsidRPr="000A0ACB">
              <w:rPr>
                <w:rFonts w:asciiTheme="minorEastAsia" w:eastAsiaTheme="minorEastAsia" w:hAnsiTheme="minorEastAsia" w:cs="Times New Roman" w:hint="eastAsia"/>
                <w:sz w:val="18"/>
                <w:szCs w:val="18"/>
              </w:rPr>
              <w:t>抵押贷款</w:t>
            </w:r>
          </w:p>
        </w:tc>
      </w:tr>
      <w:tr w:rsidR="000F627F" w:rsidRPr="000A0ACB" w:rsidTr="000A0ACB">
        <w:trPr>
          <w:divId w:val="1303315460"/>
          <w:trHeight w:val="340"/>
          <w:jc w:val="center"/>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rsidP="000A0ACB">
            <w:pPr>
              <w:pStyle w:val="a3"/>
              <w:spacing w:before="0" w:beforeAutospacing="0" w:after="0" w:afterAutospacing="0"/>
              <w:jc w:val="center"/>
              <w:rPr>
                <w:rFonts w:asciiTheme="minorEastAsia" w:eastAsiaTheme="minorEastAsia" w:hAnsiTheme="minorEastAsia" w:cs="Times New Roman"/>
                <w:sz w:val="21"/>
                <w:szCs w:val="21"/>
              </w:rPr>
            </w:pPr>
            <w:r w:rsidRPr="000A0ACB">
              <w:rPr>
                <w:rFonts w:asciiTheme="minorEastAsia" w:eastAsiaTheme="minorEastAsia" w:hAnsiTheme="minorEastAsia" w:cs="Times New Roman" w:hint="eastAsia"/>
                <w:sz w:val="18"/>
                <w:szCs w:val="18"/>
              </w:rPr>
              <w:t>无形资产</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jc w:val="right"/>
              <w:rPr>
                <w:rFonts w:asciiTheme="minorEastAsia" w:eastAsiaTheme="minorEastAsia" w:hAnsiTheme="minorEastAsia" w:cs="Times New Roman"/>
                <w:sz w:val="21"/>
                <w:szCs w:val="21"/>
              </w:rPr>
            </w:pPr>
            <w:r w:rsidRPr="000A0ACB">
              <w:rPr>
                <w:rFonts w:asciiTheme="minorEastAsia" w:eastAsiaTheme="minorEastAsia" w:hAnsiTheme="minorEastAsia" w:cs="Times New Roman"/>
                <w:sz w:val="18"/>
                <w:szCs w:val="18"/>
              </w:rPr>
              <w:t>89,398,298.25</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jc w:val="right"/>
              <w:rPr>
                <w:rFonts w:asciiTheme="minorEastAsia" w:eastAsiaTheme="minorEastAsia" w:hAnsiTheme="minorEastAsia" w:cs="Times New Roman"/>
                <w:sz w:val="21"/>
                <w:szCs w:val="21"/>
              </w:rPr>
            </w:pPr>
            <w:r w:rsidRPr="000A0ACB">
              <w:rPr>
                <w:rFonts w:asciiTheme="minorEastAsia" w:eastAsiaTheme="minorEastAsia" w:hAnsiTheme="minorEastAsia" w:cs="Times New Roman"/>
                <w:sz w:val="18"/>
                <w:szCs w:val="18"/>
              </w:rPr>
              <w:t>50,296,648.52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rPr>
                <w:rFonts w:asciiTheme="minorEastAsia" w:eastAsiaTheme="minorEastAsia" w:hAnsiTheme="minorEastAsia" w:cs="Times New Roman"/>
                <w:sz w:val="21"/>
                <w:szCs w:val="21"/>
              </w:rPr>
            </w:pPr>
            <w:r w:rsidRPr="000A0ACB">
              <w:rPr>
                <w:rFonts w:asciiTheme="minorEastAsia" w:eastAsiaTheme="minorEastAsia" w:hAnsiTheme="minorEastAsia" w:cs="Times New Roman" w:hint="eastAsia"/>
                <w:sz w:val="18"/>
                <w:szCs w:val="18"/>
              </w:rPr>
              <w:t>抵押贷款</w:t>
            </w:r>
          </w:p>
        </w:tc>
      </w:tr>
      <w:tr w:rsidR="000F627F" w:rsidRPr="000A0ACB" w:rsidTr="000A0ACB">
        <w:trPr>
          <w:divId w:val="1303315460"/>
          <w:trHeight w:val="340"/>
          <w:jc w:val="center"/>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rsidP="000A0ACB">
            <w:pPr>
              <w:pStyle w:val="a3"/>
              <w:spacing w:before="0" w:beforeAutospacing="0" w:after="0" w:afterAutospacing="0"/>
              <w:jc w:val="center"/>
              <w:rPr>
                <w:rFonts w:asciiTheme="minorEastAsia" w:eastAsiaTheme="minorEastAsia" w:hAnsiTheme="minorEastAsia" w:cs="Times New Roman"/>
                <w:sz w:val="21"/>
                <w:szCs w:val="21"/>
              </w:rPr>
            </w:pPr>
            <w:r w:rsidRPr="000A0ACB">
              <w:rPr>
                <w:rFonts w:asciiTheme="minorEastAsia" w:eastAsiaTheme="minorEastAsia" w:hAnsiTheme="minorEastAsia" w:cs="Times New Roman" w:hint="eastAsia"/>
                <w:sz w:val="18"/>
                <w:szCs w:val="18"/>
              </w:rPr>
              <w:t>合计</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jc w:val="right"/>
              <w:rPr>
                <w:rFonts w:asciiTheme="minorEastAsia" w:eastAsiaTheme="minorEastAsia" w:hAnsiTheme="minorEastAsia" w:cs="Times New Roman"/>
                <w:sz w:val="21"/>
                <w:szCs w:val="21"/>
              </w:rPr>
            </w:pPr>
            <w:r w:rsidRPr="000A0ACB">
              <w:rPr>
                <w:rFonts w:asciiTheme="minorEastAsia" w:eastAsiaTheme="minorEastAsia" w:hAnsiTheme="minorEastAsia" w:cs="Times New Roman"/>
                <w:sz w:val="18"/>
                <w:szCs w:val="18"/>
              </w:rPr>
              <w:t>3,563,247,079.26</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jc w:val="right"/>
              <w:rPr>
                <w:rFonts w:asciiTheme="minorEastAsia" w:eastAsiaTheme="minorEastAsia" w:hAnsiTheme="minorEastAsia" w:cs="Times New Roman"/>
                <w:sz w:val="21"/>
                <w:szCs w:val="21"/>
              </w:rPr>
            </w:pPr>
            <w:r w:rsidRPr="000A0ACB">
              <w:rPr>
                <w:rFonts w:asciiTheme="minorEastAsia" w:eastAsiaTheme="minorEastAsia" w:hAnsiTheme="minorEastAsia" w:cs="Times New Roman"/>
                <w:sz w:val="18"/>
                <w:szCs w:val="18"/>
              </w:rPr>
              <w:t>2,348,369,890.50</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0A0ACB" w:rsidRDefault="000F627F">
            <w:pPr>
              <w:pStyle w:val="a3"/>
              <w:spacing w:before="0" w:beforeAutospacing="0" w:after="0" w:afterAutospacing="0"/>
              <w:rPr>
                <w:rFonts w:asciiTheme="minorEastAsia" w:eastAsiaTheme="minorEastAsia" w:hAnsiTheme="minorEastAsia" w:cs="Times New Roman"/>
                <w:sz w:val="21"/>
                <w:szCs w:val="21"/>
              </w:rPr>
            </w:pPr>
            <w:r w:rsidRPr="000A0ACB">
              <w:rPr>
                <w:rFonts w:asciiTheme="minorEastAsia" w:eastAsiaTheme="minorEastAsia" w:hAnsiTheme="minorEastAsia" w:cs="Times New Roman"/>
                <w:sz w:val="18"/>
                <w:szCs w:val="18"/>
              </w:rPr>
              <w:t> </w:t>
            </w:r>
          </w:p>
        </w:tc>
      </w:tr>
    </w:tbl>
    <w:p w:rsidR="000D58D8" w:rsidRDefault="000F627F">
      <w:pPr>
        <w:pStyle w:val="2"/>
        <w:spacing w:before="300" w:after="300" w:line="320" w:lineRule="exact"/>
        <w:rPr>
          <w:rFonts w:ascii="宋体" w:eastAsia="宋体" w:hAnsi="宋体" w:cs="宋体"/>
          <w:b/>
          <w:bCs/>
          <w:sz w:val="24"/>
          <w:szCs w:val="24"/>
        </w:rPr>
      </w:pPr>
      <w:bookmarkStart w:id="45" w:name="_Toc988934"/>
      <w:r>
        <w:rPr>
          <w:rFonts w:ascii="宋体" w:eastAsia="宋体" w:hAnsi="宋体" w:cs="宋体"/>
          <w:b/>
          <w:bCs/>
          <w:sz w:val="24"/>
          <w:szCs w:val="24"/>
        </w:rPr>
        <w:t>七、投资状况分析</w:t>
      </w:r>
      <w:bookmarkEnd w:id="45"/>
    </w:p>
    <w:p w:rsidR="000D58D8" w:rsidRDefault="000F627F">
      <w:pPr>
        <w:pStyle w:val="3"/>
        <w:spacing w:line="280" w:lineRule="exact"/>
        <w:jc w:val="left"/>
        <w:rPr>
          <w:rFonts w:ascii="宋体" w:hAnsi="宋体" w:cs="宋体"/>
          <w:b/>
          <w:bCs/>
        </w:rPr>
      </w:pPr>
      <w:bookmarkStart w:id="46" w:name="_Toc988935"/>
      <w:r>
        <w:rPr>
          <w:rFonts w:ascii="宋体" w:hAnsi="宋体" w:cs="宋体"/>
          <w:b/>
          <w:bCs/>
        </w:rPr>
        <w:t>1、总体情况</w:t>
      </w:r>
      <w:bookmarkEnd w:id="4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47" w:name="_Toc988936"/>
      <w:r>
        <w:rPr>
          <w:rFonts w:ascii="宋体" w:hAnsi="宋体" w:cs="宋体"/>
          <w:b/>
          <w:bCs/>
        </w:rPr>
        <w:t>2、报告期内获取的重大的股权投资情况</w:t>
      </w:r>
      <w:bookmarkEnd w:id="47"/>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48" w:name="_Toc988937"/>
      <w:r>
        <w:rPr>
          <w:rFonts w:ascii="宋体" w:hAnsi="宋体" w:cs="宋体"/>
          <w:b/>
          <w:bCs/>
        </w:rPr>
        <w:lastRenderedPageBreak/>
        <w:t>3、报告期内正在进行的重大的非股权投资情况</w:t>
      </w:r>
      <w:bookmarkEnd w:id="48"/>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49" w:name="_Toc988938"/>
      <w:r>
        <w:rPr>
          <w:rFonts w:ascii="宋体" w:hAnsi="宋体" w:cs="宋体"/>
          <w:b/>
          <w:bCs/>
        </w:rPr>
        <w:t>4、金融资产投资</w:t>
      </w:r>
      <w:bookmarkEnd w:id="49"/>
    </w:p>
    <w:p w:rsidR="000D58D8" w:rsidRDefault="000F627F">
      <w:pPr>
        <w:keepNext/>
        <w:keepLines/>
        <w:spacing w:before="300" w:after="300" w:line="280" w:lineRule="exact"/>
        <w:outlineLvl w:val="3"/>
        <w:rPr>
          <w:rFonts w:ascii="宋体" w:eastAsia="宋体" w:hAnsi="宋体" w:cs="宋体"/>
          <w:b/>
          <w:bCs/>
          <w:sz w:val="18"/>
          <w:szCs w:val="18"/>
        </w:rPr>
      </w:pPr>
      <w:bookmarkStart w:id="50" w:name="_Toc988939"/>
      <w:r>
        <w:rPr>
          <w:rFonts w:ascii="宋体" w:eastAsia="宋体" w:hAnsi="宋体" w:cs="宋体"/>
          <w:b/>
          <w:bCs/>
          <w:sz w:val="18"/>
          <w:szCs w:val="18"/>
        </w:rPr>
        <w:t>（1） 证券投资情况</w:t>
      </w:r>
      <w:bookmarkEnd w:id="5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公司报告期不存在证券投资。</w:t>
      </w:r>
    </w:p>
    <w:p w:rsidR="000D58D8" w:rsidRDefault="000F627F">
      <w:pPr>
        <w:keepNext/>
        <w:keepLines/>
        <w:spacing w:before="300" w:after="300" w:line="280" w:lineRule="exact"/>
        <w:outlineLvl w:val="3"/>
        <w:rPr>
          <w:rFonts w:ascii="宋体" w:eastAsia="宋体" w:hAnsi="宋体" w:cs="宋体"/>
          <w:b/>
          <w:bCs/>
          <w:sz w:val="18"/>
          <w:szCs w:val="18"/>
        </w:rPr>
      </w:pPr>
      <w:bookmarkStart w:id="51" w:name="_Toc988940"/>
      <w:r>
        <w:rPr>
          <w:rFonts w:ascii="宋体" w:eastAsia="宋体" w:hAnsi="宋体" w:cs="宋体"/>
          <w:b/>
          <w:bCs/>
          <w:sz w:val="18"/>
          <w:szCs w:val="18"/>
        </w:rPr>
        <w:t>（2） 衍生</w:t>
      </w:r>
      <w:proofErr w:type="gramStart"/>
      <w:r>
        <w:rPr>
          <w:rFonts w:ascii="宋体" w:eastAsia="宋体" w:hAnsi="宋体" w:cs="宋体"/>
          <w:b/>
          <w:bCs/>
          <w:sz w:val="18"/>
          <w:szCs w:val="18"/>
        </w:rPr>
        <w:t>品投资</w:t>
      </w:r>
      <w:proofErr w:type="gramEnd"/>
      <w:r>
        <w:rPr>
          <w:rFonts w:ascii="宋体" w:eastAsia="宋体" w:hAnsi="宋体" w:cs="宋体"/>
          <w:b/>
          <w:bCs/>
          <w:sz w:val="18"/>
          <w:szCs w:val="18"/>
        </w:rPr>
        <w:t>情况</w:t>
      </w:r>
      <w:bookmarkEnd w:id="5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keepNext/>
        <w:keepLines/>
        <w:spacing w:before="300" w:after="300" w:line="280" w:lineRule="exact"/>
        <w:outlineLvl w:val="4"/>
        <w:rPr>
          <w:rFonts w:ascii="宋体" w:eastAsia="宋体" w:hAnsi="宋体" w:cs="宋体"/>
          <w:b/>
          <w:bCs/>
          <w:szCs w:val="21"/>
        </w:rPr>
      </w:pPr>
      <w:bookmarkStart w:id="52" w:name="_Toc988941"/>
      <w:r>
        <w:rPr>
          <w:rFonts w:ascii="宋体" w:eastAsia="宋体" w:hAnsi="宋体" w:cs="宋体"/>
          <w:b/>
          <w:bCs/>
          <w:szCs w:val="21"/>
        </w:rPr>
        <w:t>1） 报告期内以套期保值为目的的衍生品投资</w:t>
      </w:r>
      <w:bookmarkEnd w:id="5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衍生</w:t>
            </w:r>
            <w:proofErr w:type="gramStart"/>
            <w:r>
              <w:rPr>
                <w:rFonts w:ascii="宋体" w:eastAsia="宋体" w:hAnsi="宋体" w:cs="宋体"/>
                <w:sz w:val="18"/>
                <w:szCs w:val="18"/>
              </w:rPr>
              <w:t>品投资</w:t>
            </w:r>
            <w:proofErr w:type="gramEnd"/>
            <w:r>
              <w:rPr>
                <w:rFonts w:ascii="宋体" w:eastAsia="宋体" w:hAnsi="宋体" w:cs="宋体"/>
                <w:sz w:val="18"/>
                <w:szCs w:val="18"/>
              </w:rPr>
              <w:t>类型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初始投资金额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w:t>
            </w:r>
            <w:proofErr w:type="gramStart"/>
            <w:r>
              <w:rPr>
                <w:rFonts w:ascii="宋体" w:eastAsia="宋体" w:hAnsi="宋体" w:cs="宋体"/>
                <w:sz w:val="18"/>
                <w:szCs w:val="18"/>
              </w:rPr>
              <w:t>初金额</w:t>
            </w:r>
            <w:proofErr w:type="gramEnd"/>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报告期内购入金额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报告期内售出金额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期末投资金额占公司报告期末净资产比例</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期货合约</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10,863.13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10,863.13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-1,413.67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54,558.09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51,842.71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12,164.84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1.89%</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10,863.13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10,863.13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-1,413.67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54,558.09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51,842.71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12,164.84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1.89%</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报告期内套期保值业务的会计政策、会计核算具体原则，以及与上</w:t>
            </w:r>
            <w:proofErr w:type="gramStart"/>
            <w:r>
              <w:rPr>
                <w:rFonts w:ascii="宋体" w:eastAsia="宋体" w:hAnsi="宋体" w:cs="宋体"/>
                <w:sz w:val="18"/>
                <w:szCs w:val="18"/>
              </w:rPr>
              <w:t>一报告</w:t>
            </w:r>
            <w:proofErr w:type="gramEnd"/>
            <w:r>
              <w:rPr>
                <w:rFonts w:ascii="宋体" w:eastAsia="宋体" w:hAnsi="宋体" w:cs="宋体"/>
                <w:sz w:val="18"/>
                <w:szCs w:val="18"/>
              </w:rPr>
              <w:t>期相比是否发生重大变化的说明</w:t>
            </w:r>
          </w:p>
        </w:tc>
        <w:tc>
          <w:tcPr>
            <w:tcW w:w="8568" w:type="dxa"/>
            <w:gridSpan w:val="8"/>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报告期内套期保值业务的会计政策、会计核算具体原则：详见第十节、财务报告的“附注五、重要会计政策及会计估计”的“10、金融工具”。与上</w:t>
            </w:r>
            <w:proofErr w:type="gramStart"/>
            <w:r>
              <w:rPr>
                <w:rFonts w:ascii="宋体" w:eastAsia="宋体" w:hAnsi="宋体" w:cs="宋体"/>
                <w:sz w:val="18"/>
                <w:szCs w:val="18"/>
              </w:rPr>
              <w:t>一报告</w:t>
            </w:r>
            <w:proofErr w:type="gramEnd"/>
            <w:r>
              <w:rPr>
                <w:rFonts w:ascii="宋体" w:eastAsia="宋体" w:hAnsi="宋体" w:cs="宋体"/>
                <w:sz w:val="18"/>
                <w:szCs w:val="18"/>
              </w:rPr>
              <w:t>期相比未发生重大变化。</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报告期实际损益情况的说明</w:t>
            </w:r>
          </w:p>
        </w:tc>
        <w:tc>
          <w:tcPr>
            <w:tcW w:w="8568" w:type="dxa"/>
            <w:gridSpan w:val="8"/>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报告期实际损益金额合计23.24万元。</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套期保值效果的说明</w:t>
            </w:r>
          </w:p>
        </w:tc>
        <w:tc>
          <w:tcPr>
            <w:tcW w:w="8568" w:type="dxa"/>
            <w:gridSpan w:val="8"/>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为规避生产经营中原材料价格波动带来的风险，有效拓宽原材料备货渠道，保持公司经营业绩的稳定性和</w:t>
            </w:r>
            <w:proofErr w:type="gramStart"/>
            <w:r>
              <w:rPr>
                <w:rFonts w:ascii="宋体" w:eastAsia="宋体" w:hAnsi="宋体" w:cs="宋体"/>
                <w:sz w:val="18"/>
                <w:szCs w:val="18"/>
              </w:rPr>
              <w:t>可</w:t>
            </w:r>
            <w:proofErr w:type="gramEnd"/>
            <w:r>
              <w:rPr>
                <w:rFonts w:ascii="宋体" w:eastAsia="宋体" w:hAnsi="宋体" w:cs="宋体"/>
                <w:sz w:val="18"/>
                <w:szCs w:val="18"/>
              </w:rPr>
              <w:t>持续性，公司通过期货市场买入套期保值交易锁定部分棉花原料价格。</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衍生</w:t>
            </w:r>
            <w:proofErr w:type="gramStart"/>
            <w:r>
              <w:rPr>
                <w:rFonts w:ascii="宋体" w:eastAsia="宋体" w:hAnsi="宋体" w:cs="宋体"/>
                <w:sz w:val="18"/>
                <w:szCs w:val="18"/>
              </w:rPr>
              <w:t>品投资</w:t>
            </w:r>
            <w:proofErr w:type="gramEnd"/>
            <w:r>
              <w:rPr>
                <w:rFonts w:ascii="宋体" w:eastAsia="宋体" w:hAnsi="宋体" w:cs="宋体"/>
                <w:sz w:val="18"/>
                <w:szCs w:val="18"/>
              </w:rPr>
              <w:t>资金来源</w:t>
            </w:r>
          </w:p>
        </w:tc>
        <w:tc>
          <w:tcPr>
            <w:tcW w:w="8568" w:type="dxa"/>
            <w:gridSpan w:val="8"/>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自有资金</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报告期衍生品持仓的风险分析及控制</w:t>
            </w:r>
            <w:r>
              <w:rPr>
                <w:rFonts w:ascii="宋体" w:eastAsia="宋体" w:hAnsi="宋体" w:cs="宋体"/>
                <w:sz w:val="18"/>
                <w:szCs w:val="18"/>
              </w:rPr>
              <w:lastRenderedPageBreak/>
              <w:t>措施说明（包括但不限于市场风险、流动性风险、信用风险、操作风险、法律风险等）</w:t>
            </w:r>
          </w:p>
        </w:tc>
        <w:tc>
          <w:tcPr>
            <w:tcW w:w="8568" w:type="dxa"/>
            <w:gridSpan w:val="8"/>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（一）主要风险分析</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1、市场风险：期货等衍生品行情变动较大时，可能产生价格波动风险，造成交易损失。</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2、操作风险：由于无法控制或不可预测的系统、网络、通讯故障等造成交易系统非正常运行，使交易指令出现延迟、中断或数据错误等问题，从而带来相应风险。</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3、政策风险：期货等衍生品市场的法律法规政策如发生重大变化，可能引起市场波动或无法交易带来的风险</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4、法律风险：违反法律法规和监管部门的相关规定的风险。</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（二）风险控制措施</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1、公司的棉花期货交易是以棉花库存和订单情况为基本面，结合行情判断来决定买卖方向和</w:t>
            </w:r>
            <w:proofErr w:type="gramStart"/>
            <w:r>
              <w:rPr>
                <w:rFonts w:ascii="宋体" w:eastAsia="宋体" w:hAnsi="宋体" w:cs="宋体"/>
                <w:sz w:val="18"/>
                <w:szCs w:val="18"/>
              </w:rPr>
              <w:t>套保点位</w:t>
            </w:r>
            <w:proofErr w:type="gramEnd"/>
            <w:r>
              <w:rPr>
                <w:rFonts w:ascii="宋体" w:eastAsia="宋体" w:hAnsi="宋体" w:cs="宋体"/>
                <w:sz w:val="18"/>
                <w:szCs w:val="18"/>
              </w:rPr>
              <w:t>，以满足公司日常</w:t>
            </w:r>
            <w:proofErr w:type="gramStart"/>
            <w:r>
              <w:rPr>
                <w:rFonts w:ascii="宋体" w:eastAsia="宋体" w:hAnsi="宋体" w:cs="宋体"/>
                <w:sz w:val="18"/>
                <w:szCs w:val="18"/>
              </w:rPr>
              <w:t>网链业务</w:t>
            </w:r>
            <w:proofErr w:type="gramEnd"/>
            <w:r>
              <w:rPr>
                <w:rFonts w:ascii="宋体" w:eastAsia="宋体" w:hAnsi="宋体" w:cs="宋体"/>
                <w:sz w:val="18"/>
                <w:szCs w:val="18"/>
              </w:rPr>
              <w:t>价格风险对冲和平抑棉花库存成本的目的，在持仓规模上严格按照采购量控制，规避投机损失风险。针对棉花期货业务制定《期货投资管理作业指导书》以规范期货操作流程发挥期货套期保值功能，规避经营风险。</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2、在遵循合法、审慎、安全、有效的原则上，制定严格的决策程序、报告制度和监控措施，明确授权范围、操作要点与信息披露等具体要求，配备投资决策、策略分析、业务操作、风险监管等专业人员。</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3、根据总体采购策略和库存成本结构，跟踪行业信息，分析市场趋势，及时编制提报期货交易方案。根据公司库存和订单情况，结合风险承受能力和行情判断确定价格区间、开仓比例、止损点位，严格执行开平仓和止损操作。并定期向管理层和董事会提交期货交易授权执行情况。</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已投资衍生</w:t>
            </w:r>
            <w:proofErr w:type="gramStart"/>
            <w:r>
              <w:rPr>
                <w:rFonts w:ascii="宋体" w:eastAsia="宋体" w:hAnsi="宋体" w:cs="宋体"/>
                <w:sz w:val="18"/>
                <w:szCs w:val="18"/>
              </w:rPr>
              <w:t>品报告</w:t>
            </w:r>
            <w:proofErr w:type="gramEnd"/>
            <w:r>
              <w:rPr>
                <w:rFonts w:ascii="宋体" w:eastAsia="宋体" w:hAnsi="宋体" w:cs="宋体"/>
                <w:sz w:val="18"/>
                <w:szCs w:val="18"/>
              </w:rPr>
              <w:t>期内市场价格或产品公允价值变动的情况，对衍生品公允价值的分析应披露具体使用的方法及相关假设与参数的设定</w:t>
            </w:r>
          </w:p>
        </w:tc>
        <w:tc>
          <w:tcPr>
            <w:tcW w:w="8568" w:type="dxa"/>
            <w:gridSpan w:val="8"/>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公司持有的期货合约的公允价值依据期货交易所相应合约的结算价确定。</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涉诉情况（如适用）</w:t>
            </w:r>
          </w:p>
        </w:tc>
        <w:tc>
          <w:tcPr>
            <w:tcW w:w="8568" w:type="dxa"/>
            <w:gridSpan w:val="8"/>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衍生</w:t>
            </w:r>
            <w:proofErr w:type="gramStart"/>
            <w:r>
              <w:rPr>
                <w:rFonts w:ascii="宋体" w:eastAsia="宋体" w:hAnsi="宋体" w:cs="宋体"/>
                <w:sz w:val="18"/>
                <w:szCs w:val="18"/>
              </w:rPr>
              <w:t>品投资</w:t>
            </w:r>
            <w:proofErr w:type="gramEnd"/>
            <w:r>
              <w:rPr>
                <w:rFonts w:ascii="宋体" w:eastAsia="宋体" w:hAnsi="宋体" w:cs="宋体"/>
                <w:sz w:val="18"/>
                <w:szCs w:val="18"/>
              </w:rPr>
              <w:t>审批董事会公告披露日期（如有）</w:t>
            </w:r>
          </w:p>
        </w:tc>
        <w:tc>
          <w:tcPr>
            <w:tcW w:w="8568" w:type="dxa"/>
            <w:gridSpan w:val="8"/>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2023年04月29日</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衍生</w:t>
            </w:r>
            <w:proofErr w:type="gramStart"/>
            <w:r>
              <w:rPr>
                <w:rFonts w:ascii="宋体" w:eastAsia="宋体" w:hAnsi="宋体" w:cs="宋体"/>
                <w:sz w:val="18"/>
                <w:szCs w:val="18"/>
              </w:rPr>
              <w:t>品投资</w:t>
            </w:r>
            <w:proofErr w:type="gramEnd"/>
            <w:r>
              <w:rPr>
                <w:rFonts w:ascii="宋体" w:eastAsia="宋体" w:hAnsi="宋体" w:cs="宋体"/>
                <w:sz w:val="18"/>
                <w:szCs w:val="18"/>
              </w:rPr>
              <w:t>审批股东会公告披露日期（如有）</w:t>
            </w:r>
          </w:p>
        </w:tc>
        <w:tc>
          <w:tcPr>
            <w:tcW w:w="8568" w:type="dxa"/>
            <w:gridSpan w:val="8"/>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2023年04月29日</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独立董事对公司衍生</w:t>
            </w:r>
            <w:proofErr w:type="gramStart"/>
            <w:r>
              <w:rPr>
                <w:rFonts w:ascii="宋体" w:eastAsia="宋体" w:hAnsi="宋体" w:cs="宋体"/>
                <w:sz w:val="18"/>
                <w:szCs w:val="18"/>
              </w:rPr>
              <w:t>品投资</w:t>
            </w:r>
            <w:proofErr w:type="gramEnd"/>
            <w:r>
              <w:rPr>
                <w:rFonts w:ascii="宋体" w:eastAsia="宋体" w:hAnsi="宋体" w:cs="宋体"/>
                <w:sz w:val="18"/>
                <w:szCs w:val="18"/>
              </w:rPr>
              <w:t>及风险控制情况的专项意见</w:t>
            </w:r>
          </w:p>
        </w:tc>
        <w:tc>
          <w:tcPr>
            <w:tcW w:w="8568" w:type="dxa"/>
            <w:gridSpan w:val="8"/>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详见公司于2023年4月29日披露在《证券时报》、《中国证券报》及巨潮资讯网的《独立董事关于第八届董事会第四次会议相关议案的独立意见》</w:t>
            </w:r>
          </w:p>
        </w:tc>
      </w:tr>
    </w:tbl>
    <w:p w:rsidR="000D58D8" w:rsidRDefault="000F627F">
      <w:pPr>
        <w:keepNext/>
        <w:keepLines/>
        <w:spacing w:before="300" w:after="300" w:line="280" w:lineRule="exact"/>
        <w:outlineLvl w:val="4"/>
        <w:rPr>
          <w:rFonts w:ascii="宋体" w:eastAsia="宋体" w:hAnsi="宋体" w:cs="宋体"/>
          <w:b/>
          <w:bCs/>
          <w:sz w:val="18"/>
          <w:szCs w:val="18"/>
        </w:rPr>
      </w:pPr>
      <w:bookmarkStart w:id="53" w:name="_Toc988942"/>
      <w:r>
        <w:rPr>
          <w:rFonts w:ascii="宋体" w:eastAsia="宋体" w:hAnsi="宋体" w:cs="宋体"/>
          <w:b/>
          <w:bCs/>
          <w:sz w:val="18"/>
          <w:szCs w:val="18"/>
        </w:rPr>
        <w:t>2） 报告期内以投机为目的的衍生品投资</w:t>
      </w:r>
      <w:bookmarkEnd w:id="5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公司报告期不存在以投机为目的的衍生品投资。</w:t>
      </w:r>
    </w:p>
    <w:p w:rsidR="000D58D8" w:rsidRDefault="000F627F">
      <w:pPr>
        <w:pStyle w:val="3"/>
        <w:spacing w:line="280" w:lineRule="exact"/>
        <w:jc w:val="left"/>
        <w:rPr>
          <w:rFonts w:ascii="宋体" w:hAnsi="宋体" w:cs="宋体"/>
          <w:b/>
          <w:bCs/>
        </w:rPr>
      </w:pPr>
      <w:bookmarkStart w:id="54" w:name="_Toc988943"/>
      <w:r>
        <w:rPr>
          <w:rFonts w:ascii="宋体" w:hAnsi="宋体" w:cs="宋体"/>
          <w:b/>
          <w:bCs/>
        </w:rPr>
        <w:lastRenderedPageBreak/>
        <w:t>5、募集资金使用情况</w:t>
      </w:r>
      <w:bookmarkEnd w:id="54"/>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keepNext/>
        <w:keepLines/>
        <w:spacing w:before="300" w:after="300" w:line="280" w:lineRule="exact"/>
        <w:outlineLvl w:val="3"/>
        <w:rPr>
          <w:rFonts w:ascii="宋体" w:eastAsia="宋体" w:hAnsi="宋体" w:cs="宋体"/>
          <w:b/>
          <w:bCs/>
          <w:sz w:val="18"/>
          <w:szCs w:val="18"/>
        </w:rPr>
      </w:pPr>
      <w:bookmarkStart w:id="55" w:name="_Toc988944"/>
      <w:r>
        <w:rPr>
          <w:rFonts w:ascii="宋体" w:eastAsia="宋体" w:hAnsi="宋体" w:cs="宋体"/>
          <w:b/>
          <w:bCs/>
          <w:sz w:val="18"/>
          <w:szCs w:val="18"/>
        </w:rPr>
        <w:t>（1） 募集资金总体使用情况</w:t>
      </w:r>
      <w:bookmarkEnd w:id="55"/>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3"/>
        <w:gridCol w:w="803"/>
        <w:gridCol w:w="803"/>
        <w:gridCol w:w="803"/>
        <w:gridCol w:w="803"/>
        <w:gridCol w:w="803"/>
        <w:gridCol w:w="803"/>
        <w:gridCol w:w="803"/>
        <w:gridCol w:w="803"/>
        <w:gridCol w:w="803"/>
        <w:gridCol w:w="803"/>
        <w:gridCol w:w="806"/>
      </w:tblGrid>
      <w:tr w:rsidR="000D58D8">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募集年份</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募集方式</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募集资金总额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募集资金净额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本期已使用募集资金总额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已累计使用募集资金总额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报告期内变更用途的募集资金总额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累计变更用途的募集资金总额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累计变更用途的募集资金总额比例</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尚未使用募集资金总额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尚未使用募集资金用途及去向</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闲置两年以上募集资金金额</w:t>
            </w:r>
          </w:p>
        </w:tc>
      </w:tr>
      <w:tr w:rsidR="000D58D8">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2021年</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非公开发行</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114,100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112,637.54</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34,061.71</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113,520.76</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78,846.28</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69.10%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164.38</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存放于募集资金专户</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114,100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112,637.54</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34,061.71</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113,520.76</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78,846.28</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69.10%</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164.38</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募集资金总体使用情况说明</w:t>
            </w:r>
          </w:p>
        </w:tc>
      </w:tr>
      <w:tr w:rsidR="000D58D8">
        <w:trPr>
          <w:trHeight w:val="240"/>
        </w:trPr>
        <w:tc>
          <w:tcPr>
            <w:tcW w:w="9639" w:type="dxa"/>
            <w:gridSpan w:val="1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详见 2024 年 4 月 27日披露于巨潮资讯网（www.cninfo.com.cn）上的《公司</w:t>
            </w:r>
            <w:r w:rsidR="000A0ACB">
              <w:rPr>
                <w:rFonts w:ascii="宋体" w:eastAsia="宋体" w:hAnsi="宋体" w:cs="宋体"/>
                <w:sz w:val="18"/>
                <w:szCs w:val="18"/>
              </w:rPr>
              <w:t xml:space="preserve"> 202</w:t>
            </w:r>
            <w:r w:rsidR="000A0ACB">
              <w:rPr>
                <w:rFonts w:ascii="宋体" w:eastAsia="宋体" w:hAnsi="宋体" w:cs="宋体" w:hint="eastAsia"/>
                <w:sz w:val="18"/>
                <w:szCs w:val="18"/>
              </w:rPr>
              <w:t>3</w:t>
            </w:r>
            <w:r>
              <w:rPr>
                <w:rFonts w:ascii="宋体" w:eastAsia="宋体" w:hAnsi="宋体" w:cs="宋体"/>
                <w:sz w:val="18"/>
                <w:szCs w:val="18"/>
              </w:rPr>
              <w:t>年度募集资金存放和实际使用情况的专项报告》。</w:t>
            </w:r>
          </w:p>
        </w:tc>
      </w:tr>
    </w:tbl>
    <w:p w:rsidR="000D58D8" w:rsidRDefault="000F627F">
      <w:pPr>
        <w:keepNext/>
        <w:keepLines/>
        <w:spacing w:before="300" w:after="300" w:line="280" w:lineRule="exact"/>
        <w:outlineLvl w:val="3"/>
        <w:rPr>
          <w:rFonts w:ascii="宋体" w:eastAsia="宋体" w:hAnsi="宋体" w:cs="宋体"/>
          <w:b/>
          <w:bCs/>
          <w:sz w:val="18"/>
          <w:szCs w:val="18"/>
        </w:rPr>
      </w:pPr>
      <w:bookmarkStart w:id="56" w:name="_Toc988945"/>
      <w:r>
        <w:rPr>
          <w:rFonts w:ascii="宋体" w:eastAsia="宋体" w:hAnsi="宋体" w:cs="宋体"/>
          <w:b/>
          <w:bCs/>
          <w:sz w:val="18"/>
          <w:szCs w:val="18"/>
        </w:rPr>
        <w:t>（2） 募集资金承诺项目情况</w:t>
      </w:r>
      <w:bookmarkEnd w:id="5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6"/>
        <w:gridCol w:w="876"/>
        <w:gridCol w:w="876"/>
        <w:gridCol w:w="876"/>
        <w:gridCol w:w="6"/>
        <w:gridCol w:w="870"/>
        <w:gridCol w:w="876"/>
        <w:gridCol w:w="876"/>
        <w:gridCol w:w="876"/>
        <w:gridCol w:w="876"/>
        <w:gridCol w:w="876"/>
        <w:gridCol w:w="879"/>
      </w:tblGrid>
      <w:tr w:rsidR="000D58D8" w:rsidTr="000A0ACB">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承诺投资项目和超募资金投向</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是否已变更项目（含部分变更）</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募集资金承诺投资总额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调整后投资总额（1）</w:t>
            </w:r>
          </w:p>
        </w:tc>
        <w:tc>
          <w:tcPr>
            <w:tcW w:w="87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本报告期投入金额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截至期末累计投入金额（2）</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截至期末投资进度(3)＝(2)/(1)</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项目达到预定可使用状态日期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w:t>
            </w:r>
            <w:proofErr w:type="gramStart"/>
            <w:r>
              <w:rPr>
                <w:rFonts w:ascii="宋体" w:eastAsia="宋体" w:hAnsi="宋体" w:cs="宋体"/>
                <w:sz w:val="18"/>
                <w:szCs w:val="18"/>
              </w:rPr>
              <w:t>期实现</w:t>
            </w:r>
            <w:proofErr w:type="gramEnd"/>
            <w:r>
              <w:rPr>
                <w:rFonts w:ascii="宋体" w:eastAsia="宋体" w:hAnsi="宋体" w:cs="宋体"/>
                <w:sz w:val="18"/>
                <w:szCs w:val="18"/>
              </w:rPr>
              <w:t>的效益</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是否达到预计效益</w:t>
            </w:r>
          </w:p>
        </w:tc>
        <w:tc>
          <w:tcPr>
            <w:tcW w:w="87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项目可行性是否发生重大变化</w:t>
            </w:r>
          </w:p>
        </w:tc>
      </w:tr>
      <w:tr w:rsidR="000D58D8">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承诺投资项目</w:t>
            </w:r>
          </w:p>
        </w:tc>
      </w:tr>
      <w:tr w:rsidR="000D58D8" w:rsidTr="000A0ACB">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华孚（越南）50万锭新型纱线项目（一期)</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105,000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c>
          <w:tcPr>
            <w:tcW w:w="87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rsidTr="000A0ACB">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30 万锭智能纺纱产业园项目)</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78,846.28</w:t>
            </w: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28,398.71</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74,066.5</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93.94%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2024年09月30日</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921.52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c>
          <w:tcPr>
            <w:tcW w:w="87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0A0ACB">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补充流动资金</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33,791.26</w:t>
            </w: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33,791.26</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c>
          <w:tcPr>
            <w:tcW w:w="87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0A0ACB">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临时性补充流动资金</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5,663</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5,663</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c>
          <w:tcPr>
            <w:tcW w:w="87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0A0ACB">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承诺投资项目小计</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112,637.54</w:t>
            </w: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34,061.71</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113,520.76</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921.52</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0D58D8">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超募资金投向</w:t>
            </w:r>
          </w:p>
        </w:tc>
      </w:tr>
      <w:tr w:rsidR="000D58D8" w:rsidTr="000A0ACB">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87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0A0ACB">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112,637.54</w:t>
            </w: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34,061.71</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113,520.76</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921.52</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0D58D8" w:rsidTr="000A0ACB">
        <w:trPr>
          <w:trHeight w:val="240"/>
        </w:trPr>
        <w:tc>
          <w:tcPr>
            <w:tcW w:w="351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分项目说明未达到计划进度、预计收益的情况和原因（含“是否达到预计效益”选择“不适用”的原因）</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因外部市场环境变化，华孚（越南）50万锭新型纱线项目（一期)建设进度有所延缓，实施周期被动拉长，存在投资收益不达预期的风险。因此，经公司于2022年1月10日召开的2022年第一次股东大会审议通过，同意将公司2021年非公开发行股票募集资金投资项目华孚（越南）50万锭新型纱线项目（一期）变更为30万锭智能纺纱产业园项目（项目实施地在安徽省淮北市）。</w:t>
            </w:r>
          </w:p>
        </w:tc>
      </w:tr>
      <w:tr w:rsidR="000D58D8" w:rsidTr="000A0ACB">
        <w:trPr>
          <w:trHeight w:val="240"/>
        </w:trPr>
        <w:tc>
          <w:tcPr>
            <w:tcW w:w="351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项目可行性发生重大变化的情况说明</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因外部市场环境变化，华孚（越南）50万锭新型纱线项目（一期）建设进度有所延缓，实施周期被动拉长，存在投资收益不达预期的风险。因此，经公司于2022年1月10日召开的2022年第一次股东大会审议通过，同意将公司2021年非公开发行股票募集资金投资项目华孚（越南）50万锭新型纱线项目（一期）变更为30万锭智能纺纱产业园项目（项目实施地在安徽省淮北市）。</w:t>
            </w:r>
          </w:p>
        </w:tc>
      </w:tr>
      <w:tr w:rsidR="000D58D8" w:rsidTr="000A0ACB">
        <w:trPr>
          <w:trHeight w:val="240"/>
        </w:trPr>
        <w:tc>
          <w:tcPr>
            <w:tcW w:w="351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超募资金的金额、用途及使用进展情况</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r>
      <w:tr w:rsidR="000D58D8" w:rsidTr="000A0ACB">
        <w:trPr>
          <w:trHeight w:val="240"/>
        </w:trPr>
        <w:tc>
          <w:tcPr>
            <w:tcW w:w="351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募集资金投资项目实施地点变更情况</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r>
      <w:tr w:rsidR="000D58D8" w:rsidTr="000A0ACB">
        <w:trPr>
          <w:trHeight w:val="240"/>
        </w:trPr>
        <w:tc>
          <w:tcPr>
            <w:tcW w:w="351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募集资金投资项目实施方式调整情况</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r>
      <w:tr w:rsidR="000D58D8" w:rsidTr="000A0ACB">
        <w:trPr>
          <w:trHeight w:val="240"/>
        </w:trPr>
        <w:tc>
          <w:tcPr>
            <w:tcW w:w="3510" w:type="dxa"/>
            <w:gridSpan w:val="5"/>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募集资金投资项目先期投入及置换情况</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适用</w:t>
            </w:r>
          </w:p>
        </w:tc>
      </w:tr>
      <w:tr w:rsidR="000D58D8" w:rsidTr="000A0ACB">
        <w:trPr>
          <w:trHeight w:val="240"/>
        </w:trPr>
        <w:tc>
          <w:tcPr>
            <w:tcW w:w="3510" w:type="dxa"/>
            <w:gridSpan w:val="5"/>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129"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2023年度，公司不存在募集资金投资项目先期投入及置换情况。</w:t>
            </w:r>
          </w:p>
        </w:tc>
      </w:tr>
      <w:tr w:rsidR="000D58D8" w:rsidTr="000A0ACB">
        <w:trPr>
          <w:trHeight w:val="240"/>
        </w:trPr>
        <w:tc>
          <w:tcPr>
            <w:tcW w:w="3510" w:type="dxa"/>
            <w:gridSpan w:val="5"/>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用闲置募集资金暂时补充流动资金情况</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适用</w:t>
            </w:r>
          </w:p>
        </w:tc>
      </w:tr>
      <w:tr w:rsidR="000D58D8" w:rsidTr="000A0ACB">
        <w:trPr>
          <w:trHeight w:val="240"/>
        </w:trPr>
        <w:tc>
          <w:tcPr>
            <w:tcW w:w="3510" w:type="dxa"/>
            <w:gridSpan w:val="5"/>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129"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公司于2023年9月19日召开第八届董事会2023年第三次临时会议、第八届监事会第十五次会议，审议通过了《关于使用部分闲置募集资金暂时补充流动资金的议案》，同意公司使用不超过1.8亿元人民币的闲置募集资金暂时补充流动资金，使用期限自董事会审议通过之日起不超过十二个月。</w:t>
            </w:r>
          </w:p>
        </w:tc>
      </w:tr>
      <w:tr w:rsidR="000D58D8" w:rsidTr="000A0ACB">
        <w:trPr>
          <w:trHeight w:val="240"/>
        </w:trPr>
        <w:tc>
          <w:tcPr>
            <w:tcW w:w="351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项目实施出现募集资金结余的金额及原因</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r>
      <w:tr w:rsidR="000D58D8" w:rsidTr="000A0ACB">
        <w:trPr>
          <w:trHeight w:val="240"/>
        </w:trPr>
        <w:tc>
          <w:tcPr>
            <w:tcW w:w="351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尚未使用的募集资金用途及去向</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截至2023年12月31日，尚未使用的募集资金全部存放于募集资金专用账户。</w:t>
            </w:r>
          </w:p>
        </w:tc>
      </w:tr>
      <w:tr w:rsidR="000D58D8" w:rsidTr="000A0ACB">
        <w:trPr>
          <w:trHeight w:val="240"/>
        </w:trPr>
        <w:tc>
          <w:tcPr>
            <w:tcW w:w="351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募集资金使用及披露中存在的问题或其他情况</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无</w:t>
            </w:r>
          </w:p>
        </w:tc>
      </w:tr>
    </w:tbl>
    <w:p w:rsidR="000D58D8" w:rsidRDefault="000F627F">
      <w:pPr>
        <w:keepNext/>
        <w:keepLines/>
        <w:spacing w:before="300" w:after="300" w:line="280" w:lineRule="exact"/>
        <w:outlineLvl w:val="3"/>
        <w:rPr>
          <w:rFonts w:ascii="宋体" w:eastAsia="宋体" w:hAnsi="宋体" w:cs="宋体"/>
          <w:b/>
          <w:bCs/>
          <w:sz w:val="18"/>
          <w:szCs w:val="18"/>
        </w:rPr>
      </w:pPr>
      <w:bookmarkStart w:id="57" w:name="_Toc988946"/>
      <w:r>
        <w:rPr>
          <w:rFonts w:ascii="宋体" w:eastAsia="宋体" w:hAnsi="宋体" w:cs="宋体"/>
          <w:b/>
          <w:bCs/>
          <w:sz w:val="18"/>
          <w:szCs w:val="18"/>
        </w:rPr>
        <w:t>（3） 募集资金变更项目情况</w:t>
      </w:r>
      <w:bookmarkEnd w:id="57"/>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63"/>
        <w:gridCol w:w="964"/>
        <w:gridCol w:w="964"/>
        <w:gridCol w:w="964"/>
        <w:gridCol w:w="964"/>
        <w:gridCol w:w="964"/>
        <w:gridCol w:w="964"/>
        <w:gridCol w:w="964"/>
        <w:gridCol w:w="964"/>
        <w:gridCol w:w="964"/>
      </w:tblGrid>
      <w:tr w:rsidR="000D58D8">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变更后的项目</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对应的原承诺项目</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变更后项目拟投入募集资金总额（1）</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本报告期实际投入金额</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截至期末实际累计投入金额（2）</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截至期末投资进度(3)＝(2)/(1)</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项目达到预定可使用状态日期</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w:t>
            </w:r>
            <w:proofErr w:type="gramStart"/>
            <w:r>
              <w:rPr>
                <w:rFonts w:ascii="宋体" w:eastAsia="宋体" w:hAnsi="宋体" w:cs="宋体"/>
                <w:sz w:val="18"/>
                <w:szCs w:val="18"/>
              </w:rPr>
              <w:t>期实现</w:t>
            </w:r>
            <w:proofErr w:type="gramEnd"/>
            <w:r>
              <w:rPr>
                <w:rFonts w:ascii="宋体" w:eastAsia="宋体" w:hAnsi="宋体" w:cs="宋体"/>
                <w:sz w:val="18"/>
                <w:szCs w:val="18"/>
              </w:rPr>
              <w:t>的效益</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是否达到预计效益</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变更后的项目可行性是否发生重大变化</w:t>
            </w:r>
          </w:p>
        </w:tc>
      </w:tr>
      <w:tr w:rsidR="000D58D8">
        <w:trPr>
          <w:trHeight w:val="240"/>
        </w:trPr>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淮北30万锭智能纺纱产业园项目</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华孚（越南）50万锭新型纱线项目（一期)</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78,846.28</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28,398.71</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74,066.5</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93.94%</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2024年09月30日</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921.52</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临时性补充流动资金</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5,663</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5,663</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78,846.28</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34,061.71</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79,729.5</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96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921.52</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0D58D8">
        <w:trPr>
          <w:trHeight w:val="240"/>
        </w:trPr>
        <w:tc>
          <w:tcPr>
            <w:tcW w:w="2892"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变更原因、决策程序及信息披露情况说明（</w:t>
            </w:r>
            <w:proofErr w:type="gramStart"/>
            <w:r>
              <w:rPr>
                <w:rFonts w:ascii="宋体" w:eastAsia="宋体" w:hAnsi="宋体" w:cs="宋体"/>
                <w:sz w:val="18"/>
                <w:szCs w:val="18"/>
              </w:rPr>
              <w:t>分具体</w:t>
            </w:r>
            <w:proofErr w:type="gramEnd"/>
            <w:r>
              <w:rPr>
                <w:rFonts w:ascii="宋体" w:eastAsia="宋体" w:hAnsi="宋体" w:cs="宋体"/>
                <w:sz w:val="18"/>
                <w:szCs w:val="18"/>
              </w:rPr>
              <w:t>项目）</w:t>
            </w:r>
          </w:p>
        </w:tc>
        <w:tc>
          <w:tcPr>
            <w:tcW w:w="6747"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1、因外部市场环境变化，原项目建设进度有所延缓，实施周期被动拉长，存在投资收益不达预期的风险。因此，经公司于 2022年1月10日召开的2022年第一次股东大会审议通过，同意将公司2021年非公开发行股票募集资金投资项目华孚（越南）50万锭新型纱线项目（一期）变更为30万锭智能纺纱产业园项目（项目实施地在安徽省淮北市）。</w:t>
            </w:r>
          </w:p>
          <w:p w:rsidR="000D58D8" w:rsidRDefault="000D58D8">
            <w:pPr>
              <w:spacing w:line="240" w:lineRule="exact"/>
              <w:rPr>
                <w:rFonts w:ascii="宋体" w:eastAsia="宋体" w:hAnsi="宋体" w:cs="宋体"/>
                <w:sz w:val="18"/>
                <w:szCs w:val="18"/>
              </w:rPr>
            </w:pP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2、2023年9月19日召开第八届董事会2023年第三次临时会议、第八届监事会第十五次会议，审议通过了《关于使用部分闲置募集资金暂时补充流动资金的议案》，同意公司使用不超过1.8亿元人民币的闲置募集资金暂时补充流动资金，使用期限自董事会审议通过之日起不超过十二个月。</w:t>
            </w:r>
          </w:p>
        </w:tc>
      </w:tr>
      <w:tr w:rsidR="000D58D8">
        <w:trPr>
          <w:trHeight w:val="240"/>
        </w:trPr>
        <w:tc>
          <w:tcPr>
            <w:tcW w:w="2892"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未达到计划进度或预计收益的情况和原因（</w:t>
            </w:r>
            <w:proofErr w:type="gramStart"/>
            <w:r>
              <w:rPr>
                <w:rFonts w:ascii="宋体" w:eastAsia="宋体" w:hAnsi="宋体" w:cs="宋体"/>
                <w:sz w:val="18"/>
                <w:szCs w:val="18"/>
              </w:rPr>
              <w:t>分具体</w:t>
            </w:r>
            <w:proofErr w:type="gramEnd"/>
            <w:r>
              <w:rPr>
                <w:rFonts w:ascii="宋体" w:eastAsia="宋体" w:hAnsi="宋体" w:cs="宋体"/>
                <w:sz w:val="18"/>
                <w:szCs w:val="18"/>
              </w:rPr>
              <w:t>项目）</w:t>
            </w:r>
          </w:p>
        </w:tc>
        <w:tc>
          <w:tcPr>
            <w:tcW w:w="6747"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不适用</w:t>
            </w:r>
          </w:p>
        </w:tc>
      </w:tr>
      <w:tr w:rsidR="000D58D8">
        <w:trPr>
          <w:trHeight w:val="240"/>
        </w:trPr>
        <w:tc>
          <w:tcPr>
            <w:tcW w:w="2892"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变更后的项目可行性发生重大变化的情况说明</w:t>
            </w:r>
          </w:p>
        </w:tc>
        <w:tc>
          <w:tcPr>
            <w:tcW w:w="6747"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不适用</w:t>
            </w:r>
          </w:p>
        </w:tc>
      </w:tr>
    </w:tbl>
    <w:p w:rsidR="000D58D8" w:rsidRDefault="000F627F">
      <w:pPr>
        <w:pStyle w:val="2"/>
        <w:spacing w:before="300" w:after="300" w:line="320" w:lineRule="exact"/>
        <w:rPr>
          <w:rFonts w:ascii="宋体" w:eastAsia="宋体" w:hAnsi="宋体" w:cs="宋体"/>
          <w:b/>
          <w:bCs/>
          <w:sz w:val="24"/>
          <w:szCs w:val="24"/>
        </w:rPr>
      </w:pPr>
      <w:bookmarkStart w:id="58" w:name="_Toc988947"/>
      <w:r>
        <w:rPr>
          <w:rFonts w:ascii="宋体" w:eastAsia="宋体" w:hAnsi="宋体" w:cs="宋体"/>
          <w:b/>
          <w:bCs/>
          <w:sz w:val="24"/>
          <w:szCs w:val="24"/>
        </w:rPr>
        <w:t>八、重大资产和股权出售</w:t>
      </w:r>
      <w:bookmarkEnd w:id="58"/>
    </w:p>
    <w:p w:rsidR="000D58D8" w:rsidRDefault="000F627F">
      <w:pPr>
        <w:pStyle w:val="3"/>
        <w:spacing w:line="280" w:lineRule="exact"/>
        <w:jc w:val="left"/>
        <w:rPr>
          <w:rFonts w:ascii="宋体" w:hAnsi="宋体" w:cs="宋体"/>
          <w:b/>
          <w:bCs/>
        </w:rPr>
      </w:pPr>
      <w:bookmarkStart w:id="59" w:name="_Toc988948"/>
      <w:r>
        <w:rPr>
          <w:rFonts w:ascii="宋体" w:hAnsi="宋体" w:cs="宋体"/>
          <w:b/>
          <w:bCs/>
        </w:rPr>
        <w:t>1、出售重大资产情况</w:t>
      </w:r>
      <w:bookmarkEnd w:id="5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公司报告期未出售重大资产。</w:t>
      </w:r>
    </w:p>
    <w:p w:rsidR="000D58D8" w:rsidRDefault="000F627F">
      <w:pPr>
        <w:pStyle w:val="3"/>
        <w:spacing w:line="280" w:lineRule="exact"/>
        <w:jc w:val="left"/>
        <w:rPr>
          <w:rFonts w:ascii="宋体" w:hAnsi="宋体" w:cs="宋体"/>
          <w:b/>
          <w:bCs/>
        </w:rPr>
      </w:pPr>
      <w:bookmarkStart w:id="60" w:name="_Toc988949"/>
      <w:r>
        <w:rPr>
          <w:rFonts w:ascii="宋体" w:hAnsi="宋体" w:cs="宋体"/>
          <w:b/>
          <w:bCs/>
        </w:rPr>
        <w:t>2、出售重大股权情况</w:t>
      </w:r>
      <w:bookmarkEnd w:id="6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2"/>
        <w:spacing w:before="300" w:after="300" w:line="320" w:lineRule="exact"/>
        <w:rPr>
          <w:rFonts w:ascii="宋体" w:eastAsia="宋体" w:hAnsi="宋体" w:cs="宋体"/>
          <w:b/>
          <w:bCs/>
          <w:sz w:val="24"/>
          <w:szCs w:val="24"/>
        </w:rPr>
      </w:pPr>
      <w:bookmarkStart w:id="61" w:name="_Toc988950"/>
      <w:r>
        <w:rPr>
          <w:rFonts w:ascii="宋体" w:eastAsia="宋体" w:hAnsi="宋体" w:cs="宋体"/>
          <w:b/>
          <w:bCs/>
          <w:sz w:val="24"/>
          <w:szCs w:val="24"/>
        </w:rPr>
        <w:t>九、主要控股参股公司分析</w:t>
      </w:r>
      <w:bookmarkEnd w:id="6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主要子公司及对公司净利润</w:t>
      </w:r>
      <w:proofErr w:type="gramStart"/>
      <w:r>
        <w:rPr>
          <w:rFonts w:ascii="宋体" w:eastAsia="宋体" w:hAnsi="宋体" w:cs="宋体"/>
          <w:sz w:val="18"/>
          <w:szCs w:val="18"/>
        </w:rPr>
        <w:t>影响达</w:t>
      </w:r>
      <w:proofErr w:type="gramEnd"/>
      <w:r>
        <w:rPr>
          <w:rFonts w:ascii="宋体" w:eastAsia="宋体" w:hAnsi="宋体" w:cs="宋体"/>
          <w:sz w:val="18"/>
          <w:szCs w:val="18"/>
        </w:rPr>
        <w:t>10%以上的参股公司情况</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公司名称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公司类型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主要业务</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总资产</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净资产</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深圳市华孚进出口有限公司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国内商业、物资供销业(不含专营、专控、专卖商品)；进出口业务(按深贸管审证字第628号</w:t>
            </w:r>
            <w:proofErr w:type="gramStart"/>
            <w:r>
              <w:rPr>
                <w:rFonts w:ascii="宋体" w:eastAsia="宋体" w:hAnsi="宋体" w:cs="宋体"/>
                <w:sz w:val="18"/>
                <w:szCs w:val="18"/>
              </w:rPr>
              <w:t>文办理</w:t>
            </w:r>
            <w:proofErr w:type="gramEnd"/>
            <w:r>
              <w:rPr>
                <w:rFonts w:ascii="宋体" w:eastAsia="宋体" w:hAnsi="宋体" w:cs="宋体"/>
                <w:sz w:val="18"/>
                <w:szCs w:val="18"/>
              </w:rPr>
              <w:t>)。企业信息咨询(不含限制项目)。</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1,500,000,000.00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6,056,516,854.98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1,910,025,097.80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3,668,318,216.38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174,043,843.03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177,508,646.28</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浙江华孚色纺有限公司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高档织物面料的织染及后</w:t>
            </w:r>
            <w:bookmarkStart w:id="62" w:name="_GoBack"/>
            <w:bookmarkEnd w:id="62"/>
            <w:r>
              <w:rPr>
                <w:rFonts w:ascii="宋体" w:eastAsia="宋体" w:hAnsi="宋体" w:cs="宋体"/>
                <w:sz w:val="18"/>
                <w:szCs w:val="18"/>
              </w:rPr>
              <w:lastRenderedPageBreak/>
              <w:t>整理加工，特种纤维、纱线、面料、混色纺纱线、染色纤维、染色筒纱、服装的生产、加工、销售</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            </w:t>
            </w:r>
            <w:r>
              <w:rPr>
                <w:rFonts w:ascii="宋体" w:eastAsia="宋体" w:hAnsi="宋体" w:cs="宋体"/>
                <w:sz w:val="18"/>
                <w:szCs w:val="18"/>
              </w:rPr>
              <w:lastRenderedPageBreak/>
              <w:t>               854,902,597.57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2,674,996,415.96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1,132,534,247.70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1,181,131,542.57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29,194,419.84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29,737,927.35</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香港华孚有限公司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从事色纱线产品的销售和投资业务</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887,849,696.00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2,516,374,663.03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1,551,108,331.89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324,108,964.65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324,108,964.59</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阿克苏华孚色纺有限公司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纺织品、纺织器材的制造销售，纺织技术培训，出口本企业的纺织品和服装，进口企业所需的原料、机器设备、仪器和配件，棉麻收购及销售</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2,634,516,140.00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4,901,827,155.87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2,416,907,087.30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3,878,683,073.90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76,927,595.71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66,649,500.35</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宁波华孚东</w:t>
            </w:r>
            <w:proofErr w:type="gramStart"/>
            <w:r>
              <w:rPr>
                <w:rFonts w:ascii="宋体" w:eastAsia="宋体" w:hAnsi="宋体" w:cs="宋体"/>
                <w:sz w:val="18"/>
                <w:szCs w:val="18"/>
              </w:rPr>
              <w:t>浩</w:t>
            </w:r>
            <w:proofErr w:type="gramEnd"/>
            <w:r>
              <w:rPr>
                <w:rFonts w:ascii="宋体" w:eastAsia="宋体" w:hAnsi="宋体" w:cs="宋体"/>
                <w:sz w:val="18"/>
                <w:szCs w:val="18"/>
              </w:rPr>
              <w:t>实业有限公司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色纺纱、高新坯纱、OE纱等棉纺织品的批发，进出口业务</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50,000,000.00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1,104,999,836.81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-178,003,419.15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3,295,133,810.77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-145,958,269.17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-145,797,553.03</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新疆六孚纺织工业</w:t>
            </w:r>
            <w:proofErr w:type="gramEnd"/>
            <w:r>
              <w:rPr>
                <w:rFonts w:ascii="宋体" w:eastAsia="宋体" w:hAnsi="宋体" w:cs="宋体"/>
                <w:sz w:val="18"/>
                <w:szCs w:val="18"/>
              </w:rPr>
              <w:t>园有限公司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特种纤维、纱线、混色纺纱线、染色纤维、</w:t>
            </w:r>
            <w:proofErr w:type="gramStart"/>
            <w:r>
              <w:rPr>
                <w:rFonts w:ascii="宋体" w:eastAsia="宋体" w:hAnsi="宋体" w:cs="宋体"/>
                <w:sz w:val="18"/>
                <w:szCs w:val="18"/>
              </w:rPr>
              <w:t>染色筒纱的</w:t>
            </w:r>
            <w:proofErr w:type="gramEnd"/>
            <w:r>
              <w:rPr>
                <w:rFonts w:ascii="宋体" w:eastAsia="宋体" w:hAnsi="宋体" w:cs="宋体"/>
                <w:sz w:val="18"/>
                <w:szCs w:val="18"/>
              </w:rPr>
              <w:t>生产、加工销售；污水处理；一般货物</w:t>
            </w:r>
            <w:r>
              <w:rPr>
                <w:rFonts w:ascii="宋体" w:eastAsia="宋体" w:hAnsi="宋体" w:cs="宋体"/>
                <w:sz w:val="18"/>
                <w:szCs w:val="18"/>
              </w:rPr>
              <w:lastRenderedPageBreak/>
              <w:t>与技术进出口；棉花纺织原料的购进与销售；棉花加工；废棉销售；机器设备与零配件的购进与销售</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                           338,250,000.00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797,250,118.96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362,530,531.90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500,034,300.36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39,763,714.01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40,380,303.14</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浙江昇孚贸易有限公司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棉花、化纤及纱线、纺织品、染料及助剂、化工产品（以上</w:t>
            </w:r>
            <w:proofErr w:type="gramStart"/>
            <w:r>
              <w:rPr>
                <w:rFonts w:ascii="宋体" w:eastAsia="宋体" w:hAnsi="宋体" w:cs="宋体"/>
                <w:sz w:val="18"/>
                <w:szCs w:val="18"/>
              </w:rPr>
              <w:t>除危险</w:t>
            </w:r>
            <w:proofErr w:type="gramEnd"/>
            <w:r>
              <w:rPr>
                <w:rFonts w:ascii="宋体" w:eastAsia="宋体" w:hAnsi="宋体" w:cs="宋体"/>
                <w:sz w:val="18"/>
                <w:szCs w:val="18"/>
              </w:rPr>
              <w:t>化学品和易制毒品外）、棉机配件、包装材料的销售；籽棉及棉副产品的收购及销售；进出口业务</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49,497,897.00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231,018,209.76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-58,093,349.43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652,645,124.85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-14,901,474.24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-14,879,843.05</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香港华孚贸易有限公司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从事色纱线产品的销售</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1,021,460,231.70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391,951,547.34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101,990,875.85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41,167,486.96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38,079,669.29</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新疆华孚</w:t>
            </w:r>
            <w:proofErr w:type="gramStart"/>
            <w:r>
              <w:rPr>
                <w:rFonts w:ascii="宋体" w:eastAsia="宋体" w:hAnsi="宋体" w:cs="宋体"/>
                <w:sz w:val="18"/>
                <w:szCs w:val="18"/>
              </w:rPr>
              <w:t>恒丰棉业</w:t>
            </w:r>
            <w:proofErr w:type="gramEnd"/>
            <w:r>
              <w:rPr>
                <w:rFonts w:ascii="宋体" w:eastAsia="宋体" w:hAnsi="宋体" w:cs="宋体"/>
                <w:sz w:val="18"/>
                <w:szCs w:val="18"/>
              </w:rPr>
              <w:t>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棉花收购，加工；棉花销售，农副产品收购销售。</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50,000,000.00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383,887,786.87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69,281,276.70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107,731,307.12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67,493,943.31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64,351,356.58</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新疆华孚棉业集团有限公司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农产品初加工服务；社会经济咨询；股权投资；棉花种植，谷物种植，货物与技术的进出口（国家禁止或涉及行政审批的货物和技术进出口除外）；销售：食</w:t>
            </w:r>
            <w:r>
              <w:rPr>
                <w:rFonts w:ascii="宋体" w:eastAsia="宋体" w:hAnsi="宋体" w:cs="宋体"/>
                <w:sz w:val="18"/>
                <w:szCs w:val="18"/>
              </w:rPr>
              <w:lastRenderedPageBreak/>
              <w:t>品、农副产品，纺织品、针织品及原料，服装鞋帽，纸浆，棉花，橡胶制品，棉纱，化工产品（危险化学品除外）</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     1,000,000,000.00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2,324,904,483.52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1,051,612,707.79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2,462,168,177.88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262,414,536.56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260,799,388.87</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平湖市华孚金瓶纺织有限公司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纱加工；针纺织品及原料销售；纺织专用设备销售；机械零件、零部件销售；技术服务、技术开发、技术咨询、技术交流、技术转让、技术推广；非居住房地产租赁；住房租赁；机械设备租赁；棉花收购；货物进出口</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10,000,000.00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157,957,880.05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95,131,478.55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86,744,667.70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129,958,644.50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111,248,393.11</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新疆华孚纺织有限公司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棉花加工；道路货物运输（不含危险货物）。棉花收购；棉、麻销售；针纺织品销售；纺织专用设备制造；纺织专用设备销售；业务培训（不含教育培训、职业技能培训</w:t>
            </w:r>
            <w:r>
              <w:rPr>
                <w:rFonts w:ascii="宋体" w:eastAsia="宋体" w:hAnsi="宋体" w:cs="宋体"/>
                <w:sz w:val="18"/>
                <w:szCs w:val="18"/>
              </w:rPr>
              <w:lastRenderedPageBreak/>
              <w:t>等需取得许可的培训）；货物进出口；仪器仪表销售；机械设备销售；棉花加工机械销售；塑料制品销售；塑料制品制造；塑料包装箱及容器制造；合成纤维销售。</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        50,000,000.00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361,364,038.48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122,473,366.40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257,259,161.82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25,834,397.33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23,160,781.34</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lastRenderedPageBreak/>
              <w:t>新疆天孚棉花</w:t>
            </w:r>
            <w:proofErr w:type="gramEnd"/>
            <w:r>
              <w:rPr>
                <w:rFonts w:ascii="宋体" w:eastAsia="宋体" w:hAnsi="宋体" w:cs="宋体"/>
                <w:sz w:val="18"/>
                <w:szCs w:val="18"/>
              </w:rPr>
              <w:t>供应链股份有限公司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棉花收购与销售；普通货物运输；棉副产品的高科技深加工；销售:棉花、化纤与纱线、纺织品、燃料及助剂、化工厂产品（不含危险化学品和易制毒品），服装服饰产品及服装原辅材料；仓储服务，物流配送，包装服务，搬运装卸；物流信息咨询服务。</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80,000,000.00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411,510,527.69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131,230,694.90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67,401,803.39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201,213,116.53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203,138,787.61</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库车</w:t>
            </w:r>
            <w:proofErr w:type="gramStart"/>
            <w:r>
              <w:rPr>
                <w:rFonts w:ascii="宋体" w:eastAsia="宋体" w:hAnsi="宋体" w:cs="宋体"/>
                <w:sz w:val="18"/>
                <w:szCs w:val="18"/>
              </w:rPr>
              <w:t>恒丰棉业</w:t>
            </w:r>
            <w:proofErr w:type="gramEnd"/>
            <w:r>
              <w:rPr>
                <w:rFonts w:ascii="宋体" w:eastAsia="宋体" w:hAnsi="宋体" w:cs="宋体"/>
                <w:sz w:val="18"/>
                <w:szCs w:val="18"/>
              </w:rPr>
              <w:t>有限责任公司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棉花收购，加工；棉花销售，农副产品收购销售。</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50,000,000.00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7,407,762.43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6,841,663.75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111,781,729.81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45,991,251.82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46,096,084.56</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石河子华孚</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农业专业及辅助性活动；农业生产托管服务；</w:t>
            </w:r>
            <w:r>
              <w:rPr>
                <w:rFonts w:ascii="宋体" w:eastAsia="宋体" w:hAnsi="宋体" w:cs="宋体"/>
                <w:sz w:val="18"/>
                <w:szCs w:val="18"/>
              </w:rPr>
              <w:lastRenderedPageBreak/>
              <w:t>技术服务、技术开发、技术咨询、技术交流、技术转让、技术推广；棉花及农副产品的收购、加工及销售；化纤、纱线、针纺织品、染料、化工产品（危险化学品及易燃易爆物品除外）的销售；农产品初加工。</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        50,000,000.00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126,095,245.43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77,165,586.95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126,049,325.40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30,574,533.92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30,577,997.87</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越南隆安英鸿投资股份公司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房地产开发</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88,200,000.00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356,502,775.92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106,282,801.55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165,295,867.50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29,890,857.29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21,880,866.36</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报告期内取得和处置子公司的情况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公司名称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报告期内取得和处置子公司方式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对整体生产经营和业绩的影响</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浙江果实设计有限公司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浙江其实科技有限公司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浙江果实纺织科技有限公司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浙江达米安品牌管理有限公司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平湖市科新贸易有限公司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新疆盛孚棉业有限公司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新疆泽孚棉花有限公司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新疆华孚宏丰农业开发有限公司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淮北华孚新能源有限公司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岳普湖</w:t>
            </w:r>
            <w:proofErr w:type="gramStart"/>
            <w:r>
              <w:rPr>
                <w:rFonts w:ascii="宋体" w:eastAsia="宋体" w:hAnsi="宋体" w:cs="宋体"/>
                <w:sz w:val="18"/>
                <w:szCs w:val="18"/>
              </w:rPr>
              <w:t>嘉孚棉</w:t>
            </w:r>
            <w:proofErr w:type="gramEnd"/>
            <w:r>
              <w:rPr>
                <w:rFonts w:ascii="宋体" w:eastAsia="宋体" w:hAnsi="宋体" w:cs="宋体"/>
                <w:sz w:val="18"/>
                <w:szCs w:val="18"/>
              </w:rPr>
              <w:t>业有限公司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岳普湖</w:t>
            </w:r>
            <w:proofErr w:type="gramStart"/>
            <w:r>
              <w:rPr>
                <w:rFonts w:ascii="宋体" w:eastAsia="宋体" w:hAnsi="宋体" w:cs="宋体"/>
                <w:sz w:val="18"/>
                <w:szCs w:val="18"/>
              </w:rPr>
              <w:t>恒孚棉</w:t>
            </w:r>
            <w:proofErr w:type="gramEnd"/>
            <w:r>
              <w:rPr>
                <w:rFonts w:ascii="宋体" w:eastAsia="宋体" w:hAnsi="宋体" w:cs="宋体"/>
                <w:sz w:val="18"/>
                <w:szCs w:val="18"/>
              </w:rPr>
              <w:t>业有限公司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岳普湖</w:t>
            </w:r>
            <w:proofErr w:type="gramStart"/>
            <w:r>
              <w:rPr>
                <w:rFonts w:ascii="宋体" w:eastAsia="宋体" w:hAnsi="宋体" w:cs="宋体"/>
                <w:sz w:val="18"/>
                <w:szCs w:val="18"/>
              </w:rPr>
              <w:t>鑫孚棉</w:t>
            </w:r>
            <w:proofErr w:type="gramEnd"/>
            <w:r>
              <w:rPr>
                <w:rFonts w:ascii="宋体" w:eastAsia="宋体" w:hAnsi="宋体" w:cs="宋体"/>
                <w:sz w:val="18"/>
                <w:szCs w:val="18"/>
              </w:rPr>
              <w:t>业有限公司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伽师润孚棉花</w:t>
            </w:r>
            <w:proofErr w:type="gramEnd"/>
            <w:r>
              <w:rPr>
                <w:rFonts w:ascii="宋体" w:eastAsia="宋体" w:hAnsi="宋体" w:cs="宋体"/>
                <w:sz w:val="18"/>
                <w:szCs w:val="18"/>
              </w:rPr>
              <w:t>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伽师</w:t>
            </w:r>
            <w:proofErr w:type="gramStart"/>
            <w:r>
              <w:rPr>
                <w:rFonts w:ascii="宋体" w:eastAsia="宋体" w:hAnsi="宋体" w:cs="宋体"/>
                <w:sz w:val="18"/>
                <w:szCs w:val="18"/>
              </w:rPr>
              <w:t>锦孚棉</w:t>
            </w:r>
            <w:proofErr w:type="gramEnd"/>
            <w:r>
              <w:rPr>
                <w:rFonts w:ascii="宋体" w:eastAsia="宋体" w:hAnsi="宋体" w:cs="宋体"/>
                <w:sz w:val="18"/>
                <w:szCs w:val="18"/>
              </w:rPr>
              <w:t>业有限公司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伽师德孚棉业</w:t>
            </w:r>
            <w:proofErr w:type="gramEnd"/>
            <w:r>
              <w:rPr>
                <w:rFonts w:ascii="宋体" w:eastAsia="宋体" w:hAnsi="宋体" w:cs="宋体"/>
                <w:sz w:val="18"/>
                <w:szCs w:val="18"/>
              </w:rPr>
              <w:t>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新疆天路智能制造有限公司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注销</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绍兴市上虞华孚物流有限公司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注销</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浙江阿大贸易有限公司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注销</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诸暨市</w:t>
            </w:r>
            <w:proofErr w:type="gramStart"/>
            <w:r>
              <w:rPr>
                <w:rFonts w:ascii="宋体" w:eastAsia="宋体" w:hAnsi="宋体" w:cs="宋体"/>
                <w:sz w:val="18"/>
                <w:szCs w:val="18"/>
              </w:rPr>
              <w:t>鲲驰投资</w:t>
            </w:r>
            <w:proofErr w:type="gramEnd"/>
            <w:r>
              <w:rPr>
                <w:rFonts w:ascii="宋体" w:eastAsia="宋体" w:hAnsi="宋体" w:cs="宋体"/>
                <w:sz w:val="18"/>
                <w:szCs w:val="18"/>
              </w:rPr>
              <w:t>管理合伙企业（有限合伙）</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注销</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金华市</w:t>
            </w:r>
            <w:proofErr w:type="gramStart"/>
            <w:r>
              <w:rPr>
                <w:rFonts w:ascii="宋体" w:eastAsia="宋体" w:hAnsi="宋体" w:cs="宋体"/>
                <w:sz w:val="18"/>
                <w:szCs w:val="18"/>
              </w:rPr>
              <w:t>菁英网红</w:t>
            </w:r>
            <w:proofErr w:type="gramEnd"/>
            <w:r>
              <w:rPr>
                <w:rFonts w:ascii="宋体" w:eastAsia="宋体" w:hAnsi="宋体" w:cs="宋体"/>
                <w:sz w:val="18"/>
                <w:szCs w:val="18"/>
              </w:rPr>
              <w:t>品牌管理有限公司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注销</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浙江铭孚针纺有限公司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r>
              <w:rPr>
                <w:rFonts w:ascii="宋体" w:eastAsia="宋体" w:hAnsi="宋体" w:cs="宋体"/>
                <w:sz w:val="18"/>
                <w:szCs w:val="18"/>
              </w:rPr>
              <w:t>注销</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呼图壁县</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库车</w:t>
            </w:r>
            <w:proofErr w:type="gramStart"/>
            <w:r>
              <w:rPr>
                <w:rFonts w:ascii="宋体" w:eastAsia="宋体" w:hAnsi="宋体" w:cs="宋体"/>
                <w:sz w:val="18"/>
                <w:szCs w:val="18"/>
              </w:rPr>
              <w:t>恒丰棉业</w:t>
            </w:r>
            <w:proofErr w:type="gramEnd"/>
            <w:r>
              <w:rPr>
                <w:rFonts w:ascii="宋体" w:eastAsia="宋体" w:hAnsi="宋体" w:cs="宋体"/>
                <w:sz w:val="18"/>
                <w:szCs w:val="18"/>
              </w:rPr>
              <w:t>有限责任公司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新疆棉花产业（集团）叶城棉业有限责任公司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新疆棉花产业集团泽普棉业有限公司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浙江博忆纺织科技有限公司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浙江双琪进出口有限公司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浙江诸暨科宁投资有限公司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诸暨广</w:t>
            </w:r>
            <w:proofErr w:type="gramStart"/>
            <w:r>
              <w:rPr>
                <w:rFonts w:ascii="宋体" w:eastAsia="宋体" w:hAnsi="宋体" w:cs="宋体"/>
                <w:sz w:val="18"/>
                <w:szCs w:val="18"/>
              </w:rPr>
              <w:t>昊</w:t>
            </w:r>
            <w:proofErr w:type="gramEnd"/>
            <w:r>
              <w:rPr>
                <w:rFonts w:ascii="宋体" w:eastAsia="宋体" w:hAnsi="宋体" w:cs="宋体"/>
                <w:sz w:val="18"/>
                <w:szCs w:val="18"/>
              </w:rPr>
              <w:t>纺织有限公司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新疆科宁针纺科技有限公司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乌什县阿大纺织有限公司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安徽博忆纺织科技有限公司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岳普湖</w:t>
            </w:r>
            <w:proofErr w:type="gramStart"/>
            <w:r>
              <w:rPr>
                <w:rFonts w:ascii="宋体" w:eastAsia="宋体" w:hAnsi="宋体" w:cs="宋体"/>
                <w:sz w:val="18"/>
                <w:szCs w:val="18"/>
              </w:rPr>
              <w:t>嘉孚棉</w:t>
            </w:r>
            <w:proofErr w:type="gramEnd"/>
            <w:r>
              <w:rPr>
                <w:rFonts w:ascii="宋体" w:eastAsia="宋体" w:hAnsi="宋体" w:cs="宋体"/>
                <w:sz w:val="18"/>
                <w:szCs w:val="18"/>
              </w:rPr>
              <w:t>业有限公司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岳普湖</w:t>
            </w:r>
            <w:proofErr w:type="gramStart"/>
            <w:r>
              <w:rPr>
                <w:rFonts w:ascii="宋体" w:eastAsia="宋体" w:hAnsi="宋体" w:cs="宋体"/>
                <w:sz w:val="18"/>
                <w:szCs w:val="18"/>
              </w:rPr>
              <w:t>恒孚棉</w:t>
            </w:r>
            <w:proofErr w:type="gramEnd"/>
            <w:r>
              <w:rPr>
                <w:rFonts w:ascii="宋体" w:eastAsia="宋体" w:hAnsi="宋体" w:cs="宋体"/>
                <w:sz w:val="18"/>
                <w:szCs w:val="18"/>
              </w:rPr>
              <w:t>业有限公司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岳普湖</w:t>
            </w:r>
            <w:proofErr w:type="gramStart"/>
            <w:r>
              <w:rPr>
                <w:rFonts w:ascii="宋体" w:eastAsia="宋体" w:hAnsi="宋体" w:cs="宋体"/>
                <w:sz w:val="18"/>
                <w:szCs w:val="18"/>
              </w:rPr>
              <w:t>鑫孚棉</w:t>
            </w:r>
            <w:proofErr w:type="gramEnd"/>
            <w:r>
              <w:rPr>
                <w:rFonts w:ascii="宋体" w:eastAsia="宋体" w:hAnsi="宋体" w:cs="宋体"/>
                <w:sz w:val="18"/>
                <w:szCs w:val="18"/>
              </w:rPr>
              <w:t>业有限公司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伽师润孚棉花</w:t>
            </w:r>
            <w:proofErr w:type="gramEnd"/>
            <w:r>
              <w:rPr>
                <w:rFonts w:ascii="宋体" w:eastAsia="宋体" w:hAnsi="宋体" w:cs="宋体"/>
                <w:sz w:val="18"/>
                <w:szCs w:val="18"/>
              </w:rPr>
              <w:t>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伽师</w:t>
            </w:r>
            <w:proofErr w:type="gramStart"/>
            <w:r>
              <w:rPr>
                <w:rFonts w:ascii="宋体" w:eastAsia="宋体" w:hAnsi="宋体" w:cs="宋体"/>
                <w:sz w:val="18"/>
                <w:szCs w:val="18"/>
              </w:rPr>
              <w:t>锦孚棉</w:t>
            </w:r>
            <w:proofErr w:type="gramEnd"/>
            <w:r>
              <w:rPr>
                <w:rFonts w:ascii="宋体" w:eastAsia="宋体" w:hAnsi="宋体" w:cs="宋体"/>
                <w:sz w:val="18"/>
                <w:szCs w:val="18"/>
              </w:rPr>
              <w:t>业有限公司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伽师德孚棉业</w:t>
            </w:r>
            <w:proofErr w:type="gramEnd"/>
            <w:r>
              <w:rPr>
                <w:rFonts w:ascii="宋体" w:eastAsia="宋体" w:hAnsi="宋体" w:cs="宋体"/>
                <w:sz w:val="18"/>
                <w:szCs w:val="18"/>
              </w:rPr>
              <w:t>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rsidP="000A0ACB">
            <w:pPr>
              <w:spacing w:line="240" w:lineRule="exact"/>
              <w:jc w:val="righ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bl>
    <w:p w:rsidR="000F627F" w:rsidRPr="000A0ACB" w:rsidRDefault="000F627F" w:rsidP="000A0ACB">
      <w:pPr>
        <w:spacing w:before="100" w:after="100" w:line="240" w:lineRule="exact"/>
        <w:rPr>
          <w:rFonts w:ascii="宋体" w:eastAsia="宋体" w:hAnsi="宋体" w:cs="宋体"/>
          <w:sz w:val="18"/>
          <w:szCs w:val="18"/>
        </w:rPr>
      </w:pPr>
      <w:r>
        <w:rPr>
          <w:rFonts w:ascii="宋体" w:eastAsia="宋体" w:hAnsi="宋体" w:cs="宋体"/>
          <w:sz w:val="18"/>
          <w:szCs w:val="18"/>
        </w:rPr>
        <w:t>主要控股参股公司情况说明</w:t>
      </w:r>
      <w:r w:rsidR="000A0ACB">
        <w:rPr>
          <w:rFonts w:ascii="宋体" w:eastAsia="宋体" w:hAnsi="宋体" w:cs="宋体" w:hint="eastAsia"/>
          <w:sz w:val="18"/>
          <w:szCs w:val="18"/>
        </w:rPr>
        <w:t>：</w:t>
      </w:r>
      <w:r>
        <w:rPr>
          <w:rFonts w:hint="eastAsia"/>
          <w:sz w:val="18"/>
          <w:szCs w:val="18"/>
        </w:rPr>
        <w:t>无。</w:t>
      </w:r>
    </w:p>
    <w:p w:rsidR="000D58D8" w:rsidRDefault="000F627F">
      <w:pPr>
        <w:pStyle w:val="2"/>
        <w:spacing w:before="300" w:after="300" w:line="320" w:lineRule="exact"/>
        <w:rPr>
          <w:rFonts w:ascii="宋体" w:eastAsia="宋体" w:hAnsi="宋体" w:cs="宋体"/>
          <w:b/>
          <w:bCs/>
          <w:sz w:val="24"/>
          <w:szCs w:val="24"/>
        </w:rPr>
      </w:pPr>
      <w:bookmarkStart w:id="63" w:name="_Toc988951"/>
      <w:r>
        <w:rPr>
          <w:rFonts w:ascii="宋体" w:eastAsia="宋体" w:hAnsi="宋体" w:cs="宋体"/>
          <w:b/>
          <w:bCs/>
          <w:sz w:val="24"/>
          <w:szCs w:val="24"/>
        </w:rPr>
        <w:t>十、公司控制的结构化主体情况</w:t>
      </w:r>
      <w:bookmarkEnd w:id="6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2"/>
        <w:spacing w:before="300" w:after="300" w:line="320" w:lineRule="exact"/>
        <w:rPr>
          <w:rFonts w:ascii="宋体" w:eastAsia="宋体" w:hAnsi="宋体" w:cs="宋体"/>
          <w:b/>
          <w:bCs/>
          <w:sz w:val="24"/>
          <w:szCs w:val="24"/>
        </w:rPr>
      </w:pPr>
      <w:bookmarkStart w:id="64" w:name="_Toc988952"/>
      <w:r>
        <w:rPr>
          <w:rFonts w:ascii="宋体" w:eastAsia="宋体" w:hAnsi="宋体" w:cs="宋体"/>
          <w:b/>
          <w:bCs/>
          <w:sz w:val="24"/>
          <w:szCs w:val="24"/>
        </w:rPr>
        <w:t>十一、公司未来发展的展望</w:t>
      </w:r>
      <w:bookmarkEnd w:id="64"/>
    </w:p>
    <w:p w:rsidR="000F627F" w:rsidRDefault="000F627F">
      <w:pPr>
        <w:pStyle w:val="a3"/>
        <w:spacing w:before="0" w:beforeAutospacing="0" w:after="0" w:afterAutospacing="0"/>
        <w:ind w:firstLine="360"/>
        <w:divId w:val="348332774"/>
        <w:rPr>
          <w:rFonts w:ascii="Calibri" w:hAnsi="Calibri" w:cs="Calibri"/>
          <w:sz w:val="21"/>
          <w:szCs w:val="21"/>
        </w:rPr>
      </w:pPr>
      <w:r>
        <w:rPr>
          <w:rFonts w:cs="Calibri" w:hint="eastAsia"/>
          <w:sz w:val="18"/>
          <w:szCs w:val="18"/>
        </w:rPr>
        <w:t>（一）行业趋势</w:t>
      </w:r>
    </w:p>
    <w:p w:rsidR="000A0ACB" w:rsidRPr="000A0ACB" w:rsidRDefault="000A0ACB" w:rsidP="000A0ACB">
      <w:pPr>
        <w:pStyle w:val="a3"/>
        <w:spacing w:before="0" w:beforeAutospacing="0" w:after="0" w:afterAutospacing="0"/>
        <w:ind w:firstLineChars="200" w:firstLine="360"/>
        <w:divId w:val="348332774"/>
        <w:rPr>
          <w:rFonts w:cs="Calibri"/>
          <w:sz w:val="18"/>
          <w:szCs w:val="18"/>
        </w:rPr>
      </w:pPr>
      <w:r w:rsidRPr="000A0ACB">
        <w:rPr>
          <w:rFonts w:cs="Calibri" w:hint="eastAsia"/>
          <w:sz w:val="18"/>
          <w:szCs w:val="18"/>
        </w:rPr>
        <w:t>展望2024年，国内经济有望延续回升向好态势，为消费复苏创造了良好的条件和基础，预计服装内销市场将延续恢复态势，但由于市场主体信心和预期仍有待改善，企业效益修复仍面临挑战。</w:t>
      </w:r>
    </w:p>
    <w:p w:rsidR="000A0ACB" w:rsidRPr="000A0ACB" w:rsidRDefault="000A0ACB" w:rsidP="000A0ACB">
      <w:pPr>
        <w:pStyle w:val="a3"/>
        <w:spacing w:before="0" w:beforeAutospacing="0" w:after="0" w:afterAutospacing="0"/>
        <w:ind w:firstLineChars="200" w:firstLine="360"/>
        <w:divId w:val="348332774"/>
        <w:rPr>
          <w:rFonts w:cs="Calibri"/>
          <w:sz w:val="18"/>
          <w:szCs w:val="18"/>
        </w:rPr>
      </w:pPr>
      <w:r w:rsidRPr="000A0ACB">
        <w:rPr>
          <w:rFonts w:cs="Calibri" w:hint="eastAsia"/>
          <w:sz w:val="18"/>
          <w:szCs w:val="18"/>
        </w:rPr>
        <w:t>国际贸易方面，地缘政治风险上升，大国博弈加剧，世界将面临更多不确定的因素。从海外服装品牌的库存周期看，去库存化趋于尾声，后续采购需求将有所上升，国际供应链转移对行业的深远影响依然存在。发达国家补库存需求回升、加速拓展新兴市场、跨境电商等新模式快速发展的推动下，预计2024年行业出口继续向常态化发展回归。</w:t>
      </w:r>
    </w:p>
    <w:p w:rsidR="000A0ACB" w:rsidRDefault="000A0ACB" w:rsidP="000A0ACB">
      <w:pPr>
        <w:pStyle w:val="a3"/>
        <w:spacing w:before="0" w:beforeAutospacing="0" w:after="0" w:afterAutospacing="0"/>
        <w:ind w:firstLineChars="200" w:firstLine="360"/>
        <w:divId w:val="348332774"/>
        <w:rPr>
          <w:rFonts w:cs="Calibri"/>
          <w:sz w:val="18"/>
          <w:szCs w:val="18"/>
        </w:rPr>
      </w:pPr>
      <w:r w:rsidRPr="000A0ACB">
        <w:rPr>
          <w:rFonts w:cs="Calibri" w:hint="eastAsia"/>
          <w:sz w:val="18"/>
          <w:szCs w:val="18"/>
        </w:rPr>
        <w:t>总体来看，2024年，国内外市场需求改善将有利于市场回升，进一步促进行业营收和利润修复，逐渐缓解市场主体压力并激发企业内生动力，形成供需两端相互促进的良性循环，推动行业经济稳步向好。</w:t>
      </w:r>
    </w:p>
    <w:p w:rsidR="000F627F" w:rsidRDefault="000F627F" w:rsidP="000A0ACB">
      <w:pPr>
        <w:pStyle w:val="a3"/>
        <w:spacing w:before="0" w:beforeAutospacing="0" w:after="0" w:afterAutospacing="0"/>
        <w:ind w:firstLine="360"/>
        <w:divId w:val="348332774"/>
        <w:rPr>
          <w:rFonts w:ascii="Calibri" w:hAnsi="Calibri" w:cs="Calibri"/>
          <w:sz w:val="21"/>
          <w:szCs w:val="21"/>
        </w:rPr>
      </w:pPr>
      <w:r>
        <w:rPr>
          <w:rFonts w:cs="Calibri" w:hint="eastAsia"/>
          <w:sz w:val="18"/>
          <w:szCs w:val="18"/>
        </w:rPr>
        <w:t>（二）公司发展战略</w:t>
      </w:r>
    </w:p>
    <w:p w:rsidR="000F627F" w:rsidRDefault="000F627F">
      <w:pPr>
        <w:pStyle w:val="a3"/>
        <w:spacing w:before="0" w:beforeAutospacing="0" w:after="0" w:afterAutospacing="0"/>
        <w:ind w:firstLine="360"/>
        <w:divId w:val="348332774"/>
        <w:rPr>
          <w:rFonts w:ascii="Calibri" w:hAnsi="Calibri" w:cs="Calibri"/>
          <w:sz w:val="21"/>
          <w:szCs w:val="21"/>
        </w:rPr>
      </w:pPr>
      <w:r>
        <w:rPr>
          <w:rFonts w:cs="Calibri" w:hint="eastAsia"/>
          <w:sz w:val="18"/>
          <w:szCs w:val="18"/>
        </w:rPr>
        <w:t>继续实施“坚持主业、共享产业、发展新业”的战略主题，在稳健发展纱线主业的同时，深化推进</w:t>
      </w:r>
      <w:proofErr w:type="gramStart"/>
      <w:r>
        <w:rPr>
          <w:rFonts w:cs="Calibri" w:hint="eastAsia"/>
          <w:sz w:val="18"/>
          <w:szCs w:val="18"/>
        </w:rPr>
        <w:t>前端网链</w:t>
      </w:r>
      <w:proofErr w:type="gramEnd"/>
      <w:r>
        <w:rPr>
          <w:rFonts w:cs="Calibri" w:hint="eastAsia"/>
          <w:sz w:val="18"/>
          <w:szCs w:val="18"/>
        </w:rPr>
        <w:t>，加速发展后端网链，着力抓好综合经营，以资产收益率为准绳，建立健全投资与资产经营管理体系。</w:t>
      </w:r>
    </w:p>
    <w:p w:rsidR="000F627F" w:rsidRDefault="000F627F">
      <w:pPr>
        <w:pStyle w:val="a3"/>
        <w:spacing w:before="0" w:beforeAutospacing="0" w:after="0" w:afterAutospacing="0"/>
        <w:ind w:firstLine="360"/>
        <w:divId w:val="348332774"/>
        <w:rPr>
          <w:rFonts w:ascii="Calibri" w:hAnsi="Calibri" w:cs="Calibri"/>
          <w:sz w:val="21"/>
          <w:szCs w:val="21"/>
        </w:rPr>
      </w:pPr>
      <w:r>
        <w:rPr>
          <w:rFonts w:cs="Calibri" w:hint="eastAsia"/>
          <w:sz w:val="18"/>
          <w:szCs w:val="18"/>
        </w:rPr>
        <w:t>主营纱线，公司进行产品细分、市场开拓、区域渗透，实施双循环战略，实现海外、国内市场均衡发展。公司</w:t>
      </w:r>
      <w:proofErr w:type="gramStart"/>
      <w:r>
        <w:rPr>
          <w:rFonts w:cs="Calibri" w:hint="eastAsia"/>
          <w:sz w:val="18"/>
          <w:szCs w:val="18"/>
        </w:rPr>
        <w:t>运用三纱合一</w:t>
      </w:r>
      <w:proofErr w:type="gramEnd"/>
      <w:r>
        <w:rPr>
          <w:rFonts w:cs="Calibri" w:hint="eastAsia"/>
          <w:sz w:val="18"/>
          <w:szCs w:val="18"/>
        </w:rPr>
        <w:t>综合优势，利用新疆资源做品牌竞争力，做强全棉产品，着力创新非棉产品，建立长周期中位线原料购销机制，提高公司对整体库存的风险规避能力。</w:t>
      </w:r>
    </w:p>
    <w:p w:rsidR="000F627F" w:rsidRDefault="000F627F">
      <w:pPr>
        <w:pStyle w:val="a3"/>
        <w:spacing w:before="0" w:beforeAutospacing="0" w:after="0" w:afterAutospacing="0"/>
        <w:ind w:firstLine="360"/>
        <w:divId w:val="348332774"/>
        <w:rPr>
          <w:rFonts w:ascii="Calibri" w:hAnsi="Calibri" w:cs="Calibri"/>
          <w:sz w:val="21"/>
          <w:szCs w:val="21"/>
        </w:rPr>
      </w:pPr>
      <w:proofErr w:type="gramStart"/>
      <w:r>
        <w:rPr>
          <w:rFonts w:cs="Calibri" w:hint="eastAsia"/>
          <w:sz w:val="18"/>
          <w:szCs w:val="18"/>
        </w:rPr>
        <w:t>网链转型</w:t>
      </w:r>
      <w:proofErr w:type="gramEnd"/>
      <w:r>
        <w:rPr>
          <w:rFonts w:cs="Calibri" w:hint="eastAsia"/>
          <w:sz w:val="18"/>
          <w:szCs w:val="18"/>
        </w:rPr>
        <w:t>战略持续发力，</w:t>
      </w:r>
      <w:proofErr w:type="gramStart"/>
      <w:r>
        <w:rPr>
          <w:rFonts w:cs="Calibri" w:hint="eastAsia"/>
          <w:sz w:val="18"/>
          <w:szCs w:val="18"/>
        </w:rPr>
        <w:t>前端网链提</w:t>
      </w:r>
      <w:proofErr w:type="gramEnd"/>
      <w:r>
        <w:rPr>
          <w:rFonts w:cs="Calibri" w:hint="eastAsia"/>
          <w:sz w:val="18"/>
          <w:szCs w:val="18"/>
        </w:rPr>
        <w:t>质增效，后端网链品类模式继续突破；通过价值服务，逐步实现产业转型升级。继续</w:t>
      </w:r>
      <w:proofErr w:type="gramStart"/>
      <w:r>
        <w:rPr>
          <w:rFonts w:cs="Calibri" w:hint="eastAsia"/>
          <w:sz w:val="18"/>
          <w:szCs w:val="18"/>
        </w:rPr>
        <w:t>推行数智化</w:t>
      </w:r>
      <w:proofErr w:type="gramEnd"/>
      <w:r>
        <w:rPr>
          <w:rFonts w:cs="Calibri" w:hint="eastAsia"/>
          <w:sz w:val="18"/>
          <w:szCs w:val="18"/>
        </w:rPr>
        <w:t>升级和绿色低碳战略，推进数字化工厂建设，推行</w:t>
      </w:r>
      <w:proofErr w:type="gramStart"/>
      <w:r>
        <w:rPr>
          <w:rFonts w:cs="Calibri" w:hint="eastAsia"/>
          <w:sz w:val="18"/>
          <w:szCs w:val="18"/>
        </w:rPr>
        <w:t>生产数智化</w:t>
      </w:r>
      <w:proofErr w:type="gramEnd"/>
      <w:r>
        <w:rPr>
          <w:rFonts w:cs="Calibri" w:hint="eastAsia"/>
          <w:sz w:val="18"/>
          <w:szCs w:val="18"/>
        </w:rPr>
        <w:t>管理，在原料取代、循环再生、技术革新、使用新能源等方面</w:t>
      </w:r>
      <w:proofErr w:type="gramStart"/>
      <w:r>
        <w:rPr>
          <w:rFonts w:cs="Calibri" w:hint="eastAsia"/>
          <w:sz w:val="18"/>
          <w:szCs w:val="18"/>
        </w:rPr>
        <w:t>践行</w:t>
      </w:r>
      <w:proofErr w:type="gramEnd"/>
      <w:r>
        <w:rPr>
          <w:rFonts w:cs="Calibri" w:hint="eastAsia"/>
          <w:sz w:val="18"/>
          <w:szCs w:val="18"/>
        </w:rPr>
        <w:t>绿色低碳转型之路。</w:t>
      </w:r>
    </w:p>
    <w:p w:rsidR="000F627F" w:rsidRDefault="000F627F">
      <w:pPr>
        <w:pStyle w:val="a3"/>
        <w:spacing w:before="0" w:beforeAutospacing="0" w:after="0" w:afterAutospacing="0"/>
        <w:ind w:firstLine="360"/>
        <w:divId w:val="348332774"/>
        <w:rPr>
          <w:rFonts w:ascii="Calibri" w:hAnsi="Calibri" w:cs="Calibri"/>
          <w:sz w:val="21"/>
          <w:szCs w:val="21"/>
        </w:rPr>
      </w:pPr>
      <w:r>
        <w:rPr>
          <w:rFonts w:cs="Calibri" w:hint="eastAsia"/>
          <w:sz w:val="18"/>
          <w:szCs w:val="18"/>
        </w:rPr>
        <w:t>同时，公司着力打造上虞AIGC</w:t>
      </w:r>
      <w:proofErr w:type="gramStart"/>
      <w:r>
        <w:rPr>
          <w:rFonts w:cs="Calibri" w:hint="eastAsia"/>
          <w:sz w:val="18"/>
          <w:szCs w:val="18"/>
        </w:rPr>
        <w:t>智算中心</w:t>
      </w:r>
      <w:proofErr w:type="gramEnd"/>
      <w:r>
        <w:rPr>
          <w:rFonts w:cs="Calibri" w:hint="eastAsia"/>
          <w:sz w:val="18"/>
          <w:szCs w:val="18"/>
        </w:rPr>
        <w:t>项目及新疆</w:t>
      </w:r>
      <w:r w:rsidR="000A0ACB" w:rsidRPr="000A0ACB">
        <w:rPr>
          <w:rFonts w:cs="Calibri" w:hint="eastAsia"/>
          <w:sz w:val="18"/>
          <w:szCs w:val="18"/>
        </w:rPr>
        <w:t>阿克苏城市</w:t>
      </w:r>
      <w:proofErr w:type="gramStart"/>
      <w:r w:rsidR="000A0ACB" w:rsidRPr="000A0ACB">
        <w:rPr>
          <w:rFonts w:cs="Calibri" w:hint="eastAsia"/>
          <w:sz w:val="18"/>
          <w:szCs w:val="18"/>
        </w:rPr>
        <w:t>公共算力平台</w:t>
      </w:r>
      <w:proofErr w:type="gramEnd"/>
      <w:r w:rsidR="000A0ACB" w:rsidRPr="000A0ACB">
        <w:rPr>
          <w:rFonts w:cs="Calibri" w:hint="eastAsia"/>
          <w:sz w:val="18"/>
          <w:szCs w:val="18"/>
        </w:rPr>
        <w:t>项目</w:t>
      </w:r>
      <w:r>
        <w:rPr>
          <w:rFonts w:cs="Calibri" w:hint="eastAsia"/>
          <w:sz w:val="18"/>
          <w:szCs w:val="18"/>
        </w:rPr>
        <w:t>，</w:t>
      </w:r>
      <w:proofErr w:type="gramStart"/>
      <w:r>
        <w:rPr>
          <w:rFonts w:cs="Calibri" w:hint="eastAsia"/>
          <w:sz w:val="18"/>
          <w:szCs w:val="18"/>
        </w:rPr>
        <w:t>提供算力租赁</w:t>
      </w:r>
      <w:proofErr w:type="gramEnd"/>
      <w:r>
        <w:rPr>
          <w:rFonts w:cs="Calibri" w:hint="eastAsia"/>
          <w:sz w:val="18"/>
          <w:szCs w:val="18"/>
        </w:rPr>
        <w:t>服务；同时，公司</w:t>
      </w:r>
      <w:proofErr w:type="gramStart"/>
      <w:r>
        <w:rPr>
          <w:rFonts w:cs="Calibri" w:hint="eastAsia"/>
          <w:sz w:val="18"/>
          <w:szCs w:val="18"/>
        </w:rPr>
        <w:t>通过智算中心的算力支持</w:t>
      </w:r>
      <w:proofErr w:type="gramEnd"/>
      <w:r>
        <w:rPr>
          <w:rFonts w:cs="Calibri" w:hint="eastAsia"/>
          <w:sz w:val="18"/>
          <w:szCs w:val="18"/>
        </w:rPr>
        <w:t>，将数字化和虚拟化技术应用于纺织服装设计和生产领域，形成人工智能产业技术研发与商业应用闭环。</w:t>
      </w:r>
    </w:p>
    <w:p w:rsidR="000F627F" w:rsidRDefault="000F627F">
      <w:pPr>
        <w:pStyle w:val="a3"/>
        <w:spacing w:before="0" w:beforeAutospacing="0" w:after="0" w:afterAutospacing="0"/>
        <w:ind w:firstLine="360"/>
        <w:divId w:val="348332774"/>
        <w:rPr>
          <w:rFonts w:ascii="Calibri" w:hAnsi="Calibri" w:cs="Calibri"/>
          <w:sz w:val="21"/>
          <w:szCs w:val="21"/>
        </w:rPr>
      </w:pPr>
      <w:r>
        <w:rPr>
          <w:rFonts w:cs="Calibri" w:hint="eastAsia"/>
          <w:sz w:val="18"/>
          <w:szCs w:val="18"/>
        </w:rPr>
        <w:t>（三）可能面临的风险</w:t>
      </w:r>
    </w:p>
    <w:p w:rsidR="000F627F" w:rsidRDefault="000F627F">
      <w:pPr>
        <w:pStyle w:val="a3"/>
        <w:spacing w:before="0" w:beforeAutospacing="0" w:after="0" w:afterAutospacing="0"/>
        <w:ind w:firstLine="360"/>
        <w:divId w:val="348332774"/>
        <w:rPr>
          <w:rFonts w:ascii="Calibri" w:hAnsi="Calibri" w:cs="Calibri"/>
          <w:sz w:val="21"/>
          <w:szCs w:val="21"/>
        </w:rPr>
      </w:pPr>
      <w:r>
        <w:rPr>
          <w:rFonts w:cs="Calibri" w:hint="eastAsia"/>
          <w:sz w:val="18"/>
          <w:szCs w:val="18"/>
        </w:rPr>
        <w:t>1、原材料价格波动风险：棉花成本占总成本60%以上，棉花等原料的金融属性加强，价格波动幅度增大。</w:t>
      </w:r>
    </w:p>
    <w:p w:rsidR="000F627F" w:rsidRDefault="000F627F">
      <w:pPr>
        <w:pStyle w:val="a3"/>
        <w:spacing w:before="0" w:beforeAutospacing="0" w:after="0" w:afterAutospacing="0"/>
        <w:ind w:firstLine="360"/>
        <w:divId w:val="348332774"/>
        <w:rPr>
          <w:rFonts w:ascii="Calibri" w:hAnsi="Calibri" w:cs="Calibri"/>
          <w:sz w:val="21"/>
          <w:szCs w:val="21"/>
        </w:rPr>
      </w:pPr>
      <w:r>
        <w:rPr>
          <w:rFonts w:cs="Calibri" w:hint="eastAsia"/>
          <w:sz w:val="18"/>
          <w:szCs w:val="18"/>
        </w:rPr>
        <w:lastRenderedPageBreak/>
        <w:t>2、人民币汇率风险：本公司棉花部分为从国际市场采购、纺织产品部分以直接或间接方式出口海外，利用境外融资平台配置有美元外债，公司也有境外项目投资，人民币汇率的波动将对公司生产成本、营业收入以及汇兑损益产生一定影响。</w:t>
      </w:r>
    </w:p>
    <w:p w:rsidR="000F627F" w:rsidRDefault="000F627F">
      <w:pPr>
        <w:pStyle w:val="a3"/>
        <w:spacing w:before="0" w:beforeAutospacing="0" w:after="0" w:afterAutospacing="0"/>
        <w:ind w:firstLine="360"/>
        <w:divId w:val="348332774"/>
        <w:rPr>
          <w:rFonts w:ascii="Calibri" w:hAnsi="Calibri" w:cs="Calibri"/>
          <w:sz w:val="21"/>
          <w:szCs w:val="21"/>
        </w:rPr>
      </w:pPr>
      <w:r>
        <w:rPr>
          <w:rFonts w:cs="Calibri" w:hint="eastAsia"/>
          <w:sz w:val="18"/>
          <w:szCs w:val="18"/>
        </w:rPr>
        <w:t>3、政治博弈带来订单波动的风险：地缘政治冲突、中美博弈、阿克苏华孚被美国商务部列入实体清单事件将导致外部经营环境不确定性增加，带来订单波动加大的风险。公司通过积极开发国内及非美市场，以规避订单波动带来的风险。</w:t>
      </w:r>
    </w:p>
    <w:p w:rsidR="000F627F" w:rsidRDefault="000F627F">
      <w:pPr>
        <w:pStyle w:val="a3"/>
        <w:spacing w:before="0" w:beforeAutospacing="0" w:after="0" w:afterAutospacing="0"/>
        <w:ind w:firstLine="360"/>
        <w:divId w:val="348332774"/>
        <w:rPr>
          <w:rFonts w:ascii="Calibri" w:hAnsi="Calibri" w:cs="Calibri"/>
          <w:sz w:val="21"/>
          <w:szCs w:val="21"/>
        </w:rPr>
      </w:pPr>
      <w:r>
        <w:rPr>
          <w:rFonts w:cs="Calibri" w:hint="eastAsia"/>
          <w:sz w:val="18"/>
          <w:szCs w:val="18"/>
        </w:rPr>
        <w:t>（四）公司2024年经营计划和工作措施</w:t>
      </w:r>
    </w:p>
    <w:p w:rsidR="000F627F" w:rsidRDefault="000F627F">
      <w:pPr>
        <w:pStyle w:val="a3"/>
        <w:spacing w:before="0" w:beforeAutospacing="0" w:after="0" w:afterAutospacing="0"/>
        <w:ind w:firstLine="360"/>
        <w:divId w:val="348332774"/>
        <w:rPr>
          <w:rFonts w:ascii="Calibri" w:hAnsi="Calibri" w:cs="Calibri"/>
          <w:sz w:val="21"/>
          <w:szCs w:val="21"/>
        </w:rPr>
      </w:pPr>
      <w:r>
        <w:rPr>
          <w:rFonts w:cs="Calibri" w:hint="eastAsia"/>
          <w:sz w:val="18"/>
          <w:szCs w:val="18"/>
        </w:rPr>
        <w:t>1、保持战略定力。继续实行“坚持主业，共享产业，发展新业”的战略，以纱线贯穿纺织服装产业，以产业互联网与柔性供应</w:t>
      </w:r>
      <w:proofErr w:type="gramStart"/>
      <w:r>
        <w:rPr>
          <w:rFonts w:cs="Calibri" w:hint="eastAsia"/>
          <w:sz w:val="18"/>
          <w:szCs w:val="18"/>
        </w:rPr>
        <w:t>链实现</w:t>
      </w:r>
      <w:proofErr w:type="gramEnd"/>
      <w:r>
        <w:rPr>
          <w:rFonts w:cs="Calibri" w:hint="eastAsia"/>
          <w:sz w:val="18"/>
          <w:szCs w:val="18"/>
        </w:rPr>
        <w:t>产业转型，实现“原材料-纺纱-面料-成衣”全产业链覆盖，实现从时尚制造商向时尚运营商的转型。</w:t>
      </w:r>
    </w:p>
    <w:p w:rsidR="000F627F" w:rsidRDefault="000F627F">
      <w:pPr>
        <w:pStyle w:val="a3"/>
        <w:spacing w:before="0" w:beforeAutospacing="0" w:after="0" w:afterAutospacing="0"/>
        <w:ind w:firstLine="360"/>
        <w:divId w:val="348332774"/>
        <w:rPr>
          <w:rFonts w:ascii="Calibri" w:hAnsi="Calibri" w:cs="Calibri"/>
          <w:sz w:val="21"/>
          <w:szCs w:val="21"/>
        </w:rPr>
      </w:pPr>
      <w:r>
        <w:rPr>
          <w:rFonts w:cs="Calibri" w:hint="eastAsia"/>
          <w:sz w:val="18"/>
          <w:szCs w:val="18"/>
        </w:rPr>
        <w:t>2、实施双循环战略，实现海外、国内市场均衡发展。抓住中国市场规模大、消费升级的历史机遇，发挥公司创新快反、优良服务、资源整合的优势，系统对</w:t>
      </w:r>
      <w:proofErr w:type="gramStart"/>
      <w:r>
        <w:rPr>
          <w:rFonts w:cs="Calibri" w:hint="eastAsia"/>
          <w:sz w:val="18"/>
          <w:szCs w:val="18"/>
        </w:rPr>
        <w:t>接头部国潮</w:t>
      </w:r>
      <w:proofErr w:type="gramEnd"/>
      <w:r>
        <w:rPr>
          <w:rFonts w:cs="Calibri" w:hint="eastAsia"/>
          <w:sz w:val="18"/>
          <w:szCs w:val="18"/>
        </w:rPr>
        <w:t>品牌、电商新锐品牌、专项市场供应链，深化区域市场开发、深耕细分市场，挖掘价值客户，持续巩固和扩大国内市场占有率。</w:t>
      </w:r>
    </w:p>
    <w:p w:rsidR="000F627F" w:rsidRDefault="000F627F">
      <w:pPr>
        <w:pStyle w:val="a3"/>
        <w:spacing w:before="0" w:beforeAutospacing="0" w:after="0" w:afterAutospacing="0"/>
        <w:ind w:firstLine="360"/>
        <w:divId w:val="348332774"/>
        <w:rPr>
          <w:rFonts w:ascii="Calibri" w:hAnsi="Calibri" w:cs="Calibri"/>
          <w:sz w:val="21"/>
          <w:szCs w:val="21"/>
        </w:rPr>
      </w:pPr>
      <w:r>
        <w:rPr>
          <w:rFonts w:cs="Calibri" w:hint="eastAsia"/>
          <w:sz w:val="18"/>
          <w:szCs w:val="18"/>
        </w:rPr>
        <w:t>3、</w:t>
      </w:r>
      <w:proofErr w:type="gramStart"/>
      <w:r>
        <w:rPr>
          <w:rFonts w:cs="Calibri" w:hint="eastAsia"/>
          <w:sz w:val="18"/>
          <w:szCs w:val="18"/>
        </w:rPr>
        <w:t>数智化</w:t>
      </w:r>
      <w:proofErr w:type="gramEnd"/>
      <w:r>
        <w:rPr>
          <w:rFonts w:cs="Calibri" w:hint="eastAsia"/>
          <w:sz w:val="18"/>
          <w:szCs w:val="18"/>
        </w:rPr>
        <w:t>升级。积极推行生产数据化管理，充分挖掘数据价值，扩大应用广度深度，通过流程再造、组织变革、标准改进、操作优化，提质、提效、降耗。同时，积极推进贯通产业的</w:t>
      </w:r>
      <w:proofErr w:type="gramStart"/>
      <w:r>
        <w:rPr>
          <w:rFonts w:cs="Calibri" w:hint="eastAsia"/>
          <w:sz w:val="18"/>
          <w:szCs w:val="18"/>
        </w:rPr>
        <w:t>网链业务数智</w:t>
      </w:r>
      <w:proofErr w:type="gramEnd"/>
      <w:r>
        <w:rPr>
          <w:rFonts w:cs="Calibri" w:hint="eastAsia"/>
          <w:sz w:val="18"/>
          <w:szCs w:val="18"/>
        </w:rPr>
        <w:t>化平台建设，为共享产业打下基础。</w:t>
      </w:r>
    </w:p>
    <w:p w:rsidR="000F627F" w:rsidRDefault="000F627F">
      <w:pPr>
        <w:pStyle w:val="a3"/>
        <w:spacing w:before="0" w:beforeAutospacing="0" w:after="0" w:afterAutospacing="0"/>
        <w:ind w:firstLine="360"/>
        <w:divId w:val="348332774"/>
        <w:rPr>
          <w:rFonts w:ascii="Calibri" w:hAnsi="Calibri" w:cs="Calibri"/>
          <w:sz w:val="21"/>
          <w:szCs w:val="21"/>
        </w:rPr>
      </w:pPr>
      <w:r>
        <w:rPr>
          <w:rFonts w:cs="Calibri" w:hint="eastAsia"/>
          <w:sz w:val="18"/>
          <w:szCs w:val="18"/>
        </w:rPr>
        <w:t>4、实施绿色低碳战略。从原料替代、产品开发、循环利用、能效提升等维</w:t>
      </w:r>
      <w:proofErr w:type="gramStart"/>
      <w:r>
        <w:rPr>
          <w:rFonts w:cs="Calibri" w:hint="eastAsia"/>
          <w:sz w:val="18"/>
          <w:szCs w:val="18"/>
        </w:rPr>
        <w:t>度全面</w:t>
      </w:r>
      <w:proofErr w:type="gramEnd"/>
      <w:r>
        <w:rPr>
          <w:rFonts w:cs="Calibri" w:hint="eastAsia"/>
          <w:sz w:val="18"/>
          <w:szCs w:val="18"/>
        </w:rPr>
        <w:t>推进绿色低碳战略实施，按既定计划推进清洁用能。</w:t>
      </w:r>
    </w:p>
    <w:p w:rsidR="000F627F" w:rsidRDefault="000F627F">
      <w:pPr>
        <w:pStyle w:val="a3"/>
        <w:spacing w:before="0" w:beforeAutospacing="0" w:after="0" w:afterAutospacing="0"/>
        <w:ind w:firstLine="360"/>
        <w:divId w:val="348332774"/>
        <w:rPr>
          <w:rFonts w:ascii="Calibri" w:hAnsi="Calibri" w:cs="Calibri"/>
          <w:sz w:val="21"/>
          <w:szCs w:val="21"/>
        </w:rPr>
      </w:pPr>
      <w:r>
        <w:rPr>
          <w:rFonts w:cs="Calibri" w:hint="eastAsia"/>
          <w:sz w:val="18"/>
          <w:szCs w:val="18"/>
        </w:rPr>
        <w:t>5、</w:t>
      </w:r>
      <w:proofErr w:type="gramStart"/>
      <w:r>
        <w:rPr>
          <w:rFonts w:cs="Calibri" w:hint="eastAsia"/>
          <w:sz w:val="18"/>
          <w:szCs w:val="18"/>
        </w:rPr>
        <w:t>布局算力新</w:t>
      </w:r>
      <w:proofErr w:type="gramEnd"/>
      <w:r>
        <w:rPr>
          <w:rFonts w:cs="Calibri" w:hint="eastAsia"/>
          <w:sz w:val="18"/>
          <w:szCs w:val="18"/>
        </w:rPr>
        <w:t>赛道。投资建设上虞AIGC</w:t>
      </w:r>
      <w:proofErr w:type="gramStart"/>
      <w:r>
        <w:rPr>
          <w:rFonts w:cs="Calibri" w:hint="eastAsia"/>
          <w:sz w:val="18"/>
          <w:szCs w:val="18"/>
        </w:rPr>
        <w:t>智算中心</w:t>
      </w:r>
      <w:proofErr w:type="gramEnd"/>
      <w:r>
        <w:rPr>
          <w:rFonts w:cs="Calibri" w:hint="eastAsia"/>
          <w:sz w:val="18"/>
          <w:szCs w:val="18"/>
        </w:rPr>
        <w:t>项目及新疆</w:t>
      </w:r>
      <w:r w:rsidR="000A0ACB" w:rsidRPr="000A0ACB">
        <w:rPr>
          <w:rFonts w:cs="Calibri" w:hint="eastAsia"/>
          <w:sz w:val="18"/>
          <w:szCs w:val="18"/>
        </w:rPr>
        <w:t>阿克苏城市</w:t>
      </w:r>
      <w:proofErr w:type="gramStart"/>
      <w:r w:rsidR="000A0ACB" w:rsidRPr="000A0ACB">
        <w:rPr>
          <w:rFonts w:cs="Calibri" w:hint="eastAsia"/>
          <w:sz w:val="18"/>
          <w:szCs w:val="18"/>
        </w:rPr>
        <w:t>公共算力平台</w:t>
      </w:r>
      <w:proofErr w:type="gramEnd"/>
      <w:r w:rsidR="000A0ACB" w:rsidRPr="000A0ACB">
        <w:rPr>
          <w:rFonts w:cs="Calibri" w:hint="eastAsia"/>
          <w:sz w:val="18"/>
          <w:szCs w:val="18"/>
        </w:rPr>
        <w:t>项目</w:t>
      </w:r>
      <w:r>
        <w:rPr>
          <w:rFonts w:cs="Calibri" w:hint="eastAsia"/>
          <w:sz w:val="18"/>
          <w:szCs w:val="18"/>
        </w:rPr>
        <w:t>，建成后将通过加强与高校、科研院所、行业各领域优势企业合作，</w:t>
      </w:r>
      <w:proofErr w:type="gramStart"/>
      <w:r>
        <w:rPr>
          <w:rFonts w:cs="Calibri" w:hint="eastAsia"/>
          <w:sz w:val="18"/>
          <w:szCs w:val="18"/>
        </w:rPr>
        <w:t>提供算力租赁</w:t>
      </w:r>
      <w:proofErr w:type="gramEnd"/>
      <w:r>
        <w:rPr>
          <w:rFonts w:cs="Calibri" w:hint="eastAsia"/>
          <w:sz w:val="18"/>
          <w:szCs w:val="18"/>
        </w:rPr>
        <w:t>服务；同时，公司将吸纳培育数据处理、数据分析、运营服务等领域的人才，将数字化和虚拟化技术应用于纺织服装设计和生产领域。</w:t>
      </w:r>
    </w:p>
    <w:p w:rsidR="000D58D8" w:rsidRDefault="000F627F">
      <w:pPr>
        <w:pStyle w:val="2"/>
        <w:spacing w:before="300" w:after="300" w:line="320" w:lineRule="exact"/>
        <w:rPr>
          <w:rFonts w:ascii="宋体" w:eastAsia="宋体" w:hAnsi="宋体" w:cs="宋体"/>
          <w:b/>
          <w:bCs/>
          <w:sz w:val="24"/>
          <w:szCs w:val="24"/>
        </w:rPr>
      </w:pPr>
      <w:bookmarkStart w:id="65" w:name="_Toc988953"/>
      <w:r>
        <w:rPr>
          <w:rFonts w:ascii="宋体" w:eastAsia="宋体" w:hAnsi="宋体" w:cs="宋体"/>
          <w:b/>
          <w:bCs/>
          <w:sz w:val="24"/>
          <w:szCs w:val="24"/>
        </w:rPr>
        <w:t>十二、报告期内接待调研、沟通、采访等活动</w:t>
      </w:r>
      <w:bookmarkEnd w:id="65"/>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接待时间</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接待地点</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接待方式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接待对象类型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接待对象</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谈论的主要内容及提供的资料</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调研的基本情况索引</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2023年05月12日</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全景网（https://ir.p5w.net）</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网络平台线上交流</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参与公司2022年度网上业绩说明会的投资者</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公司2022年度业绩、袜业经营情况、公司回购进展等</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详见公司于2023年5月12日刊登在巨潮资讯网（http://www.cninfo.com.cn）的《2023年5月12日投资者关系活动记录表》。</w:t>
            </w:r>
          </w:p>
        </w:tc>
      </w:tr>
    </w:tbl>
    <w:p w:rsidR="000D58D8" w:rsidRDefault="000F627F">
      <w:pPr>
        <w:pStyle w:val="2"/>
        <w:spacing w:before="300" w:after="300" w:line="320" w:lineRule="exact"/>
        <w:rPr>
          <w:rFonts w:ascii="宋体" w:eastAsia="宋体" w:hAnsi="宋体" w:cs="宋体"/>
          <w:b/>
          <w:bCs/>
          <w:sz w:val="24"/>
          <w:szCs w:val="24"/>
        </w:rPr>
      </w:pPr>
      <w:bookmarkStart w:id="66" w:name="_Toc988954"/>
      <w:r>
        <w:rPr>
          <w:rFonts w:ascii="宋体" w:eastAsia="宋体" w:hAnsi="宋体" w:cs="宋体"/>
          <w:b/>
          <w:bCs/>
          <w:sz w:val="24"/>
          <w:szCs w:val="24"/>
        </w:rPr>
        <w:t>十三、“质量回报双提升”行动方案贯彻落实情况</w:t>
      </w:r>
      <w:bookmarkEnd w:id="6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公司是否披露了“质量回报双提升”行动方案。</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r>
        <w:br w:type="page"/>
      </w:r>
    </w:p>
    <w:p w:rsidR="000D58D8" w:rsidRDefault="000F627F">
      <w:pPr>
        <w:pStyle w:val="headingh1"/>
        <w:spacing w:before="340" w:after="330" w:line="773" w:lineRule="exact"/>
        <w:jc w:val="center"/>
        <w:rPr>
          <w:rFonts w:ascii="宋体" w:eastAsia="宋体" w:hAnsi="宋体" w:cs="宋体"/>
          <w:b/>
          <w:bCs/>
          <w:sz w:val="32"/>
          <w:szCs w:val="32"/>
        </w:rPr>
      </w:pPr>
      <w:bookmarkStart w:id="67" w:name="_Toc988955"/>
      <w:r>
        <w:rPr>
          <w:rFonts w:ascii="宋体" w:eastAsia="宋体" w:hAnsi="宋体" w:cs="宋体"/>
          <w:b/>
          <w:bCs/>
          <w:sz w:val="32"/>
          <w:szCs w:val="32"/>
        </w:rPr>
        <w:lastRenderedPageBreak/>
        <w:t>第四节 公司治理</w:t>
      </w:r>
      <w:bookmarkEnd w:id="67"/>
    </w:p>
    <w:p w:rsidR="000D58D8" w:rsidRDefault="000F627F">
      <w:pPr>
        <w:pStyle w:val="2"/>
        <w:spacing w:before="300" w:after="300" w:line="320" w:lineRule="exact"/>
        <w:rPr>
          <w:rFonts w:ascii="宋体" w:eastAsia="宋体" w:hAnsi="宋体" w:cs="宋体"/>
          <w:b/>
          <w:bCs/>
          <w:sz w:val="24"/>
          <w:szCs w:val="24"/>
        </w:rPr>
      </w:pPr>
      <w:bookmarkStart w:id="68" w:name="_Toc988956"/>
      <w:r>
        <w:rPr>
          <w:rFonts w:ascii="宋体" w:eastAsia="宋体" w:hAnsi="宋体" w:cs="宋体"/>
          <w:b/>
          <w:bCs/>
          <w:sz w:val="24"/>
          <w:szCs w:val="24"/>
        </w:rPr>
        <w:t>一、公司治理的基本状况</w:t>
      </w:r>
      <w:bookmarkEnd w:id="68"/>
    </w:p>
    <w:p w:rsidR="000F627F" w:rsidRDefault="000F627F">
      <w:pPr>
        <w:pStyle w:val="a3"/>
        <w:spacing w:before="0" w:beforeAutospacing="0" w:after="0" w:afterAutospacing="0"/>
        <w:ind w:firstLine="360"/>
        <w:divId w:val="1566406666"/>
      </w:pPr>
      <w:r>
        <w:rPr>
          <w:rFonts w:hint="eastAsia"/>
          <w:sz w:val="18"/>
          <w:szCs w:val="18"/>
        </w:rPr>
        <w:t>公司严格按照《公司法》、《证券法》、《上市公司治理准则》、《深圳证券交易所股票上市规则》及中国证监会、深圳证券交易所的有关规定和要求，规范公司运作，不断完善公司的法人治理结构，建立健全内部管理和控制制度，持续深入开展公司治理活动，严格进行信息披露工作，保护广大投资者利益，进一步提高了公司治理水平。截至报告期末，公司法人治理实际情况与中国证监会《上市公司治理准则》等有关法规不存在差异。</w:t>
      </w:r>
      <w:r>
        <w:rPr>
          <w:rFonts w:ascii="Times New Roman" w:hAnsi="Times New Roman" w:cs="Times New Roman"/>
          <w:sz w:val="18"/>
          <w:szCs w:val="18"/>
        </w:rPr>
        <w:t> </w:t>
      </w:r>
    </w:p>
    <w:p w:rsidR="000F627F" w:rsidRDefault="000F627F">
      <w:pPr>
        <w:pStyle w:val="a3"/>
        <w:spacing w:before="0" w:beforeAutospacing="0" w:after="0" w:afterAutospacing="0"/>
        <w:ind w:firstLine="360"/>
        <w:divId w:val="1566406666"/>
      </w:pPr>
      <w:r>
        <w:rPr>
          <w:rFonts w:ascii="Times New Roman" w:hAnsi="Times New Roman" w:cs="Times New Roman"/>
          <w:sz w:val="18"/>
          <w:szCs w:val="18"/>
        </w:rPr>
        <w:t>1</w:t>
      </w:r>
      <w:r>
        <w:rPr>
          <w:rFonts w:hint="eastAsia"/>
          <w:sz w:val="18"/>
          <w:szCs w:val="18"/>
        </w:rPr>
        <w:t>、关于股东与股东大会：公司根据《上市公司股东大会规则》、公司《股东大会议事规则》等规定，规范地召集、召开股东大会，并聘请律师对股东大会的合法性出具法律意见书，平等对待所有股东，特别是保证中小股东享有平等地位，充分行使自己的权利。</w:t>
      </w:r>
      <w:r>
        <w:rPr>
          <w:rFonts w:ascii="Times New Roman" w:hAnsi="Times New Roman" w:cs="Times New Roman"/>
          <w:sz w:val="18"/>
          <w:szCs w:val="18"/>
        </w:rPr>
        <w:t> </w:t>
      </w:r>
    </w:p>
    <w:p w:rsidR="000F627F" w:rsidRDefault="000F627F">
      <w:pPr>
        <w:pStyle w:val="a3"/>
        <w:spacing w:before="0" w:beforeAutospacing="0" w:after="0" w:afterAutospacing="0"/>
        <w:ind w:firstLine="360"/>
        <w:divId w:val="1566406666"/>
      </w:pPr>
      <w:r>
        <w:rPr>
          <w:rFonts w:ascii="Times New Roman" w:hAnsi="Times New Roman" w:cs="Times New Roman"/>
          <w:sz w:val="18"/>
          <w:szCs w:val="18"/>
        </w:rPr>
        <w:t>2</w:t>
      </w:r>
      <w:r>
        <w:rPr>
          <w:rFonts w:hint="eastAsia"/>
          <w:sz w:val="18"/>
          <w:szCs w:val="18"/>
        </w:rPr>
        <w:t>、关于控股股东与上市公司的关系：控股股东对公司依法通过股东大会行使出资人的权利，没有超越股东大会直接或间接干预公司决策和经营活动。公司与控股股东实行人员、资产、财务分开，机构、业务独立，各自独立核算、独立承担责任和风险，公司董事会、监事会和内部机构独立运作。</w:t>
      </w:r>
      <w:r>
        <w:rPr>
          <w:rFonts w:ascii="Times New Roman" w:hAnsi="Times New Roman" w:cs="Times New Roman"/>
          <w:sz w:val="18"/>
          <w:szCs w:val="18"/>
        </w:rPr>
        <w:t> </w:t>
      </w:r>
    </w:p>
    <w:p w:rsidR="000F627F" w:rsidRDefault="000F627F">
      <w:pPr>
        <w:pStyle w:val="a3"/>
        <w:spacing w:before="0" w:beforeAutospacing="0" w:after="0" w:afterAutospacing="0"/>
        <w:ind w:firstLine="360"/>
        <w:divId w:val="1566406666"/>
      </w:pPr>
      <w:r>
        <w:rPr>
          <w:rFonts w:ascii="Times New Roman" w:hAnsi="Times New Roman" w:cs="Times New Roman"/>
          <w:sz w:val="18"/>
          <w:szCs w:val="18"/>
        </w:rPr>
        <w:t> 3</w:t>
      </w:r>
      <w:r>
        <w:rPr>
          <w:rFonts w:hint="eastAsia"/>
          <w:sz w:val="18"/>
          <w:szCs w:val="18"/>
        </w:rPr>
        <w:t>、关于董事与董事会：公司严格按照《公司章程》所规定的董事选聘程序选聘董事，董事会的人数和人员构成符合法律、法规和《公司章程》的要求。公司董事能够以认真负责的态度出席董事会和股东大会，积极参加有关培训，学习有关法律法规，以诚信、勤勉、尽责的态度履行职责。董事会下设提名、战略、薪酬与考核、审计等专门委员会，各尽其责，提高了董事会办事效率。</w:t>
      </w:r>
      <w:r>
        <w:rPr>
          <w:rFonts w:ascii="Times New Roman" w:hAnsi="Times New Roman" w:cs="Times New Roman"/>
          <w:sz w:val="18"/>
          <w:szCs w:val="18"/>
        </w:rPr>
        <w:t> </w:t>
      </w:r>
    </w:p>
    <w:p w:rsidR="000F627F" w:rsidRDefault="000F627F">
      <w:pPr>
        <w:pStyle w:val="a3"/>
        <w:spacing w:before="0" w:beforeAutospacing="0" w:after="0" w:afterAutospacing="0"/>
        <w:ind w:firstLine="360"/>
        <w:divId w:val="1566406666"/>
      </w:pPr>
      <w:r>
        <w:rPr>
          <w:rFonts w:ascii="Times New Roman" w:hAnsi="Times New Roman" w:cs="Times New Roman"/>
          <w:sz w:val="18"/>
          <w:szCs w:val="18"/>
        </w:rPr>
        <w:t> 4</w:t>
      </w:r>
      <w:r>
        <w:rPr>
          <w:rFonts w:hint="eastAsia"/>
          <w:sz w:val="18"/>
          <w:szCs w:val="18"/>
        </w:rPr>
        <w:t>、关于监事与监事会：公司严格按照《公司章程》所规定的监事选聘程序选聘监事。监事会的人数和人员构成符合法律、法规和《公司章程》的要求。公司各位监事积极参加有关培训，学习有关法律法规知识，本着对股东负责的精神认真履行职责，对公司财务以及公司董事、总裁和其它高级管理人员履行职责的合法合</w:t>
      </w:r>
      <w:proofErr w:type="gramStart"/>
      <w:r>
        <w:rPr>
          <w:rFonts w:hint="eastAsia"/>
          <w:sz w:val="18"/>
          <w:szCs w:val="18"/>
        </w:rPr>
        <w:t>规</w:t>
      </w:r>
      <w:proofErr w:type="gramEnd"/>
      <w:r>
        <w:rPr>
          <w:rFonts w:hint="eastAsia"/>
          <w:sz w:val="18"/>
          <w:szCs w:val="18"/>
        </w:rPr>
        <w:t>性进行监督，并发表独立意见书，维护公司及股东的合法权益。</w:t>
      </w:r>
      <w:r>
        <w:rPr>
          <w:rFonts w:ascii="Times New Roman" w:hAnsi="Times New Roman" w:cs="Times New Roman"/>
          <w:sz w:val="18"/>
          <w:szCs w:val="18"/>
        </w:rPr>
        <w:t> </w:t>
      </w:r>
    </w:p>
    <w:p w:rsidR="000F627F" w:rsidRDefault="000F627F">
      <w:pPr>
        <w:pStyle w:val="a3"/>
        <w:spacing w:before="0" w:beforeAutospacing="0" w:after="0" w:afterAutospacing="0"/>
        <w:ind w:firstLine="360"/>
        <w:divId w:val="1566406666"/>
      </w:pPr>
      <w:r>
        <w:rPr>
          <w:rFonts w:ascii="Times New Roman" w:hAnsi="Times New Roman" w:cs="Times New Roman"/>
          <w:sz w:val="18"/>
          <w:szCs w:val="18"/>
        </w:rPr>
        <w:t> 5</w:t>
      </w:r>
      <w:r>
        <w:rPr>
          <w:rFonts w:hint="eastAsia"/>
          <w:sz w:val="18"/>
          <w:szCs w:val="18"/>
        </w:rPr>
        <w:t>、关于绩效评价与激励约束机制：公司正逐步建立和完善公正、透明的董事、监事和经理人员的绩效评价标准和激励约束机制，经理人员的聘任公开、透明，符合法律法规的规定。</w:t>
      </w:r>
      <w:r>
        <w:rPr>
          <w:rFonts w:ascii="Times New Roman" w:hAnsi="Times New Roman" w:cs="Times New Roman"/>
          <w:sz w:val="18"/>
          <w:szCs w:val="18"/>
        </w:rPr>
        <w:t> </w:t>
      </w:r>
    </w:p>
    <w:p w:rsidR="000F627F" w:rsidRDefault="000F627F">
      <w:pPr>
        <w:pStyle w:val="a3"/>
        <w:spacing w:before="0" w:beforeAutospacing="0" w:after="0" w:afterAutospacing="0"/>
        <w:ind w:firstLine="360"/>
        <w:divId w:val="1566406666"/>
      </w:pPr>
      <w:r>
        <w:rPr>
          <w:rFonts w:ascii="Times New Roman" w:hAnsi="Times New Roman" w:cs="Times New Roman"/>
          <w:sz w:val="18"/>
          <w:szCs w:val="18"/>
        </w:rPr>
        <w:t> 6</w:t>
      </w:r>
      <w:r>
        <w:rPr>
          <w:rFonts w:hint="eastAsia"/>
          <w:sz w:val="18"/>
          <w:szCs w:val="18"/>
        </w:rPr>
        <w:t>、关于相关利益者：公司制定并发布了《华孚时尚股份有限公司</w:t>
      </w:r>
      <w:r>
        <w:rPr>
          <w:rFonts w:ascii="Times New Roman" w:hAnsi="Times New Roman" w:cs="Times New Roman"/>
          <w:sz w:val="18"/>
          <w:szCs w:val="18"/>
        </w:rPr>
        <w:t>2023</w:t>
      </w:r>
      <w:r>
        <w:rPr>
          <w:rFonts w:hint="eastAsia"/>
          <w:sz w:val="18"/>
          <w:szCs w:val="18"/>
        </w:rPr>
        <w:t>年度社会责任报告》，积极履行社会责任，充分尊重和维护供应商、银行等债权人及员工、客户、消费者、社区等其它利益相关者的合法权益；能够关注环境保护、公益事业等问题，力求公司持续、稳定、健康地发展。</w:t>
      </w:r>
      <w:r>
        <w:rPr>
          <w:rFonts w:ascii="Times New Roman" w:hAnsi="Times New Roman" w:cs="Times New Roman"/>
          <w:sz w:val="18"/>
          <w:szCs w:val="18"/>
        </w:rPr>
        <w:t> </w:t>
      </w:r>
    </w:p>
    <w:p w:rsidR="000F627F" w:rsidRDefault="000F627F">
      <w:pPr>
        <w:pStyle w:val="a3"/>
        <w:spacing w:before="0" w:beforeAutospacing="0" w:after="0" w:afterAutospacing="0"/>
        <w:ind w:firstLine="360"/>
        <w:divId w:val="1566406666"/>
      </w:pPr>
      <w:r>
        <w:rPr>
          <w:rFonts w:ascii="Times New Roman" w:hAnsi="Times New Roman" w:cs="Times New Roman"/>
          <w:sz w:val="18"/>
          <w:szCs w:val="18"/>
        </w:rPr>
        <w:t> 7</w:t>
      </w:r>
      <w:r>
        <w:rPr>
          <w:rFonts w:hint="eastAsia"/>
          <w:sz w:val="18"/>
          <w:szCs w:val="18"/>
        </w:rPr>
        <w:t>、关于信息披露与透明度：公司严格按照《上市公司信息披露管理办法》和《深圳证券交易所股票上市规则》的要求，真实、准确、及时和完整地披露相关信息，确保公司所有股东能够以平等的机会获得信息。</w:t>
      </w:r>
    </w:p>
    <w:p w:rsidR="000F627F" w:rsidRDefault="000F627F">
      <w:pPr>
        <w:pStyle w:val="a3"/>
        <w:spacing w:before="0" w:beforeAutospacing="0" w:after="0" w:afterAutospacing="0"/>
        <w:ind w:firstLine="360"/>
        <w:divId w:val="1566406666"/>
      </w:pPr>
      <w:r>
        <w:rPr>
          <w:rFonts w:ascii="Times New Roman" w:hAnsi="Times New Roman" w:cs="Times New Roman"/>
          <w:sz w:val="18"/>
          <w:szCs w:val="18"/>
        </w:rPr>
        <w:t> 8</w:t>
      </w:r>
      <w:r>
        <w:rPr>
          <w:rFonts w:hint="eastAsia"/>
          <w:sz w:val="18"/>
          <w:szCs w:val="18"/>
        </w:rPr>
        <w:t>、关于内幕信息知情人的管理：报告期内，公司严格按照《内幕信息知情人登记制度》的要求，对公司非公开发行、利润分配预案、定期报告等重大事项，做好内幕信息管理以及内幕信息知情人登记工作，如实、完整的记录内幕信息知情人在公开披露前的报告、传递、编制、审核、披露等各个环节所有内幕信息知情人名单，杜绝相关人员利用内幕信息从事内幕交易，维护广大投资者尤其是中小投资者的利益。</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公司治理的实际状况与法律、行政法规和中国证监会发布的关于上市公司治理的规定是否存在重大差异</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公司治理的实际状况与法律、行政法规和中国证监会发布的关于上市公司治理的规定不存在重大差异。</w:t>
      </w:r>
    </w:p>
    <w:p w:rsidR="000D58D8" w:rsidRDefault="000F627F">
      <w:pPr>
        <w:pStyle w:val="2"/>
        <w:spacing w:before="300" w:after="300" w:line="320" w:lineRule="exact"/>
        <w:rPr>
          <w:rFonts w:ascii="宋体" w:eastAsia="宋体" w:hAnsi="宋体" w:cs="宋体"/>
          <w:b/>
          <w:bCs/>
          <w:sz w:val="24"/>
          <w:szCs w:val="24"/>
        </w:rPr>
      </w:pPr>
      <w:bookmarkStart w:id="69" w:name="_Toc988957"/>
      <w:r>
        <w:rPr>
          <w:rFonts w:ascii="宋体" w:eastAsia="宋体" w:hAnsi="宋体" w:cs="宋体"/>
          <w:b/>
          <w:bCs/>
          <w:sz w:val="24"/>
          <w:szCs w:val="24"/>
        </w:rPr>
        <w:t>二、公司相对于控股股东、实际控制人在保证公司资产、人员、财务、机构、业务等方面的独立情况</w:t>
      </w:r>
      <w:bookmarkEnd w:id="69"/>
    </w:p>
    <w:p w:rsidR="000F627F" w:rsidRDefault="000F627F" w:rsidP="000A0ACB">
      <w:pPr>
        <w:pStyle w:val="a3"/>
        <w:spacing w:before="0" w:beforeAutospacing="0" w:after="0" w:afterAutospacing="0"/>
        <w:ind w:firstLineChars="200" w:firstLine="360"/>
        <w:divId w:val="813520698"/>
      </w:pPr>
      <w:r>
        <w:rPr>
          <w:rFonts w:hint="eastAsia"/>
          <w:sz w:val="18"/>
          <w:szCs w:val="18"/>
        </w:rPr>
        <w:t>报告期内，公司严格按照《公司法》、《证券法》、《公司章程》等要求，建立健全各项内部控制管理制度，规范与公司实际控制人之间的关系，独立运作，自主经营，独立承担责任和风险。具体情况如下：</w:t>
      </w:r>
    </w:p>
    <w:p w:rsidR="000F627F" w:rsidRDefault="000F627F" w:rsidP="000A0ACB">
      <w:pPr>
        <w:pStyle w:val="a3"/>
        <w:spacing w:before="40" w:beforeAutospacing="0" w:after="40" w:afterAutospacing="0"/>
        <w:ind w:firstLineChars="200" w:firstLine="360"/>
        <w:jc w:val="both"/>
        <w:divId w:val="813520698"/>
      </w:pPr>
      <w:r>
        <w:rPr>
          <w:rFonts w:ascii="Times New Roman" w:hAnsi="Times New Roman" w:cs="Times New Roman"/>
          <w:sz w:val="18"/>
          <w:szCs w:val="18"/>
        </w:rPr>
        <w:lastRenderedPageBreak/>
        <w:t> 1</w:t>
      </w:r>
      <w:r>
        <w:rPr>
          <w:rFonts w:hint="eastAsia"/>
          <w:sz w:val="18"/>
          <w:szCs w:val="18"/>
        </w:rPr>
        <w:t>、业务方面：公司业务结构完整，自主独立经营，与控股股东之间无同业竞争，控股股东未曾利用控股股东地位干涉公司决策和生产经营活动。</w:t>
      </w:r>
    </w:p>
    <w:p w:rsidR="000F627F" w:rsidRDefault="000F627F" w:rsidP="000A0ACB">
      <w:pPr>
        <w:pStyle w:val="a3"/>
        <w:spacing w:before="40" w:beforeAutospacing="0" w:after="40" w:afterAutospacing="0"/>
        <w:ind w:firstLineChars="200" w:firstLine="360"/>
        <w:jc w:val="both"/>
        <w:divId w:val="813520698"/>
      </w:pPr>
      <w:r>
        <w:rPr>
          <w:rFonts w:ascii="Times New Roman" w:hAnsi="Times New Roman" w:cs="Times New Roman"/>
          <w:sz w:val="18"/>
          <w:szCs w:val="18"/>
        </w:rPr>
        <w:t> 2</w:t>
      </w:r>
      <w:r>
        <w:rPr>
          <w:rFonts w:hint="eastAsia"/>
          <w:sz w:val="18"/>
          <w:szCs w:val="18"/>
        </w:rPr>
        <w:t>、人员方面：公司在劳动、人事及工资管理等各方面均独立于控股股东。总裁、副总裁、董事会秘书、财务负责人、首席技术官等高级管理人员均在公司领取报酬，未在控股股东或股东关联单位担任除董事以外的任何职务。</w:t>
      </w:r>
      <w:r>
        <w:rPr>
          <w:rFonts w:ascii="Times New Roman" w:hAnsi="Times New Roman" w:cs="Times New Roman"/>
          <w:sz w:val="18"/>
          <w:szCs w:val="18"/>
        </w:rPr>
        <w:t> </w:t>
      </w:r>
    </w:p>
    <w:p w:rsidR="000F627F" w:rsidRDefault="000F627F" w:rsidP="000A0ACB">
      <w:pPr>
        <w:pStyle w:val="a3"/>
        <w:spacing w:before="40" w:beforeAutospacing="0" w:after="40" w:afterAutospacing="0"/>
        <w:ind w:firstLineChars="200" w:firstLine="360"/>
        <w:jc w:val="both"/>
        <w:divId w:val="813520698"/>
      </w:pPr>
      <w:r>
        <w:rPr>
          <w:rFonts w:ascii="Times New Roman" w:hAnsi="Times New Roman" w:cs="Times New Roman"/>
          <w:sz w:val="18"/>
          <w:szCs w:val="18"/>
        </w:rPr>
        <w:t>3</w:t>
      </w:r>
      <w:r>
        <w:rPr>
          <w:rFonts w:hint="eastAsia"/>
          <w:sz w:val="18"/>
          <w:szCs w:val="18"/>
        </w:rPr>
        <w:t>、资产方面：公司有独立的办公场地，拥有独立完整的生产、供应、销售体系及辅助配套设施，拥有独立的工业产权、商标、非专利技术等无形资产。</w:t>
      </w:r>
      <w:r>
        <w:rPr>
          <w:rFonts w:ascii="Times New Roman" w:hAnsi="Times New Roman" w:cs="Times New Roman"/>
          <w:sz w:val="18"/>
          <w:szCs w:val="18"/>
        </w:rPr>
        <w:t> </w:t>
      </w:r>
    </w:p>
    <w:p w:rsidR="000F627F" w:rsidRDefault="000F627F" w:rsidP="000A0ACB">
      <w:pPr>
        <w:pStyle w:val="a3"/>
        <w:spacing w:before="0" w:beforeAutospacing="0" w:after="0" w:afterAutospacing="0"/>
        <w:ind w:firstLineChars="200" w:firstLine="360"/>
        <w:divId w:val="813520698"/>
      </w:pPr>
      <w:r>
        <w:rPr>
          <w:rFonts w:ascii="Times New Roman" w:hAnsi="Times New Roman" w:cs="Times New Roman"/>
          <w:sz w:val="18"/>
          <w:szCs w:val="18"/>
        </w:rPr>
        <w:t>4</w:t>
      </w:r>
      <w:r>
        <w:rPr>
          <w:rFonts w:hint="eastAsia"/>
          <w:sz w:val="18"/>
          <w:szCs w:val="18"/>
        </w:rPr>
        <w:t>、机构方面：公司设立了健全的组织体系，董事会、监事会、经理层、技术、生产等内部机构独立运作，不存在与控股股东之间的从属关系。</w:t>
      </w:r>
      <w:r>
        <w:rPr>
          <w:rFonts w:ascii="Times New Roman" w:hAnsi="Times New Roman" w:cs="Times New Roman"/>
          <w:sz w:val="18"/>
          <w:szCs w:val="18"/>
        </w:rPr>
        <w:t> </w:t>
      </w:r>
    </w:p>
    <w:p w:rsidR="000F627F" w:rsidRDefault="000F627F" w:rsidP="000A0ACB">
      <w:pPr>
        <w:pStyle w:val="a3"/>
        <w:spacing w:before="0" w:beforeAutospacing="0" w:after="0" w:afterAutospacing="0"/>
        <w:ind w:firstLineChars="200" w:firstLine="360"/>
        <w:divId w:val="813520698"/>
      </w:pPr>
      <w:r>
        <w:rPr>
          <w:rFonts w:ascii="Times New Roman" w:hAnsi="Times New Roman" w:cs="Times New Roman"/>
          <w:sz w:val="18"/>
          <w:szCs w:val="18"/>
        </w:rPr>
        <w:t>5</w:t>
      </w:r>
      <w:r>
        <w:rPr>
          <w:rFonts w:hint="eastAsia"/>
          <w:sz w:val="18"/>
          <w:szCs w:val="18"/>
        </w:rPr>
        <w:t>、财务方面：公司设有独立的财务部门，并建立了独立的会计核算体系和财务管理制度，独立在银行开户、并依法独立纳税。截止本报告签署之日，公司没有为股东及其下属企业、其他关联企业提供担保或将以本公司名义的借款转借给股东单位使用。</w:t>
      </w:r>
    </w:p>
    <w:p w:rsidR="000D58D8" w:rsidRDefault="000F627F">
      <w:pPr>
        <w:pStyle w:val="2"/>
        <w:spacing w:before="300" w:after="300" w:line="320" w:lineRule="exact"/>
        <w:rPr>
          <w:rFonts w:ascii="宋体" w:eastAsia="宋体" w:hAnsi="宋体" w:cs="宋体"/>
          <w:b/>
          <w:bCs/>
          <w:sz w:val="24"/>
          <w:szCs w:val="24"/>
        </w:rPr>
      </w:pPr>
      <w:bookmarkStart w:id="70" w:name="_Toc988958"/>
      <w:r>
        <w:rPr>
          <w:rFonts w:ascii="宋体" w:eastAsia="宋体" w:hAnsi="宋体" w:cs="宋体"/>
          <w:b/>
          <w:bCs/>
          <w:sz w:val="24"/>
          <w:szCs w:val="24"/>
        </w:rPr>
        <w:t>三、同业竞争情况</w:t>
      </w:r>
      <w:bookmarkEnd w:id="70"/>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2"/>
        <w:spacing w:before="300" w:after="300" w:line="320" w:lineRule="exact"/>
        <w:rPr>
          <w:rFonts w:ascii="宋体" w:eastAsia="宋体" w:hAnsi="宋体" w:cs="宋体"/>
          <w:b/>
          <w:bCs/>
          <w:sz w:val="24"/>
          <w:szCs w:val="24"/>
        </w:rPr>
      </w:pPr>
      <w:bookmarkStart w:id="71" w:name="_Toc988959"/>
      <w:r>
        <w:rPr>
          <w:rFonts w:ascii="宋体" w:eastAsia="宋体" w:hAnsi="宋体" w:cs="宋体"/>
          <w:b/>
          <w:bCs/>
          <w:sz w:val="24"/>
          <w:szCs w:val="24"/>
        </w:rPr>
        <w:t>四、报告期内召开的年度股东大会和临时股东大会的有关情况</w:t>
      </w:r>
      <w:bookmarkEnd w:id="71"/>
    </w:p>
    <w:p w:rsidR="000D58D8" w:rsidRDefault="000F627F">
      <w:pPr>
        <w:pStyle w:val="3"/>
        <w:spacing w:line="280" w:lineRule="exact"/>
        <w:jc w:val="left"/>
        <w:rPr>
          <w:rFonts w:ascii="宋体" w:hAnsi="宋体" w:cs="宋体"/>
          <w:b/>
          <w:bCs/>
        </w:rPr>
      </w:pPr>
      <w:bookmarkStart w:id="72" w:name="_Toc988960"/>
      <w:r>
        <w:rPr>
          <w:rFonts w:ascii="宋体" w:hAnsi="宋体" w:cs="宋体"/>
          <w:b/>
          <w:bCs/>
        </w:rPr>
        <w:t>1、本报告期股东大会情况</w:t>
      </w:r>
      <w:bookmarkEnd w:id="7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69"/>
        <w:gridCol w:w="1269"/>
        <w:gridCol w:w="1269"/>
        <w:gridCol w:w="1269"/>
        <w:gridCol w:w="1269"/>
        <w:gridCol w:w="3294"/>
      </w:tblGrid>
      <w:tr w:rsidR="000D58D8" w:rsidTr="000A0ACB">
        <w:trPr>
          <w:trHeight w:val="240"/>
        </w:trPr>
        <w:tc>
          <w:tcPr>
            <w:tcW w:w="126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会议届次</w:t>
            </w:r>
          </w:p>
        </w:tc>
        <w:tc>
          <w:tcPr>
            <w:tcW w:w="126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会议类型</w:t>
            </w:r>
          </w:p>
        </w:tc>
        <w:tc>
          <w:tcPr>
            <w:tcW w:w="126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投资者参与比例</w:t>
            </w:r>
          </w:p>
        </w:tc>
        <w:tc>
          <w:tcPr>
            <w:tcW w:w="126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召开日期</w:t>
            </w:r>
          </w:p>
        </w:tc>
        <w:tc>
          <w:tcPr>
            <w:tcW w:w="126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329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会议决议</w:t>
            </w:r>
          </w:p>
        </w:tc>
      </w:tr>
      <w:tr w:rsidR="000D58D8" w:rsidTr="000A0ACB">
        <w:trPr>
          <w:trHeight w:val="240"/>
        </w:trPr>
        <w:tc>
          <w:tcPr>
            <w:tcW w:w="12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2022年年度股东大会</w:t>
            </w:r>
          </w:p>
        </w:tc>
        <w:tc>
          <w:tcPr>
            <w:tcW w:w="12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年度股东大会</w:t>
            </w:r>
          </w:p>
        </w:tc>
        <w:tc>
          <w:tcPr>
            <w:tcW w:w="12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42.49%</w:t>
            </w:r>
          </w:p>
        </w:tc>
        <w:tc>
          <w:tcPr>
            <w:tcW w:w="12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2023年05月19日</w:t>
            </w:r>
          </w:p>
        </w:tc>
        <w:tc>
          <w:tcPr>
            <w:tcW w:w="12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2023年05月20日</w:t>
            </w:r>
          </w:p>
        </w:tc>
        <w:tc>
          <w:tcPr>
            <w:tcW w:w="329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详见公司于2023年5月20日刊登在《证券时报》、《中国证券报》和巨潮资讯网（http://www.cninfo.com.cn）的《2022年年度股东大会决议公告》。</w:t>
            </w:r>
          </w:p>
        </w:tc>
      </w:tr>
      <w:tr w:rsidR="000D58D8" w:rsidTr="000A0ACB">
        <w:trPr>
          <w:trHeight w:val="240"/>
        </w:trPr>
        <w:tc>
          <w:tcPr>
            <w:tcW w:w="12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2023年第一次临时股东大会</w:t>
            </w:r>
          </w:p>
        </w:tc>
        <w:tc>
          <w:tcPr>
            <w:tcW w:w="12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临时股东大会</w:t>
            </w:r>
          </w:p>
        </w:tc>
        <w:tc>
          <w:tcPr>
            <w:tcW w:w="12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42.47%</w:t>
            </w:r>
          </w:p>
        </w:tc>
        <w:tc>
          <w:tcPr>
            <w:tcW w:w="12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2023年10月09日</w:t>
            </w:r>
          </w:p>
        </w:tc>
        <w:tc>
          <w:tcPr>
            <w:tcW w:w="12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2023年10月10日</w:t>
            </w:r>
          </w:p>
        </w:tc>
        <w:tc>
          <w:tcPr>
            <w:tcW w:w="329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详见公司于2023年10月10日刊登在《证券时报》、《中国证券报》和巨潮资讯网（http://www.cninfo.com.cn）的《2023年第一次临时股东大会决议公告》。</w:t>
            </w:r>
          </w:p>
        </w:tc>
      </w:tr>
      <w:tr w:rsidR="000D58D8" w:rsidTr="000A0ACB">
        <w:trPr>
          <w:trHeight w:val="240"/>
        </w:trPr>
        <w:tc>
          <w:tcPr>
            <w:tcW w:w="12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2023年第二次临时股东大会</w:t>
            </w:r>
          </w:p>
        </w:tc>
        <w:tc>
          <w:tcPr>
            <w:tcW w:w="12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临时股东大会</w:t>
            </w:r>
          </w:p>
        </w:tc>
        <w:tc>
          <w:tcPr>
            <w:tcW w:w="12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43.01%</w:t>
            </w:r>
          </w:p>
        </w:tc>
        <w:tc>
          <w:tcPr>
            <w:tcW w:w="12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2023年12月22日</w:t>
            </w:r>
          </w:p>
        </w:tc>
        <w:tc>
          <w:tcPr>
            <w:tcW w:w="126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2023年12月23日</w:t>
            </w:r>
          </w:p>
        </w:tc>
        <w:tc>
          <w:tcPr>
            <w:tcW w:w="329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详见公司于2023年12月23日刊登在《证券时报》、《中国证券报》和巨潮资讯网（http://www.cninfo.com.cn）的《2023年第二次临时股东大会决议公告》。</w:t>
            </w:r>
          </w:p>
        </w:tc>
      </w:tr>
    </w:tbl>
    <w:p w:rsidR="000D58D8" w:rsidRDefault="000F627F">
      <w:pPr>
        <w:pStyle w:val="3"/>
        <w:spacing w:line="280" w:lineRule="exact"/>
        <w:jc w:val="left"/>
        <w:rPr>
          <w:rFonts w:ascii="宋体" w:hAnsi="宋体" w:cs="宋体"/>
          <w:b/>
          <w:bCs/>
        </w:rPr>
      </w:pPr>
      <w:bookmarkStart w:id="73" w:name="_Toc988961"/>
      <w:r>
        <w:rPr>
          <w:rFonts w:ascii="宋体" w:hAnsi="宋体" w:cs="宋体"/>
          <w:b/>
          <w:bCs/>
        </w:rPr>
        <w:t>2、表决权恢复的优先股股东请求召开临时股东大会</w:t>
      </w:r>
      <w:bookmarkEnd w:id="7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2"/>
        <w:spacing w:before="300" w:after="300" w:line="320" w:lineRule="exact"/>
        <w:rPr>
          <w:rFonts w:ascii="宋体" w:eastAsia="宋体" w:hAnsi="宋体" w:cs="宋体"/>
          <w:b/>
          <w:bCs/>
          <w:sz w:val="24"/>
          <w:szCs w:val="24"/>
        </w:rPr>
      </w:pPr>
      <w:bookmarkStart w:id="74" w:name="_Toc988962"/>
      <w:r>
        <w:rPr>
          <w:rFonts w:ascii="宋体" w:eastAsia="宋体" w:hAnsi="宋体" w:cs="宋体"/>
          <w:b/>
          <w:bCs/>
          <w:sz w:val="24"/>
          <w:szCs w:val="24"/>
        </w:rPr>
        <w:t>五、董事、监事和高级管理人员情况</w:t>
      </w:r>
      <w:bookmarkEnd w:id="74"/>
    </w:p>
    <w:p w:rsidR="000D58D8" w:rsidRDefault="000F627F">
      <w:pPr>
        <w:pStyle w:val="3"/>
        <w:spacing w:line="280" w:lineRule="exact"/>
        <w:jc w:val="left"/>
        <w:rPr>
          <w:rFonts w:ascii="宋体" w:hAnsi="宋体" w:cs="宋体"/>
          <w:b/>
          <w:bCs/>
        </w:rPr>
      </w:pPr>
      <w:bookmarkStart w:id="75" w:name="_Toc988963"/>
      <w:r>
        <w:rPr>
          <w:rFonts w:ascii="宋体" w:hAnsi="宋体" w:cs="宋体"/>
          <w:b/>
          <w:bCs/>
        </w:rPr>
        <w:t>1、基本情况</w:t>
      </w:r>
      <w:bookmarkEnd w:id="7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2"/>
        <w:gridCol w:w="742"/>
        <w:gridCol w:w="742"/>
        <w:gridCol w:w="742"/>
        <w:gridCol w:w="742"/>
        <w:gridCol w:w="742"/>
        <w:gridCol w:w="741"/>
        <w:gridCol w:w="741"/>
        <w:gridCol w:w="741"/>
        <w:gridCol w:w="741"/>
        <w:gridCol w:w="741"/>
        <w:gridCol w:w="741"/>
        <w:gridCol w:w="741"/>
      </w:tblGrid>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姓名</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性别</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年龄</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职务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任职状态</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任期起始日期</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任期终止日期</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期初持股数（股</w:t>
            </w:r>
            <w:r>
              <w:rPr>
                <w:rFonts w:ascii="宋体" w:eastAsia="宋体" w:hAnsi="宋体" w:cs="宋体"/>
                <w:sz w:val="18"/>
                <w:szCs w:val="18"/>
              </w:rPr>
              <w:lastRenderedPageBreak/>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本期增持股份数量</w:t>
            </w:r>
            <w:r>
              <w:rPr>
                <w:rFonts w:ascii="宋体" w:eastAsia="宋体" w:hAnsi="宋体" w:cs="宋体"/>
                <w:sz w:val="18"/>
                <w:szCs w:val="18"/>
              </w:rPr>
              <w:lastRenderedPageBreak/>
              <w:t>（股）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本期减持股份数量</w:t>
            </w:r>
            <w:r>
              <w:rPr>
                <w:rFonts w:ascii="宋体" w:eastAsia="宋体" w:hAnsi="宋体" w:cs="宋体"/>
                <w:sz w:val="18"/>
                <w:szCs w:val="18"/>
              </w:rPr>
              <w:lastRenderedPageBreak/>
              <w:t>（股）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其他增减变动（股</w:t>
            </w:r>
            <w:r>
              <w:rPr>
                <w:rFonts w:ascii="宋体" w:eastAsia="宋体" w:hAnsi="宋体" w:cs="宋体"/>
                <w:sz w:val="18"/>
                <w:szCs w:val="18"/>
              </w:rPr>
              <w:lastRenderedPageBreak/>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期末持股数（股</w:t>
            </w:r>
            <w:r>
              <w:rPr>
                <w:rFonts w:ascii="宋体" w:eastAsia="宋体" w:hAnsi="宋体" w:cs="宋体"/>
                <w:sz w:val="18"/>
                <w:szCs w:val="18"/>
              </w:rPr>
              <w:lastRenderedPageBreak/>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股份增减变动的原</w:t>
            </w:r>
            <w:r>
              <w:rPr>
                <w:rFonts w:ascii="宋体" w:eastAsia="宋体" w:hAnsi="宋体" w:cs="宋体"/>
                <w:sz w:val="18"/>
                <w:szCs w:val="18"/>
              </w:rPr>
              <w:lastRenderedPageBreak/>
              <w:t>因</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孙伟挺</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董事、董事长</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2008年02月28日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2024年12月16日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陈玲芬</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女</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董事、副董事长、总裁</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2008年02月28日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2024年12月16日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陈翰</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2021年12月16日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2024年12月16日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程桂松</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2014年11月24日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2024年12月16日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程桂松</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副总裁</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2018年04月24日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2024年12月16日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王国友</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2008年12月31日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2024年12月16日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王国友</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财务总监</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2009年03月18日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2024年12月16日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张正</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2020年07月10日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2024年12月16日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张正</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董事会秘书</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2017年10月23日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2024年12月16日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孔祥云</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独立董事</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离任</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2017年09月12日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2023年10月09日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刁英峰</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独立董事</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2023年10月09日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2024年12月16日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高卫东</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独立董事</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2018年07月21日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2024年07月21日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黄亚英</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独立董事</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2021年12月16日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2024年12月16日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盛永</w:t>
            </w:r>
            <w:r>
              <w:rPr>
                <w:rFonts w:ascii="宋体" w:eastAsia="宋体" w:hAnsi="宋体" w:cs="宋体"/>
                <w:sz w:val="18"/>
                <w:szCs w:val="18"/>
              </w:rPr>
              <w:lastRenderedPageBreak/>
              <w:t>月</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男</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监</w:t>
            </w:r>
            <w:r>
              <w:rPr>
                <w:rFonts w:ascii="宋体" w:eastAsia="宋体" w:hAnsi="宋体" w:cs="宋体"/>
                <w:sz w:val="18"/>
                <w:szCs w:val="18"/>
              </w:rPr>
              <w:lastRenderedPageBreak/>
              <w:t>事、监事会主席</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离任</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2008</w:t>
            </w:r>
            <w:r>
              <w:rPr>
                <w:rFonts w:ascii="宋体" w:eastAsia="宋体" w:hAnsi="宋体" w:cs="宋体"/>
                <w:sz w:val="18"/>
                <w:szCs w:val="18"/>
              </w:rPr>
              <w:lastRenderedPageBreak/>
              <w:t>年12月31日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4E5635">
            <w:pPr>
              <w:spacing w:line="240" w:lineRule="exact"/>
              <w:rPr>
                <w:rFonts w:ascii="宋体" w:eastAsia="宋体" w:hAnsi="宋体" w:cs="宋体"/>
                <w:sz w:val="18"/>
                <w:szCs w:val="18"/>
              </w:rPr>
            </w:pPr>
            <w:r>
              <w:rPr>
                <w:rFonts w:ascii="宋体" w:eastAsia="宋体" w:hAnsi="宋体" w:cs="宋体"/>
                <w:sz w:val="18"/>
                <w:szCs w:val="18"/>
              </w:rPr>
              <w:lastRenderedPageBreak/>
              <w:t>202</w:t>
            </w:r>
            <w:r>
              <w:rPr>
                <w:rFonts w:ascii="宋体" w:eastAsia="宋体" w:hAnsi="宋体" w:cs="宋体" w:hint="eastAsia"/>
                <w:sz w:val="18"/>
                <w:szCs w:val="18"/>
              </w:rPr>
              <w:t>3</w:t>
            </w:r>
            <w:r w:rsidR="000F627F">
              <w:rPr>
                <w:rFonts w:ascii="宋体" w:eastAsia="宋体" w:hAnsi="宋体" w:cs="宋体"/>
                <w:sz w:val="18"/>
                <w:szCs w:val="18"/>
              </w:rPr>
              <w:lastRenderedPageBreak/>
              <w:t>年</w:t>
            </w:r>
            <w:r>
              <w:rPr>
                <w:rFonts w:ascii="宋体" w:eastAsia="宋体" w:hAnsi="宋体" w:cs="宋体" w:hint="eastAsia"/>
                <w:sz w:val="18"/>
                <w:szCs w:val="18"/>
              </w:rPr>
              <w:t>10</w:t>
            </w:r>
            <w:r w:rsidR="000F627F">
              <w:rPr>
                <w:rFonts w:ascii="宋体" w:eastAsia="宋体" w:hAnsi="宋体" w:cs="宋体"/>
                <w:sz w:val="18"/>
                <w:szCs w:val="18"/>
              </w:rPr>
              <w:t>月</w:t>
            </w:r>
            <w:r>
              <w:rPr>
                <w:rFonts w:ascii="宋体" w:eastAsia="宋体" w:hAnsi="宋体" w:cs="宋体" w:hint="eastAsia"/>
                <w:sz w:val="18"/>
                <w:szCs w:val="18"/>
              </w:rPr>
              <w:t>9</w:t>
            </w:r>
            <w:r w:rsidR="000F627F">
              <w:rPr>
                <w:rFonts w:ascii="宋体" w:eastAsia="宋体" w:hAnsi="宋体" w:cs="宋体"/>
                <w:sz w:val="18"/>
                <w:szCs w:val="18"/>
              </w:rPr>
              <w:t>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张际松</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监事、监事会主席</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2023年10月09日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2024年12月16日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熊旭锋</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职工代表监事</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2021年12月16日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2024年12月16日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宣刚江</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监事</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2020年01月14日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2024年12月16日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报告期是否存在任期内董事、监事离任和高级管理人员解聘的情况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0F627F" w:rsidRPr="004E5635" w:rsidRDefault="000F627F" w:rsidP="004E5635">
      <w:pPr>
        <w:pStyle w:val="a3"/>
        <w:spacing w:before="0" w:beforeAutospacing="0" w:after="0" w:afterAutospacing="0"/>
        <w:ind w:firstLineChars="200" w:firstLine="360"/>
        <w:divId w:val="1564635554"/>
        <w:rPr>
          <w:rFonts w:asciiTheme="minorEastAsia" w:eastAsiaTheme="minorEastAsia" w:hAnsiTheme="minorEastAsia"/>
          <w:sz w:val="18"/>
          <w:szCs w:val="18"/>
        </w:rPr>
      </w:pPr>
      <w:r w:rsidRPr="004E5635">
        <w:rPr>
          <w:rFonts w:asciiTheme="minorEastAsia" w:eastAsiaTheme="minorEastAsia" w:hAnsiTheme="minorEastAsia" w:hint="eastAsia"/>
          <w:color w:val="000000"/>
          <w:sz w:val="18"/>
          <w:szCs w:val="18"/>
        </w:rPr>
        <w:t>1、公司独立董事孔祥云</w:t>
      </w:r>
      <w:r w:rsidRPr="004E5635">
        <w:rPr>
          <w:rFonts w:asciiTheme="minorEastAsia" w:eastAsiaTheme="minorEastAsia" w:hAnsiTheme="minorEastAsia" w:hint="eastAsia"/>
          <w:color w:val="000000"/>
          <w:sz w:val="18"/>
          <w:szCs w:val="18"/>
          <w:shd w:val="clear" w:color="auto" w:fill="FFFFFF"/>
        </w:rPr>
        <w:t>因连任公司独立董事满六年，根据《上市公司独立董事管理办法》、《深圳证券交易所股票上市规则》、《深圳证券交易所上市公司自律监管指引第1号—主板上市公司规范运作》等相关规定，孔祥云先生申请辞去公司独立董事职务，同时一并辞去公司审计委员会召集人、战略与发展委员会委员、薪酬与考核委员会委员的职务。辞职后，孔祥云先生将不再担任公司任何职务。此议案经第八届董事会2023年第三次临时会议和公司2023年第一次临时股东大会审议通过，详见公司发布于《证券时报》、《中国证券报》及巨潮资讯网（</w:t>
      </w:r>
      <w:hyperlink r:id="rId9" w:history="1">
        <w:r w:rsidRPr="004E5635">
          <w:rPr>
            <w:rStyle w:val="a4"/>
            <w:rFonts w:asciiTheme="minorEastAsia" w:eastAsiaTheme="minorEastAsia" w:hAnsiTheme="minorEastAsia" w:hint="eastAsia"/>
            <w:color w:val="000000"/>
            <w:sz w:val="18"/>
            <w:szCs w:val="18"/>
            <w:shd w:val="clear" w:color="auto" w:fill="FFFFFF"/>
          </w:rPr>
          <w:t>http://www.cninfo.com.cn</w:t>
        </w:r>
      </w:hyperlink>
      <w:r w:rsidRPr="004E5635">
        <w:rPr>
          <w:rFonts w:asciiTheme="minorEastAsia" w:eastAsiaTheme="minorEastAsia" w:hAnsiTheme="minorEastAsia" w:hint="eastAsia"/>
          <w:color w:val="000000"/>
          <w:sz w:val="18"/>
          <w:szCs w:val="18"/>
          <w:shd w:val="clear" w:color="auto" w:fill="FFFFFF"/>
        </w:rPr>
        <w:t>）上的《关于独立董事任期届满离任暨补选独立董事的公告》（2023-47）、《第八届董事会2023年第三次临时会议决议公告》（2023-45）、《2023年第一次临时股东大会会议决议公告》（2023-53）。</w:t>
      </w:r>
    </w:p>
    <w:p w:rsidR="000F627F" w:rsidRPr="004E5635" w:rsidRDefault="000F627F" w:rsidP="004E5635">
      <w:pPr>
        <w:pStyle w:val="a3"/>
        <w:spacing w:before="0" w:beforeAutospacing="0" w:after="0" w:afterAutospacing="0"/>
        <w:ind w:firstLineChars="200" w:firstLine="360"/>
        <w:divId w:val="1564635554"/>
        <w:rPr>
          <w:rFonts w:asciiTheme="minorEastAsia" w:eastAsiaTheme="minorEastAsia" w:hAnsiTheme="minorEastAsia"/>
          <w:sz w:val="18"/>
          <w:szCs w:val="18"/>
        </w:rPr>
      </w:pPr>
      <w:r w:rsidRPr="004E5635">
        <w:rPr>
          <w:rFonts w:asciiTheme="minorEastAsia" w:eastAsiaTheme="minorEastAsia" w:hAnsiTheme="minorEastAsia" w:hint="eastAsia"/>
          <w:color w:val="000000"/>
          <w:sz w:val="18"/>
          <w:szCs w:val="18"/>
          <w:shd w:val="clear" w:color="auto" w:fill="FFFFFF"/>
        </w:rPr>
        <w:t>2、公司监事会主席盛永月因个人原因申请辞去公司监事、监事会主席的职务，辞职后，盛永月先生将不再担任公司任何职务。此议案经第八届监事会第十五次会议和2023年第一次临时股东大会审议通过，详见公司发布于《证券时报》、《中国证券报》及巨潮资讯网（</w:t>
      </w:r>
      <w:hyperlink r:id="rId10" w:history="1">
        <w:r w:rsidRPr="004E5635">
          <w:rPr>
            <w:rStyle w:val="a4"/>
            <w:rFonts w:asciiTheme="minorEastAsia" w:eastAsiaTheme="minorEastAsia" w:hAnsiTheme="minorEastAsia" w:hint="eastAsia"/>
            <w:color w:val="000000"/>
            <w:sz w:val="18"/>
            <w:szCs w:val="18"/>
            <w:shd w:val="clear" w:color="auto" w:fill="FFFFFF"/>
          </w:rPr>
          <w:t>http://www.cninfo.com.cn</w:t>
        </w:r>
      </w:hyperlink>
      <w:r w:rsidRPr="004E5635">
        <w:rPr>
          <w:rFonts w:asciiTheme="minorEastAsia" w:eastAsiaTheme="minorEastAsia" w:hAnsiTheme="minorEastAsia" w:hint="eastAsia"/>
          <w:color w:val="000000"/>
          <w:sz w:val="18"/>
          <w:szCs w:val="18"/>
          <w:shd w:val="clear" w:color="auto" w:fill="FFFFFF"/>
        </w:rPr>
        <w:t>）上的《关于监事会主席辞职暨补选监事的公告》（2023-48）、《第八届监事会第十五次会议决议公告》（2023-46）、《2023年第一次临时股东大会会议决议公告》（2023-53）。</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公司董事、监事、高级管理人员变动情况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姓名</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担任的职务</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类型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日期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孔祥云</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任期满离任</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2023年10月09日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任期届满</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刁英峰</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被选举</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2023年10月09日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按公司章程聘任</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盛永月</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监事、监事会主席</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离任</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2023年10月09日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个人原因</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张际松</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监事、监事会主席</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被选举</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2023年10月09日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按公司章程聘任</w:t>
            </w:r>
          </w:p>
        </w:tc>
      </w:tr>
    </w:tbl>
    <w:p w:rsidR="000D58D8" w:rsidRDefault="000F627F">
      <w:pPr>
        <w:pStyle w:val="3"/>
        <w:spacing w:line="280" w:lineRule="exact"/>
        <w:jc w:val="left"/>
        <w:rPr>
          <w:rFonts w:ascii="宋体" w:hAnsi="宋体" w:cs="宋体"/>
          <w:b/>
          <w:bCs/>
        </w:rPr>
      </w:pPr>
      <w:bookmarkStart w:id="76" w:name="_Toc988964"/>
      <w:r>
        <w:rPr>
          <w:rFonts w:ascii="宋体" w:hAnsi="宋体" w:cs="宋体"/>
          <w:b/>
          <w:bCs/>
        </w:rPr>
        <w:t>2、任职情况</w:t>
      </w:r>
      <w:bookmarkEnd w:id="7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公司现任董事、监事、高级管理人员专业背景、主要工作经历以及目前在公司的主要职责</w:t>
      </w:r>
    </w:p>
    <w:p w:rsidR="000F627F" w:rsidRPr="004E5635" w:rsidRDefault="000F627F">
      <w:pPr>
        <w:pStyle w:val="a3"/>
        <w:spacing w:before="0" w:beforeAutospacing="0" w:after="0" w:afterAutospacing="0"/>
        <w:ind w:firstLine="450"/>
        <w:divId w:val="37559393"/>
        <w:rPr>
          <w:rFonts w:asciiTheme="minorEastAsia" w:eastAsiaTheme="minorEastAsia" w:hAnsiTheme="minorEastAsia"/>
        </w:rPr>
      </w:pPr>
      <w:r w:rsidRPr="004E5635">
        <w:rPr>
          <w:rFonts w:asciiTheme="minorEastAsia" w:eastAsiaTheme="minorEastAsia" w:hAnsiTheme="minorEastAsia" w:hint="eastAsia"/>
          <w:sz w:val="18"/>
          <w:szCs w:val="18"/>
        </w:rPr>
        <w:t>1、董事会成员：</w:t>
      </w:r>
    </w:p>
    <w:p w:rsidR="000F627F" w:rsidRPr="004E5635" w:rsidRDefault="000F627F">
      <w:pPr>
        <w:pStyle w:val="a3"/>
        <w:spacing w:before="0" w:beforeAutospacing="0" w:after="0" w:afterAutospacing="0"/>
        <w:ind w:firstLine="482"/>
        <w:divId w:val="37559393"/>
        <w:rPr>
          <w:rFonts w:asciiTheme="minorEastAsia" w:eastAsiaTheme="minorEastAsia" w:hAnsiTheme="minorEastAsia"/>
        </w:rPr>
      </w:pPr>
      <w:r w:rsidRPr="004E5635">
        <w:rPr>
          <w:rFonts w:asciiTheme="minorEastAsia" w:eastAsiaTheme="minorEastAsia" w:hAnsiTheme="minorEastAsia" w:hint="eastAsia"/>
          <w:sz w:val="18"/>
          <w:szCs w:val="18"/>
        </w:rPr>
        <w:t>孙伟挺先生，中国国籍，1963年出生，中国人民大学EMBA学历。1982年至1987年，在浙江省纺织工业公司工作，历任计划经营科科员、副科长、科长；1987年至1990年，担任浙江省轻工业厅计划物资处副处长；1990年至1993年，任浙江省绍兴越城区副区长。1993年创办华孚公司，任华孚控股有限公司董事长；2008年2月，任安徽飞亚纺织发展股份有限公司董事；2008年12月至今，任公司董事长。</w:t>
      </w:r>
    </w:p>
    <w:p w:rsidR="000F627F" w:rsidRPr="004E5635" w:rsidRDefault="000F627F">
      <w:pPr>
        <w:pStyle w:val="a3"/>
        <w:spacing w:before="0" w:beforeAutospacing="0" w:after="0" w:afterAutospacing="0"/>
        <w:ind w:firstLine="482"/>
        <w:divId w:val="37559393"/>
        <w:rPr>
          <w:rFonts w:asciiTheme="minorEastAsia" w:eastAsiaTheme="minorEastAsia" w:hAnsiTheme="minorEastAsia"/>
        </w:rPr>
      </w:pPr>
      <w:r w:rsidRPr="004E5635">
        <w:rPr>
          <w:rFonts w:asciiTheme="minorEastAsia" w:eastAsiaTheme="minorEastAsia" w:hAnsiTheme="minorEastAsia" w:hint="eastAsia"/>
          <w:sz w:val="18"/>
          <w:szCs w:val="18"/>
        </w:rPr>
        <w:lastRenderedPageBreak/>
        <w:t>陈玲芬女士：中国国籍，1963年出生，中国人民大学EMBA学历。1981年至1993年，历任浙江省绍兴市经济协作办公室综合科副科长、浙江省绍兴市越灵商社办公室主任、财务经理等职。1993年与公司董事长孙伟挺先生创办华孚至今，担任副董事长。2009年5月至今，任公司副董事长、总裁。</w:t>
      </w:r>
    </w:p>
    <w:p w:rsidR="000F627F" w:rsidRPr="004E5635" w:rsidRDefault="000F627F">
      <w:pPr>
        <w:pStyle w:val="a3"/>
        <w:spacing w:before="0" w:beforeAutospacing="0" w:after="0" w:afterAutospacing="0"/>
        <w:ind w:firstLine="482"/>
        <w:divId w:val="37559393"/>
        <w:rPr>
          <w:rFonts w:asciiTheme="minorEastAsia" w:eastAsiaTheme="minorEastAsia" w:hAnsiTheme="minorEastAsia"/>
        </w:rPr>
      </w:pPr>
      <w:r w:rsidRPr="004E5635">
        <w:rPr>
          <w:rFonts w:asciiTheme="minorEastAsia" w:eastAsiaTheme="minorEastAsia" w:hAnsiTheme="minorEastAsia" w:hint="eastAsia"/>
          <w:sz w:val="18"/>
          <w:szCs w:val="18"/>
        </w:rPr>
        <w:t>陈翰先生：中国国籍，1989年出生，香港大学金融学硕士。历任安永华明会计师事务所审计员，东吴证券研究所研究员，云</w:t>
      </w:r>
      <w:proofErr w:type="gramStart"/>
      <w:r w:rsidRPr="004E5635">
        <w:rPr>
          <w:rFonts w:asciiTheme="minorEastAsia" w:eastAsiaTheme="minorEastAsia" w:hAnsiTheme="minorEastAsia" w:hint="eastAsia"/>
          <w:sz w:val="18"/>
          <w:szCs w:val="18"/>
        </w:rPr>
        <w:t>锋基金</w:t>
      </w:r>
      <w:proofErr w:type="gramEnd"/>
      <w:r w:rsidRPr="004E5635">
        <w:rPr>
          <w:rFonts w:asciiTheme="minorEastAsia" w:eastAsiaTheme="minorEastAsia" w:hAnsiTheme="minorEastAsia" w:hint="eastAsia"/>
          <w:sz w:val="18"/>
          <w:szCs w:val="18"/>
        </w:rPr>
        <w:t>投资经理。2019年入职华孚时尚股份有限公司至今，</w:t>
      </w:r>
      <w:proofErr w:type="gramStart"/>
      <w:r w:rsidRPr="004E5635">
        <w:rPr>
          <w:rFonts w:asciiTheme="minorEastAsia" w:eastAsiaTheme="minorEastAsia" w:hAnsiTheme="minorEastAsia" w:hint="eastAsia"/>
          <w:sz w:val="18"/>
          <w:szCs w:val="18"/>
        </w:rPr>
        <w:t>任数智战略</w:t>
      </w:r>
      <w:proofErr w:type="gramEnd"/>
      <w:r w:rsidRPr="004E5635">
        <w:rPr>
          <w:rFonts w:asciiTheme="minorEastAsia" w:eastAsiaTheme="minorEastAsia" w:hAnsiTheme="minorEastAsia" w:hint="eastAsia"/>
          <w:sz w:val="18"/>
          <w:szCs w:val="18"/>
        </w:rPr>
        <w:t>中心总经理。</w:t>
      </w:r>
    </w:p>
    <w:p w:rsidR="000F627F" w:rsidRPr="004E5635" w:rsidRDefault="000F627F">
      <w:pPr>
        <w:pStyle w:val="a3"/>
        <w:spacing w:before="0" w:beforeAutospacing="0" w:after="0" w:afterAutospacing="0"/>
        <w:ind w:firstLine="482"/>
        <w:divId w:val="37559393"/>
        <w:rPr>
          <w:rFonts w:asciiTheme="minorEastAsia" w:eastAsiaTheme="minorEastAsia" w:hAnsiTheme="minorEastAsia"/>
        </w:rPr>
      </w:pPr>
      <w:r w:rsidRPr="004E5635">
        <w:rPr>
          <w:rFonts w:asciiTheme="minorEastAsia" w:eastAsiaTheme="minorEastAsia" w:hAnsiTheme="minorEastAsia" w:hint="eastAsia"/>
          <w:sz w:val="18"/>
          <w:szCs w:val="18"/>
        </w:rPr>
        <w:t>王国友先生：中国国籍，1963年生，杭州商学院大专学历，杭州商学院商业企业管理专业毕业，中级会计师职称。自1997年加盟华孚控股有限公司，历任浙江华孚集团财务总监、华孚控股有限公司投资中心总经理、华孚控股有限公司财务中心总监。2008年12月至今，任本公司董事；2011年4月1日至2015年2月1日任华孚控股财务总监、公司董事；2015年4月至今，任公司董事、财务总监。</w:t>
      </w:r>
    </w:p>
    <w:p w:rsidR="000F627F" w:rsidRPr="004E5635" w:rsidRDefault="000F627F">
      <w:pPr>
        <w:pStyle w:val="a3"/>
        <w:spacing w:before="0" w:beforeAutospacing="0" w:after="0" w:afterAutospacing="0"/>
        <w:ind w:firstLine="482"/>
        <w:divId w:val="37559393"/>
        <w:rPr>
          <w:rFonts w:asciiTheme="minorEastAsia" w:eastAsiaTheme="minorEastAsia" w:hAnsiTheme="minorEastAsia"/>
        </w:rPr>
      </w:pPr>
      <w:r w:rsidRPr="004E5635">
        <w:rPr>
          <w:rFonts w:asciiTheme="minorEastAsia" w:eastAsiaTheme="minorEastAsia" w:hAnsiTheme="minorEastAsia" w:hint="eastAsia"/>
          <w:sz w:val="18"/>
          <w:szCs w:val="18"/>
        </w:rPr>
        <w:t>程桂松先生：中国国籍，1966年10月生，毕业于安徽财经大学金融专业，厦门大学EMBA，北京大学MBA学历，中级会计师。先后在建设银行安徽省分行、招商银行深圳分行工作，历任综合部经理、支行副行长、支行行长。2014年9月加盟华孚，历任资金经营中心总经理、董事会秘书，2014年12月至今，任公司董事。现任公司董事、副总裁。</w:t>
      </w:r>
    </w:p>
    <w:p w:rsidR="000F627F" w:rsidRPr="004E5635" w:rsidRDefault="000F627F">
      <w:pPr>
        <w:pStyle w:val="a3"/>
        <w:spacing w:before="0" w:beforeAutospacing="0" w:after="0" w:afterAutospacing="0"/>
        <w:ind w:firstLine="482"/>
        <w:divId w:val="37559393"/>
        <w:rPr>
          <w:rFonts w:asciiTheme="minorEastAsia" w:eastAsiaTheme="minorEastAsia" w:hAnsiTheme="minorEastAsia"/>
        </w:rPr>
      </w:pPr>
      <w:r w:rsidRPr="004E5635">
        <w:rPr>
          <w:rFonts w:asciiTheme="minorEastAsia" w:eastAsiaTheme="minorEastAsia" w:hAnsiTheme="minorEastAsia" w:hint="eastAsia"/>
          <w:sz w:val="18"/>
          <w:szCs w:val="18"/>
        </w:rPr>
        <w:t>张正先生：中国国籍，1985年12月生，无境外永久居留权，2011年毕业于中国人民大学，取得经济学硕士学位，历任大成基金管理有限公司研究员、基金经理助理、基金经理；2017年6月入职华孚时尚股份有限公司至今。现任公司董事、副总裁、董事会秘书。</w:t>
      </w:r>
    </w:p>
    <w:p w:rsidR="000F627F" w:rsidRPr="004E5635" w:rsidRDefault="000F627F">
      <w:pPr>
        <w:pStyle w:val="a3"/>
        <w:spacing w:before="0" w:beforeAutospacing="0" w:after="0" w:afterAutospacing="0"/>
        <w:ind w:firstLine="482"/>
        <w:divId w:val="37559393"/>
        <w:rPr>
          <w:rFonts w:asciiTheme="minorEastAsia" w:eastAsiaTheme="minorEastAsia" w:hAnsiTheme="minorEastAsia"/>
        </w:rPr>
      </w:pPr>
      <w:r w:rsidRPr="004E5635">
        <w:rPr>
          <w:rFonts w:asciiTheme="minorEastAsia" w:eastAsiaTheme="minorEastAsia" w:hAnsiTheme="minorEastAsia" w:hint="eastAsia"/>
          <w:color w:val="000000"/>
          <w:sz w:val="18"/>
          <w:szCs w:val="18"/>
          <w:shd w:val="clear" w:color="auto" w:fill="FFFFFF"/>
        </w:rPr>
        <w:t>刁英峰先生：中国国籍，无境外永久居留权，1971年12月出生，本科学历，中国注册会计师、中国注册税务师。历任立信会计师事务所（特殊普通合伙）授信合伙人，深圳市</w:t>
      </w:r>
      <w:proofErr w:type="gramStart"/>
      <w:r w:rsidRPr="004E5635">
        <w:rPr>
          <w:rFonts w:asciiTheme="minorEastAsia" w:eastAsiaTheme="minorEastAsia" w:hAnsiTheme="minorEastAsia" w:hint="eastAsia"/>
          <w:color w:val="000000"/>
          <w:sz w:val="18"/>
          <w:szCs w:val="18"/>
          <w:shd w:val="clear" w:color="auto" w:fill="FFFFFF"/>
        </w:rPr>
        <w:t>嘉信瑞税务</w:t>
      </w:r>
      <w:proofErr w:type="gramEnd"/>
      <w:r w:rsidRPr="004E5635">
        <w:rPr>
          <w:rFonts w:asciiTheme="minorEastAsia" w:eastAsiaTheme="minorEastAsia" w:hAnsiTheme="minorEastAsia" w:hint="eastAsia"/>
          <w:color w:val="000000"/>
          <w:sz w:val="18"/>
          <w:szCs w:val="18"/>
          <w:shd w:val="clear" w:color="auto" w:fill="FFFFFF"/>
        </w:rPr>
        <w:t>师事务所有限公司总经理，海化税务师事务所有限公司深圳分公司副总经理等职。2015年12月至今，担任立信德豪税务师事务所（深圳）有限公司执行董事、总经理。2023年7月至今，担任立信税务师事务所有限公司董事。兼任深圳市注册税务师协会第三届、四届常务理事、专业委员会主任委员。</w:t>
      </w:r>
      <w:r w:rsidRPr="004E5635">
        <w:rPr>
          <w:rFonts w:asciiTheme="minorEastAsia" w:eastAsiaTheme="minorEastAsia" w:hAnsiTheme="minorEastAsia" w:hint="eastAsia"/>
          <w:sz w:val="18"/>
          <w:szCs w:val="18"/>
        </w:rPr>
        <w:t>2023年10月至今担任公司独立董事。</w:t>
      </w:r>
    </w:p>
    <w:p w:rsidR="000F627F" w:rsidRPr="004E5635" w:rsidRDefault="000F627F">
      <w:pPr>
        <w:pStyle w:val="a3"/>
        <w:spacing w:before="0" w:beforeAutospacing="0" w:after="0" w:afterAutospacing="0"/>
        <w:ind w:firstLine="482"/>
        <w:divId w:val="37559393"/>
        <w:rPr>
          <w:rFonts w:asciiTheme="minorEastAsia" w:eastAsiaTheme="minorEastAsia" w:hAnsiTheme="minorEastAsia"/>
        </w:rPr>
      </w:pPr>
      <w:r w:rsidRPr="004E5635">
        <w:rPr>
          <w:rFonts w:asciiTheme="minorEastAsia" w:eastAsiaTheme="minorEastAsia" w:hAnsiTheme="minorEastAsia" w:hint="eastAsia"/>
          <w:sz w:val="18"/>
          <w:szCs w:val="18"/>
        </w:rPr>
        <w:t>高卫东先生：中国国籍，1959年9月生，无境外永久居留权，毕业于东华大学，获纺织材料与纺织品设计博士学位。历任江南大学讲师、副教授、教授、院长、副校长。2015年10月至今任中国纺织工程学会副理事长。2018年7月至今担任公司独立董事。</w:t>
      </w:r>
    </w:p>
    <w:p w:rsidR="000F627F" w:rsidRPr="004E5635" w:rsidRDefault="000F627F">
      <w:pPr>
        <w:pStyle w:val="a3"/>
        <w:spacing w:before="0" w:beforeAutospacing="0" w:after="0" w:afterAutospacing="0"/>
        <w:ind w:firstLine="482"/>
        <w:divId w:val="37559393"/>
        <w:rPr>
          <w:rFonts w:asciiTheme="minorEastAsia" w:eastAsiaTheme="minorEastAsia" w:hAnsiTheme="minorEastAsia"/>
        </w:rPr>
      </w:pPr>
      <w:r w:rsidRPr="004E5635">
        <w:rPr>
          <w:rFonts w:asciiTheme="minorEastAsia" w:eastAsiaTheme="minorEastAsia" w:hAnsiTheme="minorEastAsia" w:hint="eastAsia"/>
          <w:sz w:val="18"/>
          <w:szCs w:val="18"/>
        </w:rPr>
        <w:t>黄亚英先生：中国国籍，1962年9月出生,无境外永久居留权，二级法学教授、博士生导师，中国政法大学法学硕士，中国执业律师，现任职公司独立董事。</w:t>
      </w:r>
    </w:p>
    <w:p w:rsidR="000F627F" w:rsidRPr="004E5635" w:rsidRDefault="000F627F">
      <w:pPr>
        <w:pStyle w:val="a3"/>
        <w:spacing w:before="0" w:beforeAutospacing="0" w:after="0" w:afterAutospacing="0"/>
        <w:divId w:val="37559393"/>
        <w:rPr>
          <w:rFonts w:asciiTheme="minorEastAsia" w:eastAsiaTheme="minorEastAsia" w:hAnsiTheme="minorEastAsia"/>
        </w:rPr>
      </w:pPr>
      <w:r w:rsidRPr="004E5635">
        <w:rPr>
          <w:rFonts w:asciiTheme="minorEastAsia" w:eastAsiaTheme="minorEastAsia" w:hAnsiTheme="minorEastAsia" w:hint="eastAsia"/>
          <w:sz w:val="18"/>
          <w:szCs w:val="18"/>
        </w:rPr>
        <w:t xml:space="preserve">　   2、监事会成员：</w:t>
      </w:r>
    </w:p>
    <w:p w:rsidR="000F627F" w:rsidRPr="004E5635" w:rsidRDefault="000F627F">
      <w:pPr>
        <w:pStyle w:val="a3"/>
        <w:spacing w:before="0" w:beforeAutospacing="0" w:after="0" w:afterAutospacing="0"/>
        <w:ind w:firstLine="482"/>
        <w:divId w:val="37559393"/>
        <w:rPr>
          <w:rFonts w:asciiTheme="minorEastAsia" w:eastAsiaTheme="minorEastAsia" w:hAnsiTheme="minorEastAsia"/>
        </w:rPr>
      </w:pPr>
      <w:r w:rsidRPr="004E5635">
        <w:rPr>
          <w:rFonts w:asciiTheme="minorEastAsia" w:eastAsiaTheme="minorEastAsia" w:hAnsiTheme="minorEastAsia" w:hint="eastAsia"/>
          <w:color w:val="000000"/>
          <w:sz w:val="18"/>
          <w:szCs w:val="18"/>
          <w:shd w:val="clear" w:color="auto" w:fill="FFFFFF"/>
        </w:rPr>
        <w:t>张际松先生：男，中国国籍，1954年生，浙江大学EMBA学历。2001年加入华孚控股有限公司，历任浙江华孚集团有限公司副总裁、总裁。2008年12月至2021年12月任公司董事，现任公司监事、监事会主席；</w:t>
      </w:r>
    </w:p>
    <w:p w:rsidR="000F627F" w:rsidRPr="004E5635" w:rsidRDefault="000F627F">
      <w:pPr>
        <w:pStyle w:val="a3"/>
        <w:spacing w:before="0" w:beforeAutospacing="0" w:after="0" w:afterAutospacing="0"/>
        <w:ind w:firstLine="482"/>
        <w:divId w:val="37559393"/>
        <w:rPr>
          <w:rFonts w:asciiTheme="minorEastAsia" w:eastAsiaTheme="minorEastAsia" w:hAnsiTheme="minorEastAsia"/>
        </w:rPr>
      </w:pPr>
      <w:r w:rsidRPr="004E5635">
        <w:rPr>
          <w:rFonts w:asciiTheme="minorEastAsia" w:eastAsiaTheme="minorEastAsia" w:hAnsiTheme="minorEastAsia" w:hint="eastAsia"/>
          <w:sz w:val="18"/>
          <w:szCs w:val="18"/>
        </w:rPr>
        <w:t>宣刚江先生：男，中国国籍，1984年生，专科学历。2006年于金华职业技术学院投资理财专业毕业。2006年6月加入华孚时尚，先后在财务中心、内控中心任职，于2012年任华孚时尚审计中心审计经理，2015年至今历任华孚时尚营运财务部经理、财经管理部副总监、内控中心审计部总监等职。</w:t>
      </w:r>
    </w:p>
    <w:p w:rsidR="000F627F" w:rsidRPr="004E5635" w:rsidRDefault="000F627F">
      <w:pPr>
        <w:pStyle w:val="a3"/>
        <w:spacing w:before="0" w:beforeAutospacing="0" w:after="0" w:afterAutospacing="0"/>
        <w:ind w:firstLine="482"/>
        <w:divId w:val="37559393"/>
        <w:rPr>
          <w:rFonts w:asciiTheme="minorEastAsia" w:eastAsiaTheme="minorEastAsia" w:hAnsiTheme="minorEastAsia"/>
        </w:rPr>
      </w:pPr>
      <w:r w:rsidRPr="004E5635">
        <w:rPr>
          <w:rFonts w:asciiTheme="minorEastAsia" w:eastAsiaTheme="minorEastAsia" w:hAnsiTheme="minorEastAsia" w:hint="eastAsia"/>
          <w:sz w:val="18"/>
          <w:szCs w:val="18"/>
        </w:rPr>
        <w:t>熊旭锋先生：男，中国国籍，1979年生，本科学历，三峡大学工商管理学士学位，高级人力资源管理师，先后在浙江五洲新春集团、浙江美力科技股份有限公司、浙江同星科技股份有限公司、美</w:t>
      </w:r>
      <w:proofErr w:type="gramStart"/>
      <w:r w:rsidRPr="004E5635">
        <w:rPr>
          <w:rFonts w:asciiTheme="minorEastAsia" w:eastAsiaTheme="minorEastAsia" w:hAnsiTheme="minorEastAsia" w:hint="eastAsia"/>
          <w:sz w:val="18"/>
          <w:szCs w:val="18"/>
        </w:rPr>
        <w:t>盛文化</w:t>
      </w:r>
      <w:proofErr w:type="gramEnd"/>
      <w:r w:rsidRPr="004E5635">
        <w:rPr>
          <w:rFonts w:asciiTheme="minorEastAsia" w:eastAsiaTheme="minorEastAsia" w:hAnsiTheme="minorEastAsia" w:hint="eastAsia"/>
          <w:sz w:val="18"/>
          <w:szCs w:val="18"/>
        </w:rPr>
        <w:t>创意股份有限公司工作，2021年6月加入华孚时尚股份有限公司，现任公司社会责任办公室主任。</w:t>
      </w:r>
    </w:p>
    <w:p w:rsidR="000F627F" w:rsidRPr="004E5635" w:rsidRDefault="000F627F">
      <w:pPr>
        <w:pStyle w:val="a3"/>
        <w:spacing w:before="0" w:beforeAutospacing="0" w:after="0" w:afterAutospacing="0"/>
        <w:divId w:val="37559393"/>
        <w:rPr>
          <w:rFonts w:asciiTheme="minorEastAsia" w:eastAsiaTheme="minorEastAsia" w:hAnsiTheme="minorEastAsia"/>
        </w:rPr>
      </w:pPr>
      <w:r w:rsidRPr="004E5635">
        <w:rPr>
          <w:rFonts w:asciiTheme="minorEastAsia" w:eastAsiaTheme="minorEastAsia" w:hAnsiTheme="minorEastAsia" w:hint="eastAsia"/>
          <w:sz w:val="18"/>
          <w:szCs w:val="18"/>
        </w:rPr>
        <w:t>  3、高级管理人员： </w:t>
      </w:r>
    </w:p>
    <w:p w:rsidR="000F627F" w:rsidRPr="004E5635" w:rsidRDefault="000F627F">
      <w:pPr>
        <w:pStyle w:val="a3"/>
        <w:spacing w:before="0" w:beforeAutospacing="0" w:after="0" w:afterAutospacing="0"/>
        <w:divId w:val="37559393"/>
        <w:rPr>
          <w:rFonts w:asciiTheme="minorEastAsia" w:eastAsiaTheme="minorEastAsia" w:hAnsiTheme="minorEastAsia"/>
        </w:rPr>
      </w:pPr>
      <w:r w:rsidRPr="004E5635">
        <w:rPr>
          <w:rFonts w:asciiTheme="minorEastAsia" w:eastAsiaTheme="minorEastAsia" w:hAnsiTheme="minorEastAsia" w:hint="eastAsia"/>
          <w:sz w:val="18"/>
          <w:szCs w:val="18"/>
        </w:rPr>
        <w:t>  陈玲芬女士，简历情况详见前述董事介绍。 </w:t>
      </w:r>
    </w:p>
    <w:p w:rsidR="000F627F" w:rsidRPr="004E5635" w:rsidRDefault="000F627F">
      <w:pPr>
        <w:pStyle w:val="a3"/>
        <w:spacing w:before="0" w:beforeAutospacing="0" w:after="0" w:afterAutospacing="0"/>
        <w:divId w:val="37559393"/>
        <w:rPr>
          <w:rFonts w:asciiTheme="minorEastAsia" w:eastAsiaTheme="minorEastAsia" w:hAnsiTheme="minorEastAsia"/>
        </w:rPr>
      </w:pPr>
      <w:r w:rsidRPr="004E5635">
        <w:rPr>
          <w:rFonts w:asciiTheme="minorEastAsia" w:eastAsiaTheme="minorEastAsia" w:hAnsiTheme="minorEastAsia" w:hint="eastAsia"/>
          <w:sz w:val="18"/>
          <w:szCs w:val="18"/>
        </w:rPr>
        <w:t>  张正先生，简历情况详见前述董事介绍。</w:t>
      </w:r>
    </w:p>
    <w:p w:rsidR="000F627F" w:rsidRPr="004E5635" w:rsidRDefault="000F627F">
      <w:pPr>
        <w:pStyle w:val="a3"/>
        <w:spacing w:before="0" w:beforeAutospacing="0" w:after="0" w:afterAutospacing="0"/>
        <w:divId w:val="37559393"/>
        <w:rPr>
          <w:rFonts w:asciiTheme="minorEastAsia" w:eastAsiaTheme="minorEastAsia" w:hAnsiTheme="minorEastAsia"/>
        </w:rPr>
      </w:pPr>
      <w:r w:rsidRPr="004E5635">
        <w:rPr>
          <w:rFonts w:asciiTheme="minorEastAsia" w:eastAsiaTheme="minorEastAsia" w:hAnsiTheme="minorEastAsia" w:hint="eastAsia"/>
          <w:sz w:val="18"/>
          <w:szCs w:val="18"/>
        </w:rPr>
        <w:t>  王国友先生，简历情况详见前述董事介绍。 </w:t>
      </w:r>
    </w:p>
    <w:p w:rsidR="000F627F" w:rsidRPr="004E5635" w:rsidRDefault="000F627F">
      <w:pPr>
        <w:pStyle w:val="a3"/>
        <w:spacing w:before="0" w:beforeAutospacing="0" w:after="0" w:afterAutospacing="0"/>
        <w:divId w:val="37559393"/>
        <w:rPr>
          <w:rFonts w:asciiTheme="minorEastAsia" w:eastAsiaTheme="minorEastAsia" w:hAnsiTheme="minorEastAsia"/>
        </w:rPr>
      </w:pPr>
      <w:r w:rsidRPr="004E5635">
        <w:rPr>
          <w:rFonts w:asciiTheme="minorEastAsia" w:eastAsiaTheme="minorEastAsia" w:hAnsiTheme="minorEastAsia" w:hint="eastAsia"/>
          <w:sz w:val="18"/>
          <w:szCs w:val="18"/>
        </w:rPr>
        <w:t>  程桂松先生，简历情况详见前述董事介绍。</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在股东单位任职情况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7"/>
        <w:gridCol w:w="1762"/>
        <w:gridCol w:w="1842"/>
        <w:gridCol w:w="1843"/>
        <w:gridCol w:w="977"/>
        <w:gridCol w:w="1608"/>
      </w:tblGrid>
      <w:tr w:rsidR="000D58D8" w:rsidTr="004E5635">
        <w:trPr>
          <w:trHeight w:val="240"/>
        </w:trPr>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任职人员姓名</w:t>
            </w:r>
          </w:p>
        </w:tc>
        <w:tc>
          <w:tcPr>
            <w:tcW w:w="176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股东单位名称</w:t>
            </w:r>
          </w:p>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在股东单位担任的职务</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任期起始日期</w:t>
            </w:r>
          </w:p>
        </w:tc>
        <w:tc>
          <w:tcPr>
            <w:tcW w:w="9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任期终止日期</w:t>
            </w:r>
          </w:p>
        </w:tc>
        <w:tc>
          <w:tcPr>
            <w:tcW w:w="160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在股东单位是否领取报酬津贴</w:t>
            </w:r>
          </w:p>
        </w:tc>
      </w:tr>
      <w:tr w:rsidR="000D58D8" w:rsidTr="004E5635">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孙伟挺</w:t>
            </w:r>
          </w:p>
        </w:tc>
        <w:tc>
          <w:tcPr>
            <w:tcW w:w="176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董事、董事长、总经</w:t>
            </w:r>
            <w:r>
              <w:rPr>
                <w:rFonts w:ascii="宋体" w:eastAsia="宋体" w:hAnsi="宋体" w:cs="宋体"/>
                <w:sz w:val="18"/>
                <w:szCs w:val="18"/>
              </w:rPr>
              <w:lastRenderedPageBreak/>
              <w:t>理</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2011年10月15日</w:t>
            </w:r>
          </w:p>
        </w:tc>
        <w:tc>
          <w:tcPr>
            <w:tcW w:w="9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4E5635">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陈玲芬</w:t>
            </w:r>
          </w:p>
        </w:tc>
        <w:tc>
          <w:tcPr>
            <w:tcW w:w="176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2011年10月15日</w:t>
            </w:r>
          </w:p>
        </w:tc>
        <w:tc>
          <w:tcPr>
            <w:tcW w:w="9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4E5635">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张际松</w:t>
            </w:r>
          </w:p>
        </w:tc>
        <w:tc>
          <w:tcPr>
            <w:tcW w:w="176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84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2011年10月15日</w:t>
            </w:r>
          </w:p>
        </w:tc>
        <w:tc>
          <w:tcPr>
            <w:tcW w:w="9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4E5635">
        <w:trPr>
          <w:trHeight w:val="240"/>
        </w:trPr>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在股东单位任职情况的说明</w:t>
            </w:r>
          </w:p>
        </w:tc>
        <w:tc>
          <w:tcPr>
            <w:tcW w:w="8032" w:type="dxa"/>
            <w:gridSpan w:val="5"/>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在其他单位任职情况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公司现任及报告期内离任董事、监事和高级管理人员近三年证券监管机构处罚的情况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77" w:name="_Toc988965"/>
      <w:r>
        <w:rPr>
          <w:rFonts w:ascii="宋体" w:hAnsi="宋体" w:cs="宋体"/>
          <w:b/>
          <w:bCs/>
        </w:rPr>
        <w:t>3、董事、监事、高级管理人员报酬情况</w:t>
      </w:r>
      <w:bookmarkEnd w:id="77"/>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董事、监事、高级管理人员报酬的决策程序、确定依据、实际支付情况</w:t>
      </w:r>
    </w:p>
    <w:p w:rsidR="000F627F" w:rsidRDefault="000F627F">
      <w:pPr>
        <w:pStyle w:val="a3"/>
        <w:spacing w:before="40" w:beforeAutospacing="0" w:after="40" w:afterAutospacing="0"/>
        <w:ind w:firstLine="360"/>
        <w:divId w:val="1172455830"/>
      </w:pPr>
      <w:r>
        <w:rPr>
          <w:rFonts w:hint="eastAsia"/>
          <w:sz w:val="18"/>
          <w:szCs w:val="18"/>
        </w:rPr>
        <w:t>公司董事会薪酬与考核委员会是对董事、监事、高级管理人员进行</w:t>
      </w:r>
      <w:proofErr w:type="gramStart"/>
      <w:r>
        <w:rPr>
          <w:rFonts w:hint="eastAsia"/>
          <w:sz w:val="18"/>
          <w:szCs w:val="18"/>
        </w:rPr>
        <w:t>薪</w:t>
      </w:r>
      <w:proofErr w:type="gramEnd"/>
      <w:r>
        <w:rPr>
          <w:rFonts w:hint="eastAsia"/>
          <w:sz w:val="18"/>
          <w:szCs w:val="18"/>
        </w:rPr>
        <w:t>酬和考核管理的机构，负责具体测算、操作和兑现工作，拟定董事、授薪监事的薪酬方案，报备董事会及监事会。</w:t>
      </w:r>
      <w:proofErr w:type="gramStart"/>
      <w:r>
        <w:rPr>
          <w:rFonts w:hint="eastAsia"/>
          <w:sz w:val="18"/>
          <w:szCs w:val="18"/>
        </w:rPr>
        <w:t>非授薪</w:t>
      </w:r>
      <w:proofErr w:type="gramEnd"/>
      <w:r>
        <w:rPr>
          <w:rFonts w:hint="eastAsia"/>
          <w:sz w:val="18"/>
          <w:szCs w:val="18"/>
        </w:rPr>
        <w:t>监事的薪酬方案由监事会提出、股东大会审议通过后实施。高级管理人员的薪酬方案由董事会薪酬与考核委员会会同经营层拟定，报备董事会。决策程序符合《公司法》、《公司章程》和《董事、监事和高级管理人员薪酬与考核制度》的相关规定。</w:t>
      </w:r>
      <w:r>
        <w:rPr>
          <w:rFonts w:ascii="Times New Roman" w:hAnsi="Times New Roman" w:cs="Times New Roman"/>
          <w:sz w:val="18"/>
          <w:szCs w:val="18"/>
        </w:rPr>
        <w:t> </w:t>
      </w:r>
    </w:p>
    <w:p w:rsidR="000F627F" w:rsidRDefault="000F627F">
      <w:pPr>
        <w:pStyle w:val="a3"/>
        <w:spacing w:before="40" w:beforeAutospacing="0" w:after="40" w:afterAutospacing="0"/>
        <w:ind w:firstLine="360"/>
        <w:divId w:val="1172455830"/>
      </w:pPr>
      <w:r>
        <w:rPr>
          <w:rFonts w:hint="eastAsia"/>
          <w:sz w:val="18"/>
          <w:szCs w:val="18"/>
        </w:rPr>
        <w:t>董事、监事、高级管理人员报酬情况依据年度经营效益、岗位职级等因素综合行业薪酬水平确定，年末对董事、高级管理人员的履职情况和年度实际业绩进行绩效考核，根据考核结果核发年度绩效薪酬。</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公司报告期内董事、监事和高级管理人员报酬情况</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716"/>
        <w:gridCol w:w="709"/>
        <w:gridCol w:w="2706"/>
        <w:gridCol w:w="1377"/>
        <w:gridCol w:w="1377"/>
        <w:gridCol w:w="1377"/>
      </w:tblGrid>
      <w:tr w:rsidR="000D58D8" w:rsidTr="004E5635">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姓名</w:t>
            </w:r>
          </w:p>
        </w:tc>
        <w:tc>
          <w:tcPr>
            <w:tcW w:w="71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性别</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年龄</w:t>
            </w:r>
          </w:p>
        </w:tc>
        <w:tc>
          <w:tcPr>
            <w:tcW w:w="27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职务</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任职状态</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从公司获得的税前报酬总额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是否在公司关联方获取报酬</w:t>
            </w:r>
          </w:p>
        </w:tc>
      </w:tr>
      <w:tr w:rsidR="000D58D8" w:rsidTr="004E563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孙伟挺</w:t>
            </w:r>
          </w:p>
        </w:tc>
        <w:tc>
          <w:tcPr>
            <w:tcW w:w="71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w:t>
            </w:r>
          </w:p>
        </w:tc>
        <w:tc>
          <w:tcPr>
            <w:tcW w:w="27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董事、董事长</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4E563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陈玲芬</w:t>
            </w:r>
          </w:p>
        </w:tc>
        <w:tc>
          <w:tcPr>
            <w:tcW w:w="71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女</w:t>
            </w:r>
          </w:p>
        </w:tc>
        <w:tc>
          <w:tcPr>
            <w:tcW w:w="7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w:t>
            </w:r>
          </w:p>
        </w:tc>
        <w:tc>
          <w:tcPr>
            <w:tcW w:w="27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董事、副董事长、总裁</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4E563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陈翰</w:t>
            </w:r>
          </w:p>
        </w:tc>
        <w:tc>
          <w:tcPr>
            <w:tcW w:w="71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w:t>
            </w:r>
          </w:p>
        </w:tc>
        <w:tc>
          <w:tcPr>
            <w:tcW w:w="27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4E563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程桂松</w:t>
            </w:r>
          </w:p>
        </w:tc>
        <w:tc>
          <w:tcPr>
            <w:tcW w:w="71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w:t>
            </w:r>
          </w:p>
        </w:tc>
        <w:tc>
          <w:tcPr>
            <w:tcW w:w="27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董事、副总裁</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4E563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王国友</w:t>
            </w:r>
          </w:p>
        </w:tc>
        <w:tc>
          <w:tcPr>
            <w:tcW w:w="71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w:t>
            </w:r>
          </w:p>
        </w:tc>
        <w:tc>
          <w:tcPr>
            <w:tcW w:w="27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董事、财务总监</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4E563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张正</w:t>
            </w:r>
          </w:p>
        </w:tc>
        <w:tc>
          <w:tcPr>
            <w:tcW w:w="71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w:t>
            </w:r>
          </w:p>
        </w:tc>
        <w:tc>
          <w:tcPr>
            <w:tcW w:w="27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董事、董事会秘书</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4E563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孔祥云</w:t>
            </w:r>
          </w:p>
        </w:tc>
        <w:tc>
          <w:tcPr>
            <w:tcW w:w="71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w:t>
            </w:r>
          </w:p>
        </w:tc>
        <w:tc>
          <w:tcPr>
            <w:tcW w:w="27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离任</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4E563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刁英峰</w:t>
            </w:r>
          </w:p>
        </w:tc>
        <w:tc>
          <w:tcPr>
            <w:tcW w:w="71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53</w:t>
            </w:r>
          </w:p>
        </w:tc>
        <w:tc>
          <w:tcPr>
            <w:tcW w:w="27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4E563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高卫东</w:t>
            </w:r>
          </w:p>
        </w:tc>
        <w:tc>
          <w:tcPr>
            <w:tcW w:w="71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w:t>
            </w:r>
          </w:p>
        </w:tc>
        <w:tc>
          <w:tcPr>
            <w:tcW w:w="27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4E563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黄亚英</w:t>
            </w:r>
          </w:p>
        </w:tc>
        <w:tc>
          <w:tcPr>
            <w:tcW w:w="71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w:t>
            </w:r>
          </w:p>
        </w:tc>
        <w:tc>
          <w:tcPr>
            <w:tcW w:w="27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4E563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盛永月</w:t>
            </w:r>
          </w:p>
        </w:tc>
        <w:tc>
          <w:tcPr>
            <w:tcW w:w="71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w:t>
            </w:r>
          </w:p>
        </w:tc>
        <w:tc>
          <w:tcPr>
            <w:tcW w:w="27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监事、监事会主席</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离任</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4E563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熊旭锋</w:t>
            </w:r>
          </w:p>
        </w:tc>
        <w:tc>
          <w:tcPr>
            <w:tcW w:w="71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w:t>
            </w:r>
          </w:p>
        </w:tc>
        <w:tc>
          <w:tcPr>
            <w:tcW w:w="27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职工代表监事</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4E563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宣刚江</w:t>
            </w:r>
          </w:p>
        </w:tc>
        <w:tc>
          <w:tcPr>
            <w:tcW w:w="71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w:t>
            </w:r>
          </w:p>
        </w:tc>
        <w:tc>
          <w:tcPr>
            <w:tcW w:w="27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监事</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4E563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张际松</w:t>
            </w:r>
          </w:p>
        </w:tc>
        <w:tc>
          <w:tcPr>
            <w:tcW w:w="71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男</w:t>
            </w:r>
          </w:p>
        </w:tc>
        <w:tc>
          <w:tcPr>
            <w:tcW w:w="70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w:t>
            </w:r>
          </w:p>
        </w:tc>
        <w:tc>
          <w:tcPr>
            <w:tcW w:w="27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监事、监事会主席</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4E5635">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1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7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918</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其他情况说明</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2"/>
        <w:spacing w:before="300" w:after="300" w:line="320" w:lineRule="exact"/>
        <w:rPr>
          <w:rFonts w:ascii="宋体" w:eastAsia="宋体" w:hAnsi="宋体" w:cs="宋体"/>
          <w:b/>
          <w:bCs/>
          <w:sz w:val="24"/>
          <w:szCs w:val="24"/>
        </w:rPr>
      </w:pPr>
      <w:bookmarkStart w:id="78" w:name="_Toc988966"/>
      <w:r>
        <w:rPr>
          <w:rFonts w:ascii="宋体" w:eastAsia="宋体" w:hAnsi="宋体" w:cs="宋体"/>
          <w:b/>
          <w:bCs/>
          <w:sz w:val="24"/>
          <w:szCs w:val="24"/>
        </w:rPr>
        <w:t>六、报告期内董事履行职责的情况</w:t>
      </w:r>
      <w:bookmarkEnd w:id="78"/>
    </w:p>
    <w:p w:rsidR="000D58D8" w:rsidRDefault="000F627F">
      <w:pPr>
        <w:pStyle w:val="3"/>
        <w:spacing w:line="280" w:lineRule="exact"/>
        <w:jc w:val="left"/>
        <w:rPr>
          <w:rFonts w:ascii="宋体" w:hAnsi="宋体" w:cs="宋体"/>
          <w:b/>
          <w:bCs/>
        </w:rPr>
      </w:pPr>
      <w:bookmarkStart w:id="79" w:name="_Toc988967"/>
      <w:r>
        <w:rPr>
          <w:rFonts w:ascii="宋体" w:hAnsi="宋体" w:cs="宋体"/>
          <w:b/>
          <w:bCs/>
        </w:rPr>
        <w:t>1、本报告期董事会情况</w:t>
      </w:r>
      <w:bookmarkEnd w:id="79"/>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51"/>
        <w:gridCol w:w="1843"/>
        <w:gridCol w:w="1701"/>
        <w:gridCol w:w="4144"/>
      </w:tblGrid>
      <w:tr w:rsidR="000D58D8" w:rsidTr="004E5635">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会议届次</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召开日期</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414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会议决议</w:t>
            </w:r>
          </w:p>
        </w:tc>
      </w:tr>
      <w:tr w:rsidR="000D58D8" w:rsidTr="004E5635">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第八届董事会2023年第一次临时会议</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2023年03月17日</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2023年03月18日</w:t>
            </w:r>
          </w:p>
        </w:tc>
        <w:tc>
          <w:tcPr>
            <w:tcW w:w="414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详见公司于2023年3月18日刊登在《证券时报》、《中国证券报》和巨潮资讯网</w:t>
            </w:r>
            <w:r>
              <w:rPr>
                <w:rFonts w:ascii="宋体" w:eastAsia="宋体" w:hAnsi="宋体" w:cs="宋体"/>
                <w:sz w:val="18"/>
                <w:szCs w:val="18"/>
              </w:rPr>
              <w:lastRenderedPageBreak/>
              <w:t>（http://www.cninfo.com.cn）的（第八届董事会2023年第一次临时会议决议公告）。</w:t>
            </w:r>
          </w:p>
        </w:tc>
      </w:tr>
      <w:tr w:rsidR="000D58D8" w:rsidTr="004E5635">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第八届董事会第四次会议</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2023年04月27日</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2023年04月29日</w:t>
            </w:r>
          </w:p>
        </w:tc>
        <w:tc>
          <w:tcPr>
            <w:tcW w:w="414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详见公司于2023年4月29日刊登在《证券时报》、《中国证券报》和巨潮资讯网（http://www.cninfo.com.cn）的（第八届董事会第四次会议决议公告）。</w:t>
            </w:r>
          </w:p>
        </w:tc>
      </w:tr>
      <w:tr w:rsidR="000D58D8" w:rsidTr="004E5635">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第八届董事会2023年第二次临时会议</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2023年07月24日</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2023年07月25日</w:t>
            </w:r>
          </w:p>
        </w:tc>
        <w:tc>
          <w:tcPr>
            <w:tcW w:w="414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详见公司于2023年7月25日刊登在《证券时报》、《中国证券报》和巨潮资讯网（http://www.cninfo.com.cn）的（第八届董事会2023年第二次临时会议决议公告）。</w:t>
            </w:r>
          </w:p>
        </w:tc>
      </w:tr>
      <w:tr w:rsidR="000D58D8" w:rsidTr="004E5635">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第八届董事会第五次会议</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2023年08月28日</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2023年08月30日</w:t>
            </w:r>
          </w:p>
        </w:tc>
        <w:tc>
          <w:tcPr>
            <w:tcW w:w="414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详见公司于2023年8月30日刊登在《证券时报》、《中国证券报》和巨潮资讯网（http://www.cninfo.com.cn）的（第八届董事会第五次会议决议公告）。</w:t>
            </w:r>
          </w:p>
        </w:tc>
      </w:tr>
      <w:tr w:rsidR="000D58D8" w:rsidTr="004E5635">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第八届董事会2023年第三次临时会议</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2023年09月19日</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2023年09月20日</w:t>
            </w:r>
          </w:p>
        </w:tc>
        <w:tc>
          <w:tcPr>
            <w:tcW w:w="414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详见公司于2023年9月20日刊登在《证券时报》、《中国证券报》和巨潮资讯网（http://www.cninfo.com.cn）的（第八届董事会2023年第三次临时会议决议公告）。</w:t>
            </w:r>
          </w:p>
        </w:tc>
      </w:tr>
      <w:tr w:rsidR="000D58D8" w:rsidTr="004E5635">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第八届董事会2023年第四次临时会议</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2023年10月20日</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2023年10月21日</w:t>
            </w:r>
          </w:p>
        </w:tc>
        <w:tc>
          <w:tcPr>
            <w:tcW w:w="414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详见公司于2023年10月21日刊登在《证券时报》、《中国证券报》和巨潮资讯网（http://www.cninfo.com.cn）的（第八届董事会2023年第四次临时会议决议公告）。</w:t>
            </w:r>
          </w:p>
        </w:tc>
      </w:tr>
      <w:tr w:rsidR="000D58D8" w:rsidTr="004E5635">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第八届董事会第六次会议</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2023年10月30日</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2023年10月31日</w:t>
            </w:r>
          </w:p>
        </w:tc>
        <w:tc>
          <w:tcPr>
            <w:tcW w:w="414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详见公司于2023年10月31日刊登在《证券时报》、《中国证券报》和巨潮资讯网（http://www.cninfo.com.cn）的（第八届董事会第六次会议决议公告）。</w:t>
            </w:r>
          </w:p>
        </w:tc>
      </w:tr>
      <w:tr w:rsidR="000D58D8" w:rsidTr="004E5635">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第八届董事会2023年第五次临时会议</w:t>
            </w:r>
          </w:p>
        </w:tc>
        <w:tc>
          <w:tcPr>
            <w:tcW w:w="184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2023年12月06日</w:t>
            </w:r>
          </w:p>
        </w:tc>
        <w:tc>
          <w:tcPr>
            <w:tcW w:w="17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2023年12月07日</w:t>
            </w:r>
          </w:p>
        </w:tc>
        <w:tc>
          <w:tcPr>
            <w:tcW w:w="414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详见公司于2023年12月7日刊登在《证券时报》、《中国证券报》和巨潮资讯网（http://www.cninfo.com.cn）的（第八届董事会2023年第五次临时会议决议公告）。</w:t>
            </w:r>
          </w:p>
        </w:tc>
      </w:tr>
    </w:tbl>
    <w:p w:rsidR="000D58D8" w:rsidRDefault="000F627F">
      <w:pPr>
        <w:pStyle w:val="3"/>
        <w:spacing w:line="280" w:lineRule="exact"/>
        <w:jc w:val="left"/>
        <w:rPr>
          <w:rFonts w:ascii="宋体" w:hAnsi="宋体" w:cs="宋体"/>
          <w:b/>
          <w:bCs/>
        </w:rPr>
      </w:pPr>
      <w:bookmarkStart w:id="80" w:name="_Toc988968"/>
      <w:r>
        <w:rPr>
          <w:rFonts w:ascii="宋体" w:hAnsi="宋体" w:cs="宋体"/>
          <w:b/>
          <w:bCs/>
        </w:rPr>
        <w:t>2、董事出席董事会及股东大会的情况</w:t>
      </w:r>
      <w:bookmarkEnd w:id="80"/>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205"/>
        <w:gridCol w:w="1205"/>
        <w:gridCol w:w="1205"/>
        <w:gridCol w:w="1205"/>
        <w:gridCol w:w="1205"/>
        <w:gridCol w:w="1205"/>
        <w:gridCol w:w="1205"/>
      </w:tblGrid>
      <w:tr w:rsidR="000D58D8">
        <w:trPr>
          <w:trHeight w:val="240"/>
        </w:trPr>
        <w:tc>
          <w:tcPr>
            <w:tcW w:w="9639"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董事出席董事会及股东大会的情况</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董事姓名</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本报告期应参加董事会次数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现场出席董事会次数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以通讯方式参加董事会次数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委托出席董事会次数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缺席董事会次数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是否连续两次未亲自参加董事会会议</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出席股东大会次数</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孙伟挺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陈玲芬</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陈翰</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程桂松</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王国友</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张正</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孔祥云</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刁英峰</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高卫东</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黄亚英</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w:t>
            </w:r>
          </w:p>
        </w:tc>
      </w:tr>
    </w:tbl>
    <w:p w:rsidR="000F627F" w:rsidRPr="004E5635" w:rsidRDefault="000F627F" w:rsidP="004E5635">
      <w:pPr>
        <w:spacing w:before="100" w:after="100" w:line="240" w:lineRule="exact"/>
        <w:rPr>
          <w:rFonts w:ascii="宋体" w:eastAsia="宋体" w:hAnsi="宋体" w:cs="宋体"/>
          <w:sz w:val="18"/>
          <w:szCs w:val="18"/>
        </w:rPr>
      </w:pPr>
      <w:r>
        <w:rPr>
          <w:rFonts w:ascii="宋体" w:eastAsia="宋体" w:hAnsi="宋体" w:cs="宋体"/>
          <w:sz w:val="18"/>
          <w:szCs w:val="18"/>
        </w:rPr>
        <w:t>连续两次未亲自出席董事会的说明</w:t>
      </w:r>
      <w:r w:rsidR="004E5635">
        <w:rPr>
          <w:rFonts w:ascii="宋体" w:eastAsia="宋体" w:hAnsi="宋体" w:cs="宋体" w:hint="eastAsia"/>
          <w:sz w:val="18"/>
          <w:szCs w:val="18"/>
        </w:rPr>
        <w:t>：</w:t>
      </w:r>
      <w:r w:rsidR="004E5635">
        <w:rPr>
          <w:rFonts w:hint="eastAsia"/>
          <w:sz w:val="18"/>
          <w:szCs w:val="18"/>
        </w:rPr>
        <w:t>无</w:t>
      </w:r>
    </w:p>
    <w:p w:rsidR="000D58D8" w:rsidRDefault="000F627F">
      <w:pPr>
        <w:pStyle w:val="3"/>
        <w:spacing w:line="280" w:lineRule="exact"/>
        <w:jc w:val="left"/>
        <w:rPr>
          <w:rFonts w:ascii="宋体" w:hAnsi="宋体" w:cs="宋体"/>
          <w:b/>
          <w:bCs/>
        </w:rPr>
      </w:pPr>
      <w:bookmarkStart w:id="81" w:name="_Toc988969"/>
      <w:r>
        <w:rPr>
          <w:rFonts w:ascii="宋体" w:hAnsi="宋体" w:cs="宋体"/>
          <w:b/>
          <w:bCs/>
        </w:rPr>
        <w:t>3、董事对公司有关事项提出异议的情况</w:t>
      </w:r>
      <w:bookmarkEnd w:id="8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董事对公司有关事项是否提出异议</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报告期内董事对公司有关事项未提出异议。</w:t>
      </w:r>
    </w:p>
    <w:p w:rsidR="000D58D8" w:rsidRDefault="000F627F">
      <w:pPr>
        <w:pStyle w:val="3"/>
        <w:spacing w:line="280" w:lineRule="exact"/>
        <w:jc w:val="left"/>
        <w:rPr>
          <w:rFonts w:ascii="宋体" w:hAnsi="宋体" w:cs="宋体"/>
          <w:b/>
          <w:bCs/>
        </w:rPr>
      </w:pPr>
      <w:bookmarkStart w:id="82" w:name="_Toc988970"/>
      <w:r>
        <w:rPr>
          <w:rFonts w:ascii="宋体" w:hAnsi="宋体" w:cs="宋体"/>
          <w:b/>
          <w:bCs/>
        </w:rPr>
        <w:t>4、董事履行职责的其他说明</w:t>
      </w:r>
      <w:bookmarkEnd w:id="8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董事对公司有关建议是否被采纳</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董事对公司有关建议被采纳或未被采纳的说明</w:t>
      </w:r>
    </w:p>
    <w:p w:rsidR="000F627F" w:rsidRDefault="000F627F">
      <w:pPr>
        <w:pStyle w:val="a3"/>
        <w:spacing w:before="40" w:beforeAutospacing="0" w:after="40" w:afterAutospacing="0"/>
        <w:ind w:firstLine="360"/>
        <w:divId w:val="392243051"/>
      </w:pPr>
      <w:r>
        <w:rPr>
          <w:rFonts w:hint="eastAsia"/>
          <w:sz w:val="18"/>
          <w:szCs w:val="18"/>
        </w:rPr>
        <w:t>报告期内，公司董事严格按照《公司法》、《证券法》、《深圳证券交易所股票上市规则》、《深圳证券交易所上市公司自律监管指引第</w:t>
      </w:r>
      <w:r>
        <w:rPr>
          <w:rFonts w:ascii="Times New Roman" w:hAnsi="Times New Roman" w:cs="Times New Roman"/>
          <w:sz w:val="18"/>
          <w:szCs w:val="18"/>
        </w:rPr>
        <w:t>1</w:t>
      </w:r>
      <w:r>
        <w:rPr>
          <w:rFonts w:hint="eastAsia"/>
          <w:sz w:val="18"/>
          <w:szCs w:val="18"/>
        </w:rPr>
        <w:t>号</w:t>
      </w:r>
      <w:r>
        <w:rPr>
          <w:rFonts w:ascii="Times New Roman" w:hAnsi="Times New Roman" w:cs="Times New Roman"/>
          <w:sz w:val="18"/>
          <w:szCs w:val="18"/>
        </w:rPr>
        <w:t>——</w:t>
      </w:r>
      <w:r>
        <w:rPr>
          <w:rFonts w:hint="eastAsia"/>
          <w:sz w:val="18"/>
          <w:szCs w:val="18"/>
        </w:rPr>
        <w:t>主板上市公司规范运作》、《上市公司独立董事管理办法》《公司章程》及《独立董事工作制度》等法律法规及规章制度的相关规定，忠实勤勉地履行独立董事职责，积极出席报告期内公司召开的相关会议，认真审议董事会各项议案，独立董事对相关事项发表了独立意见。报告期内，公司董事会共召开</w:t>
      </w:r>
      <w:r>
        <w:rPr>
          <w:rFonts w:ascii="Times New Roman" w:hAnsi="Times New Roman" w:cs="Times New Roman"/>
          <w:sz w:val="18"/>
          <w:szCs w:val="18"/>
        </w:rPr>
        <w:t>8</w:t>
      </w:r>
      <w:r>
        <w:rPr>
          <w:rFonts w:hint="eastAsia"/>
          <w:sz w:val="18"/>
          <w:szCs w:val="18"/>
        </w:rPr>
        <w:t>次会议，审议并通过议案共</w:t>
      </w:r>
      <w:r>
        <w:rPr>
          <w:rFonts w:ascii="Times New Roman" w:hAnsi="Times New Roman" w:cs="Times New Roman"/>
          <w:sz w:val="18"/>
          <w:szCs w:val="18"/>
        </w:rPr>
        <w:t>34</w:t>
      </w:r>
      <w:r>
        <w:rPr>
          <w:rFonts w:hint="eastAsia"/>
          <w:sz w:val="18"/>
          <w:szCs w:val="18"/>
        </w:rPr>
        <w:t>项，独立董事发布各项意见（独立意见、事前认可意见、专项说明等）共</w:t>
      </w:r>
      <w:r>
        <w:rPr>
          <w:rFonts w:ascii="Times New Roman" w:hAnsi="Times New Roman" w:cs="Times New Roman"/>
          <w:sz w:val="18"/>
          <w:szCs w:val="18"/>
        </w:rPr>
        <w:t>11</w:t>
      </w:r>
      <w:r>
        <w:rPr>
          <w:rFonts w:hint="eastAsia"/>
          <w:sz w:val="18"/>
          <w:szCs w:val="18"/>
        </w:rPr>
        <w:t>次，在公司的制度完善和日常经营决策等方面提出了专业性建议，并被公司予以采纳，较好的发挥了董事的作用，切实维护了公司和股东特别是中小股东的权益。</w:t>
      </w:r>
    </w:p>
    <w:p w:rsidR="000D58D8" w:rsidRDefault="000F627F">
      <w:pPr>
        <w:pStyle w:val="2"/>
        <w:spacing w:before="300" w:after="300" w:line="320" w:lineRule="exact"/>
        <w:rPr>
          <w:rFonts w:ascii="宋体" w:eastAsia="宋体" w:hAnsi="宋体" w:cs="宋体"/>
          <w:b/>
          <w:bCs/>
          <w:sz w:val="24"/>
          <w:szCs w:val="24"/>
        </w:rPr>
      </w:pPr>
      <w:bookmarkStart w:id="83" w:name="_Toc988971"/>
      <w:r>
        <w:rPr>
          <w:rFonts w:ascii="宋体" w:eastAsia="宋体" w:hAnsi="宋体" w:cs="宋体"/>
          <w:b/>
          <w:bCs/>
          <w:sz w:val="24"/>
          <w:szCs w:val="24"/>
        </w:rPr>
        <w:t>七、董事会下设专门委员会在报告期内的情况</w:t>
      </w:r>
      <w:bookmarkEnd w:id="83"/>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205"/>
        <w:gridCol w:w="1205"/>
        <w:gridCol w:w="1205"/>
        <w:gridCol w:w="1205"/>
        <w:gridCol w:w="1205"/>
        <w:gridCol w:w="1205"/>
        <w:gridCol w:w="1205"/>
      </w:tblGrid>
      <w:tr w:rsidR="000D58D8">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委员会名称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成员情况</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召开会议次数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召开日期</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会议内容</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提出的重要意见和建议</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其他履行职责的情况</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异议事项具体情况（如有）</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董事会审计委员会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孔祥云、陈翰、黄亚英</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2023年03月31日</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审议公司《2023年第一季度内部控制审计工作报告》2023年第一季度内部控制审计工作报告</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审议一致通过</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董事会审计委员会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孔祥云、陈翰、黄亚英</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2023年04月27日</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1、审议公司《2022年年度报告》；</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2、审议公司《2022年度内部控制自我评价报告》；</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3、审议公司《2022年利润分配的议案》；</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4、审议公司《预计2023年度日常关联交易的议案》；</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5、 审议公司《关于2023年使用自有资金进行投资理财</w:t>
            </w:r>
            <w:r>
              <w:rPr>
                <w:rFonts w:ascii="宋体" w:eastAsia="宋体" w:hAnsi="宋体" w:cs="宋体"/>
                <w:sz w:val="18"/>
                <w:szCs w:val="18"/>
              </w:rPr>
              <w:lastRenderedPageBreak/>
              <w:t>的议案》；</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6、审议公司《关于预计2023年度参与期货套保交易事项的议案》；</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7、审议公司《关于续聘2023年度会计师事务所的议案》；</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8、审议公司《2022年度募集资金存放与使用情况专项报告》；</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9、审议公司《2023年第一季度报告》；</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10、审议公司《关于计提资产减值准备的议案》；</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11、审议公司《关于签署上虞时尚总部物业购买框架协议暨关联交易的议案》。</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审议一致通过</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董事会审计委员会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孔祥云、陈翰、黄亚英</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2024年08月28日</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1、审议《2023年半年度报告全文及摘要的议案》；</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2、审议《2023年半年度募集资金存放与使用的情况专项报告》；</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3、审议《2023年半年度内部审计工作报告》</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审议一致通过</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董事会审计委员会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刁英峰、陈翰、黄亚英</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2023年10月30日</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1、审议《2023年三季度报告全文的议案》</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2、审议《关于新增</w:t>
            </w:r>
            <w:r>
              <w:rPr>
                <w:rFonts w:ascii="宋体" w:eastAsia="宋体" w:hAnsi="宋体" w:cs="宋体"/>
                <w:sz w:val="18"/>
                <w:szCs w:val="18"/>
              </w:rPr>
              <w:lastRenderedPageBreak/>
              <w:t>2023年度日常关联交易预计的议案》</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3、审议《2023年第三季度内部审计工作报告》</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审议一致通过</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董事会审计委员会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刁英峰、陈翰、黄亚英</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2023年12月04日</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审议《关于拟变更2023年度会计师事务所的议案》</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审议一致通过</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提名委员会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高卫东、黄亚英、陈玲芬</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2023年09月19日</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审议《关于独立董事任期届满暨补选独立董事的议案》</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审议一致通过</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bl>
    <w:p w:rsidR="000D58D8" w:rsidRDefault="000F627F">
      <w:pPr>
        <w:pStyle w:val="2"/>
        <w:spacing w:before="300" w:after="300" w:line="320" w:lineRule="exact"/>
        <w:rPr>
          <w:rFonts w:ascii="宋体" w:eastAsia="宋体" w:hAnsi="宋体" w:cs="宋体"/>
          <w:b/>
          <w:bCs/>
          <w:sz w:val="24"/>
          <w:szCs w:val="24"/>
        </w:rPr>
      </w:pPr>
      <w:bookmarkStart w:id="84" w:name="_Toc988972"/>
      <w:r>
        <w:rPr>
          <w:rFonts w:ascii="宋体" w:eastAsia="宋体" w:hAnsi="宋体" w:cs="宋体"/>
          <w:b/>
          <w:bCs/>
          <w:sz w:val="24"/>
          <w:szCs w:val="24"/>
        </w:rPr>
        <w:t>八、监事会工作情况</w:t>
      </w:r>
      <w:bookmarkEnd w:id="84"/>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监事会在报告期内的监督活动中发现公司是否存在风险</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监事会对报告期内的监督事项无异议。</w:t>
      </w:r>
    </w:p>
    <w:p w:rsidR="000D58D8" w:rsidRDefault="000F627F">
      <w:pPr>
        <w:pStyle w:val="2"/>
        <w:spacing w:before="300" w:after="300" w:line="320" w:lineRule="exact"/>
        <w:rPr>
          <w:rFonts w:ascii="宋体" w:eastAsia="宋体" w:hAnsi="宋体" w:cs="宋体"/>
          <w:b/>
          <w:bCs/>
          <w:sz w:val="24"/>
          <w:szCs w:val="24"/>
        </w:rPr>
      </w:pPr>
      <w:bookmarkStart w:id="85" w:name="_Toc988973"/>
      <w:r>
        <w:rPr>
          <w:rFonts w:ascii="宋体" w:eastAsia="宋体" w:hAnsi="宋体" w:cs="宋体"/>
          <w:b/>
          <w:bCs/>
          <w:sz w:val="24"/>
          <w:szCs w:val="24"/>
        </w:rPr>
        <w:t>九、公司员工情况</w:t>
      </w:r>
      <w:bookmarkEnd w:id="85"/>
    </w:p>
    <w:p w:rsidR="000D58D8" w:rsidRDefault="000F627F">
      <w:pPr>
        <w:pStyle w:val="3"/>
        <w:spacing w:line="280" w:lineRule="exact"/>
        <w:jc w:val="left"/>
        <w:rPr>
          <w:rFonts w:ascii="宋体" w:hAnsi="宋体" w:cs="宋体"/>
          <w:b/>
          <w:bCs/>
        </w:rPr>
      </w:pPr>
      <w:bookmarkStart w:id="86" w:name="_Toc988974"/>
      <w:r>
        <w:rPr>
          <w:rFonts w:ascii="宋体" w:hAnsi="宋体" w:cs="宋体"/>
          <w:b/>
          <w:bCs/>
        </w:rPr>
        <w:t>1、员工数量、专业构成及教育程度</w:t>
      </w:r>
      <w:bookmarkEnd w:id="86"/>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37"/>
        <w:gridCol w:w="4002"/>
      </w:tblGrid>
      <w:tr w:rsidR="000D58D8" w:rsidTr="004E563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报告期末母公司在职员工的数量（人）</w:t>
            </w:r>
          </w:p>
        </w:tc>
        <w:tc>
          <w:tcPr>
            <w:tcW w:w="40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2,002</w:t>
            </w:r>
          </w:p>
        </w:tc>
      </w:tr>
      <w:tr w:rsidR="000D58D8" w:rsidTr="004E563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报告期末主要子公司在职员工的数量（人）</w:t>
            </w:r>
          </w:p>
        </w:tc>
        <w:tc>
          <w:tcPr>
            <w:tcW w:w="40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11,902</w:t>
            </w:r>
          </w:p>
        </w:tc>
      </w:tr>
      <w:tr w:rsidR="000D58D8" w:rsidTr="004E563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报告期末在职员工的数量合计（人）</w:t>
            </w:r>
          </w:p>
        </w:tc>
        <w:tc>
          <w:tcPr>
            <w:tcW w:w="40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13,904</w:t>
            </w:r>
          </w:p>
        </w:tc>
      </w:tr>
      <w:tr w:rsidR="000D58D8" w:rsidTr="004E563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当期领取薪酬员工总人数（人）</w:t>
            </w:r>
          </w:p>
        </w:tc>
        <w:tc>
          <w:tcPr>
            <w:tcW w:w="40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13,904</w:t>
            </w:r>
          </w:p>
        </w:tc>
      </w:tr>
      <w:tr w:rsidR="000D58D8" w:rsidTr="004E563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母公司及主要子公司需承担费用的离退休职工人数（人）</w:t>
            </w:r>
          </w:p>
        </w:tc>
        <w:tc>
          <w:tcPr>
            <w:tcW w:w="40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960</w:t>
            </w:r>
          </w:p>
        </w:tc>
      </w:tr>
      <w:tr w:rsidR="000D58D8">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专业构成</w:t>
            </w:r>
          </w:p>
        </w:tc>
      </w:tr>
      <w:tr w:rsidR="000D58D8" w:rsidTr="004E563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专业构成类别</w:t>
            </w:r>
          </w:p>
        </w:tc>
        <w:tc>
          <w:tcPr>
            <w:tcW w:w="40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专业构成人数（人）</w:t>
            </w:r>
          </w:p>
        </w:tc>
      </w:tr>
      <w:tr w:rsidR="000D58D8" w:rsidTr="004E563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生产人员</w:t>
            </w:r>
          </w:p>
        </w:tc>
        <w:tc>
          <w:tcPr>
            <w:tcW w:w="40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11,827</w:t>
            </w:r>
          </w:p>
        </w:tc>
      </w:tr>
      <w:tr w:rsidR="000D58D8" w:rsidTr="004E563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销售人员</w:t>
            </w:r>
          </w:p>
        </w:tc>
        <w:tc>
          <w:tcPr>
            <w:tcW w:w="40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320</w:t>
            </w:r>
          </w:p>
        </w:tc>
      </w:tr>
      <w:tr w:rsidR="000D58D8" w:rsidTr="004E563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技术人员</w:t>
            </w:r>
          </w:p>
        </w:tc>
        <w:tc>
          <w:tcPr>
            <w:tcW w:w="40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857</w:t>
            </w:r>
          </w:p>
        </w:tc>
      </w:tr>
      <w:tr w:rsidR="000D58D8" w:rsidTr="004E563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财务人员</w:t>
            </w:r>
          </w:p>
        </w:tc>
        <w:tc>
          <w:tcPr>
            <w:tcW w:w="40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236</w:t>
            </w:r>
          </w:p>
        </w:tc>
      </w:tr>
      <w:tr w:rsidR="000D58D8" w:rsidTr="004E563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行政人员</w:t>
            </w:r>
          </w:p>
        </w:tc>
        <w:tc>
          <w:tcPr>
            <w:tcW w:w="40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664</w:t>
            </w:r>
          </w:p>
        </w:tc>
      </w:tr>
      <w:tr w:rsidR="000D58D8" w:rsidTr="004E563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0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13,904</w:t>
            </w:r>
          </w:p>
        </w:tc>
      </w:tr>
      <w:tr w:rsidR="000D58D8">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教育程度</w:t>
            </w:r>
          </w:p>
        </w:tc>
      </w:tr>
      <w:tr w:rsidR="000D58D8" w:rsidTr="00456E94">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教育程度类别</w:t>
            </w:r>
          </w:p>
        </w:tc>
        <w:tc>
          <w:tcPr>
            <w:tcW w:w="40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数量（人）</w:t>
            </w:r>
          </w:p>
        </w:tc>
      </w:tr>
      <w:tr w:rsidR="000D58D8" w:rsidTr="00456E94">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大专及以上</w:t>
            </w:r>
          </w:p>
        </w:tc>
        <w:tc>
          <w:tcPr>
            <w:tcW w:w="40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1,417</w:t>
            </w:r>
          </w:p>
        </w:tc>
      </w:tr>
      <w:tr w:rsidR="000D58D8" w:rsidTr="00456E94">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中专</w:t>
            </w:r>
          </w:p>
        </w:tc>
        <w:tc>
          <w:tcPr>
            <w:tcW w:w="40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2,009</w:t>
            </w:r>
          </w:p>
        </w:tc>
      </w:tr>
      <w:tr w:rsidR="000D58D8" w:rsidTr="00456E94">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中专以下</w:t>
            </w:r>
          </w:p>
        </w:tc>
        <w:tc>
          <w:tcPr>
            <w:tcW w:w="40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10,478</w:t>
            </w:r>
          </w:p>
        </w:tc>
      </w:tr>
      <w:tr w:rsidR="000D58D8" w:rsidTr="004E563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0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13,904</w:t>
            </w:r>
          </w:p>
        </w:tc>
      </w:tr>
    </w:tbl>
    <w:p w:rsidR="000D58D8" w:rsidRDefault="000F627F">
      <w:pPr>
        <w:pStyle w:val="3"/>
        <w:spacing w:line="280" w:lineRule="exact"/>
        <w:jc w:val="left"/>
        <w:rPr>
          <w:rFonts w:ascii="宋体" w:hAnsi="宋体" w:cs="宋体"/>
          <w:b/>
          <w:bCs/>
        </w:rPr>
      </w:pPr>
      <w:bookmarkStart w:id="87" w:name="_Toc988975"/>
      <w:r>
        <w:rPr>
          <w:rFonts w:ascii="宋体" w:hAnsi="宋体" w:cs="宋体"/>
          <w:b/>
          <w:bCs/>
        </w:rPr>
        <w:lastRenderedPageBreak/>
        <w:t>2、薪酬政策</w:t>
      </w:r>
      <w:bookmarkEnd w:id="87"/>
    </w:p>
    <w:p w:rsidR="000F627F" w:rsidRDefault="000F627F">
      <w:pPr>
        <w:pStyle w:val="a3"/>
        <w:spacing w:before="0" w:beforeAutospacing="0" w:after="0" w:afterAutospacing="0"/>
        <w:ind w:firstLine="360"/>
        <w:divId w:val="1189952279"/>
      </w:pPr>
      <w:r>
        <w:rPr>
          <w:rFonts w:hint="eastAsia"/>
          <w:sz w:val="18"/>
          <w:szCs w:val="18"/>
        </w:rPr>
        <w:t>公司严格按照《中华人民共和国劳动合同法》和相关法律法规的规定，向员工提供具有竞争力的薪酬，通过多种薪酬分配方式留住和吸引优秀人才，为公司发展提供人力资源保障。</w:t>
      </w:r>
    </w:p>
    <w:p w:rsidR="000F627F" w:rsidRDefault="000F627F">
      <w:pPr>
        <w:pStyle w:val="a3"/>
        <w:spacing w:before="0" w:beforeAutospacing="0" w:after="0" w:afterAutospacing="0"/>
        <w:divId w:val="1189952279"/>
        <w:rPr>
          <w:rFonts w:ascii="Calibri" w:hAnsi="Calibri" w:cs="Calibri"/>
          <w:sz w:val="21"/>
          <w:szCs w:val="21"/>
        </w:rPr>
      </w:pPr>
      <w:r>
        <w:rPr>
          <w:rFonts w:ascii="Times New Roman" w:hAnsi="Times New Roman" w:cs="Times New Roman"/>
          <w:sz w:val="18"/>
          <w:szCs w:val="18"/>
        </w:rPr>
        <w:t>2018-2019</w:t>
      </w:r>
      <w:r>
        <w:rPr>
          <w:rFonts w:cs="Calibri" w:hint="eastAsia"/>
          <w:sz w:val="18"/>
          <w:szCs w:val="18"/>
        </w:rPr>
        <w:t>年公司实施第三期员工持股计划，详见公司于</w:t>
      </w:r>
      <w:r>
        <w:rPr>
          <w:rFonts w:ascii="Times New Roman" w:hAnsi="Times New Roman" w:cs="Times New Roman"/>
          <w:sz w:val="18"/>
          <w:szCs w:val="18"/>
        </w:rPr>
        <w:t>2019</w:t>
      </w:r>
      <w:r>
        <w:rPr>
          <w:rFonts w:cs="Calibri" w:hint="eastAsia"/>
          <w:sz w:val="18"/>
          <w:szCs w:val="18"/>
        </w:rPr>
        <w:t>年</w:t>
      </w:r>
      <w:r>
        <w:rPr>
          <w:rFonts w:ascii="Times New Roman" w:hAnsi="Times New Roman" w:cs="Times New Roman"/>
          <w:sz w:val="18"/>
          <w:szCs w:val="18"/>
        </w:rPr>
        <w:t>6</w:t>
      </w:r>
      <w:r>
        <w:rPr>
          <w:rFonts w:cs="Calibri" w:hint="eastAsia"/>
          <w:sz w:val="18"/>
          <w:szCs w:val="18"/>
        </w:rPr>
        <w:t>月</w:t>
      </w:r>
      <w:r>
        <w:rPr>
          <w:rFonts w:ascii="Times New Roman" w:hAnsi="Times New Roman" w:cs="Times New Roman"/>
          <w:sz w:val="18"/>
          <w:szCs w:val="18"/>
        </w:rPr>
        <w:t>18</w:t>
      </w:r>
      <w:r>
        <w:rPr>
          <w:rFonts w:cs="Calibri" w:hint="eastAsia"/>
          <w:sz w:val="18"/>
          <w:szCs w:val="18"/>
        </w:rPr>
        <w:t>日披露在《证券时报》、《中国证券报》及巨潮资讯网（</w:t>
      </w:r>
      <w:r>
        <w:rPr>
          <w:rFonts w:ascii="Times New Roman" w:hAnsi="Times New Roman" w:cs="Times New Roman"/>
          <w:sz w:val="18"/>
          <w:szCs w:val="18"/>
        </w:rPr>
        <w:t>www.cninfo.com.cn</w:t>
      </w:r>
      <w:r>
        <w:rPr>
          <w:rFonts w:cs="Calibri" w:hint="eastAsia"/>
          <w:sz w:val="18"/>
          <w:szCs w:val="18"/>
        </w:rPr>
        <w:t>）上的</w:t>
      </w:r>
      <w:r>
        <w:rPr>
          <w:rFonts w:ascii="Times New Roman" w:hAnsi="Times New Roman" w:cs="Times New Roman"/>
          <w:sz w:val="18"/>
          <w:szCs w:val="18"/>
        </w:rPr>
        <w:t>2019-51</w:t>
      </w:r>
      <w:r>
        <w:rPr>
          <w:rFonts w:cs="Calibri" w:hint="eastAsia"/>
          <w:sz w:val="18"/>
          <w:szCs w:val="18"/>
        </w:rPr>
        <w:t>号公告，该计划目前处于届满终止状态，员工持股计划可充分调动员工积极性和创造性，使其利益与公司长远发展更紧密地结合，防止人才流失，实现企业可持续发展。</w:t>
      </w:r>
    </w:p>
    <w:p w:rsidR="000D58D8" w:rsidRDefault="000F627F">
      <w:pPr>
        <w:pStyle w:val="3"/>
        <w:spacing w:line="280" w:lineRule="exact"/>
        <w:jc w:val="left"/>
        <w:rPr>
          <w:rFonts w:ascii="宋体" w:hAnsi="宋体" w:cs="宋体"/>
          <w:b/>
          <w:bCs/>
        </w:rPr>
      </w:pPr>
      <w:bookmarkStart w:id="88" w:name="_Toc988976"/>
      <w:r>
        <w:rPr>
          <w:rFonts w:ascii="宋体" w:hAnsi="宋体" w:cs="宋体"/>
          <w:b/>
          <w:bCs/>
        </w:rPr>
        <w:t>3、培训计划</w:t>
      </w:r>
      <w:bookmarkEnd w:id="88"/>
    </w:p>
    <w:p w:rsidR="000F627F" w:rsidRDefault="000F627F">
      <w:pPr>
        <w:pStyle w:val="a3"/>
        <w:spacing w:before="0" w:beforeAutospacing="0" w:after="0" w:afterAutospacing="0"/>
        <w:ind w:firstLine="360"/>
        <w:divId w:val="41633031"/>
      </w:pPr>
      <w:r>
        <w:rPr>
          <w:rFonts w:hint="eastAsia"/>
          <w:sz w:val="18"/>
          <w:szCs w:val="18"/>
        </w:rPr>
        <w:t>公司非常重视人才培养和人才梯队建设工作，基于不同岗位的能力要求建立了一套完善的培训体系，使员工充分融入公司文化，同时也充分挖掘员工潜能，培养复合型人才，以实现员工与公司共同发展。</w:t>
      </w:r>
    </w:p>
    <w:p w:rsidR="000F627F" w:rsidRDefault="000F627F">
      <w:pPr>
        <w:pStyle w:val="a3"/>
        <w:spacing w:before="0" w:beforeAutospacing="0" w:after="0" w:afterAutospacing="0"/>
        <w:ind w:firstLine="420"/>
        <w:divId w:val="41633031"/>
        <w:rPr>
          <w:rFonts w:ascii="Calibri" w:hAnsi="Calibri" w:cs="Calibri"/>
          <w:sz w:val="21"/>
          <w:szCs w:val="21"/>
        </w:rPr>
      </w:pPr>
      <w:r>
        <w:rPr>
          <w:rFonts w:cs="Calibri" w:hint="eastAsia"/>
          <w:color w:val="000000"/>
          <w:sz w:val="18"/>
          <w:szCs w:val="18"/>
        </w:rPr>
        <w:t>公司核心价值观之一是“只有专业、敬业、职业、认同的员工才能保持华孚的基业长青”，围绕此条价值观，公司强调培训是员工最大的福利，注重员工成长与职业化发展，为每一位员工尽可能创造更好的成长与发展的机会。</w:t>
      </w:r>
    </w:p>
    <w:p w:rsidR="000F627F" w:rsidRDefault="000F627F">
      <w:pPr>
        <w:pStyle w:val="a3"/>
        <w:spacing w:before="0" w:beforeAutospacing="0" w:after="0" w:afterAutospacing="0"/>
        <w:jc w:val="both"/>
        <w:divId w:val="41633031"/>
        <w:rPr>
          <w:rFonts w:ascii="Calibri" w:hAnsi="Calibri" w:cs="Calibri"/>
          <w:sz w:val="21"/>
          <w:szCs w:val="21"/>
        </w:rPr>
      </w:pPr>
      <w:r>
        <w:rPr>
          <w:rFonts w:ascii="Times New Roman" w:hAnsi="Times New Roman" w:cs="Times New Roman"/>
          <w:sz w:val="18"/>
          <w:szCs w:val="18"/>
        </w:rPr>
        <w:t>2023</w:t>
      </w:r>
      <w:r>
        <w:rPr>
          <w:rFonts w:cs="Calibri" w:hint="eastAsia"/>
          <w:sz w:val="18"/>
          <w:szCs w:val="18"/>
        </w:rPr>
        <w:t>年在岗培训人均学习时长</w:t>
      </w:r>
      <w:r>
        <w:rPr>
          <w:rFonts w:ascii="Times New Roman" w:hAnsi="Times New Roman" w:cs="Times New Roman"/>
          <w:sz w:val="18"/>
          <w:szCs w:val="18"/>
        </w:rPr>
        <w:t>16.86</w:t>
      </w:r>
      <w:r>
        <w:rPr>
          <w:rFonts w:cs="Calibri" w:hint="eastAsia"/>
          <w:sz w:val="18"/>
          <w:szCs w:val="18"/>
        </w:rPr>
        <w:t>小时。其中平台线上学习时长</w:t>
      </w:r>
      <w:r>
        <w:rPr>
          <w:rFonts w:ascii="Times New Roman" w:hAnsi="Times New Roman" w:cs="Times New Roman"/>
          <w:sz w:val="18"/>
          <w:szCs w:val="18"/>
        </w:rPr>
        <w:t>3242.8</w:t>
      </w:r>
      <w:r>
        <w:rPr>
          <w:rFonts w:cs="Calibri" w:hint="eastAsia"/>
          <w:sz w:val="18"/>
          <w:szCs w:val="18"/>
        </w:rPr>
        <w:t>小时，人均时长</w:t>
      </w:r>
      <w:r>
        <w:rPr>
          <w:rFonts w:ascii="Times New Roman" w:hAnsi="Times New Roman" w:cs="Times New Roman"/>
          <w:sz w:val="18"/>
          <w:szCs w:val="18"/>
        </w:rPr>
        <w:t>4.4</w:t>
      </w:r>
      <w:r>
        <w:rPr>
          <w:rFonts w:cs="Calibri" w:hint="eastAsia"/>
          <w:sz w:val="18"/>
          <w:szCs w:val="18"/>
        </w:rPr>
        <w:t>小时，线下学习时长</w:t>
      </w:r>
      <w:r>
        <w:rPr>
          <w:rFonts w:ascii="Times New Roman" w:hAnsi="Times New Roman" w:cs="Times New Roman"/>
          <w:sz w:val="18"/>
          <w:szCs w:val="18"/>
        </w:rPr>
        <w:t>5844</w:t>
      </w:r>
      <w:r>
        <w:rPr>
          <w:rFonts w:cs="Calibri" w:hint="eastAsia"/>
          <w:sz w:val="18"/>
          <w:szCs w:val="18"/>
        </w:rPr>
        <w:t>小时，人均时长</w:t>
      </w:r>
      <w:r>
        <w:rPr>
          <w:rFonts w:ascii="Times New Roman" w:hAnsi="Times New Roman" w:cs="Times New Roman"/>
          <w:sz w:val="18"/>
          <w:szCs w:val="18"/>
        </w:rPr>
        <w:t>12.46</w:t>
      </w:r>
      <w:r>
        <w:rPr>
          <w:rFonts w:cs="Calibri" w:hint="eastAsia"/>
          <w:sz w:val="18"/>
          <w:szCs w:val="18"/>
        </w:rPr>
        <w:t>小时。</w:t>
      </w:r>
    </w:p>
    <w:p w:rsidR="000D58D8" w:rsidRDefault="000F627F">
      <w:pPr>
        <w:pStyle w:val="3"/>
        <w:spacing w:line="280" w:lineRule="exact"/>
        <w:jc w:val="left"/>
        <w:rPr>
          <w:rFonts w:ascii="宋体" w:hAnsi="宋体" w:cs="宋体"/>
          <w:b/>
          <w:bCs/>
        </w:rPr>
      </w:pPr>
      <w:bookmarkStart w:id="89" w:name="_Toc988977"/>
      <w:r>
        <w:rPr>
          <w:rFonts w:ascii="宋体" w:hAnsi="宋体" w:cs="宋体"/>
          <w:b/>
          <w:bCs/>
        </w:rPr>
        <w:t>4、劳务外包情况</w:t>
      </w:r>
      <w:bookmarkEnd w:id="8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2"/>
        <w:spacing w:before="300" w:after="300" w:line="320" w:lineRule="exact"/>
        <w:rPr>
          <w:rFonts w:ascii="宋体" w:eastAsia="宋体" w:hAnsi="宋体" w:cs="宋体"/>
          <w:b/>
          <w:bCs/>
          <w:sz w:val="24"/>
          <w:szCs w:val="24"/>
        </w:rPr>
      </w:pPr>
      <w:bookmarkStart w:id="90" w:name="_Toc988978"/>
      <w:r>
        <w:rPr>
          <w:rFonts w:ascii="宋体" w:eastAsia="宋体" w:hAnsi="宋体" w:cs="宋体"/>
          <w:b/>
          <w:bCs/>
          <w:sz w:val="24"/>
          <w:szCs w:val="24"/>
        </w:rPr>
        <w:t>十、公司利润分配及资本公积金转增股本情况</w:t>
      </w:r>
      <w:bookmarkEnd w:id="90"/>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报告期</w:t>
      </w:r>
      <w:proofErr w:type="gramStart"/>
      <w:r>
        <w:rPr>
          <w:rFonts w:ascii="宋体" w:eastAsia="宋体" w:hAnsi="宋体" w:cs="宋体"/>
          <w:sz w:val="18"/>
          <w:szCs w:val="18"/>
        </w:rPr>
        <w:t>内利润</w:t>
      </w:r>
      <w:proofErr w:type="gramEnd"/>
      <w:r>
        <w:rPr>
          <w:rFonts w:ascii="宋体" w:eastAsia="宋体" w:hAnsi="宋体" w:cs="宋体"/>
          <w:sz w:val="18"/>
          <w:szCs w:val="18"/>
        </w:rPr>
        <w:t>分配政策，特别是现金分红政策的制定、执行或调整情况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公司报告期内</w:t>
      </w:r>
      <w:proofErr w:type="gramStart"/>
      <w:r>
        <w:rPr>
          <w:rFonts w:ascii="宋体" w:eastAsia="宋体" w:hAnsi="宋体" w:cs="宋体"/>
          <w:sz w:val="18"/>
          <w:szCs w:val="18"/>
        </w:rPr>
        <w:t>盈利且母公司</w:t>
      </w:r>
      <w:proofErr w:type="gramEnd"/>
      <w:r>
        <w:rPr>
          <w:rFonts w:ascii="宋体" w:eastAsia="宋体" w:hAnsi="宋体" w:cs="宋体"/>
          <w:sz w:val="18"/>
          <w:szCs w:val="18"/>
        </w:rPr>
        <w:t>可供股东分配利润</w:t>
      </w:r>
      <w:proofErr w:type="gramStart"/>
      <w:r>
        <w:rPr>
          <w:rFonts w:ascii="宋体" w:eastAsia="宋体" w:hAnsi="宋体" w:cs="宋体"/>
          <w:sz w:val="18"/>
          <w:szCs w:val="18"/>
        </w:rPr>
        <w:t>为正但未</w:t>
      </w:r>
      <w:proofErr w:type="gramEnd"/>
      <w:r>
        <w:rPr>
          <w:rFonts w:ascii="宋体" w:eastAsia="宋体" w:hAnsi="宋体" w:cs="宋体"/>
          <w:sz w:val="18"/>
          <w:szCs w:val="18"/>
        </w:rPr>
        <w:t>提出现金红利分配预案</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37"/>
        <w:gridCol w:w="4002"/>
      </w:tblGrid>
      <w:tr w:rsidR="000D58D8" w:rsidTr="00456E94">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w:t>
            </w:r>
            <w:proofErr w:type="gramStart"/>
            <w:r>
              <w:rPr>
                <w:rFonts w:ascii="宋体" w:eastAsia="宋体" w:hAnsi="宋体" w:cs="宋体"/>
                <w:sz w:val="18"/>
                <w:szCs w:val="18"/>
              </w:rPr>
              <w:t>盈利且母公司</w:t>
            </w:r>
            <w:proofErr w:type="gramEnd"/>
            <w:r>
              <w:rPr>
                <w:rFonts w:ascii="宋体" w:eastAsia="宋体" w:hAnsi="宋体" w:cs="宋体"/>
                <w:sz w:val="18"/>
                <w:szCs w:val="18"/>
              </w:rPr>
              <w:t>可供股东分配利润</w:t>
            </w:r>
            <w:proofErr w:type="gramStart"/>
            <w:r>
              <w:rPr>
                <w:rFonts w:ascii="宋体" w:eastAsia="宋体" w:hAnsi="宋体" w:cs="宋体"/>
                <w:sz w:val="18"/>
                <w:szCs w:val="18"/>
              </w:rPr>
              <w:t>为正但未</w:t>
            </w:r>
            <w:proofErr w:type="gramEnd"/>
            <w:r>
              <w:rPr>
                <w:rFonts w:ascii="宋体" w:eastAsia="宋体" w:hAnsi="宋体" w:cs="宋体"/>
                <w:sz w:val="18"/>
                <w:szCs w:val="18"/>
              </w:rPr>
              <w:t>提出现金红利分配预案的原因</w:t>
            </w:r>
          </w:p>
        </w:tc>
        <w:tc>
          <w:tcPr>
            <w:tcW w:w="40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公司未分配利润的用途和使用计划</w:t>
            </w:r>
          </w:p>
        </w:tc>
      </w:tr>
      <w:tr w:rsidR="000D58D8" w:rsidTr="00456E94">
        <w:trPr>
          <w:trHeight w:val="240"/>
        </w:trPr>
        <w:tc>
          <w:tcPr>
            <w:tcW w:w="563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依据《上市公司股份回购规则》（2023年修订）第十八条规定：上市公司以现金为对价，采用要约方式、集中竞价方式回购股份的，视同上市公司现金分红，纳入现金分红的相关比例计算。公司2023年度通过集中竞价方式，使用自有资金人民币100,128,238.70元（不含交易费用）回购公司股份。详见2023年6月19日披露于《证券时报》、《中国证券报》及巨潮资讯网（www.cninfo.com.cn）的《关于2023年回购公司股份方案实施完毕暨股份变动的公告》（2023-34）。</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2、公司于2024年开始建设上虞华尚数</w:t>
            </w:r>
            <w:proofErr w:type="gramStart"/>
            <w:r>
              <w:rPr>
                <w:rFonts w:ascii="宋体" w:eastAsia="宋体" w:hAnsi="宋体" w:cs="宋体"/>
                <w:sz w:val="18"/>
                <w:szCs w:val="18"/>
              </w:rPr>
              <w:t>智中心AIGC智算</w:t>
            </w:r>
            <w:proofErr w:type="gramEnd"/>
            <w:r>
              <w:rPr>
                <w:rFonts w:ascii="宋体" w:eastAsia="宋体" w:hAnsi="宋体" w:cs="宋体"/>
                <w:sz w:val="18"/>
                <w:szCs w:val="18"/>
              </w:rPr>
              <w:t>中心项目和新疆</w:t>
            </w:r>
            <w:r w:rsidR="00456E94" w:rsidRPr="00456E94">
              <w:rPr>
                <w:rFonts w:ascii="宋体" w:eastAsia="宋体" w:hAnsi="宋体" w:cs="宋体" w:hint="eastAsia"/>
                <w:sz w:val="18"/>
                <w:szCs w:val="18"/>
              </w:rPr>
              <w:t>阿克苏城市</w:t>
            </w:r>
            <w:proofErr w:type="gramStart"/>
            <w:r w:rsidR="00456E94" w:rsidRPr="00456E94">
              <w:rPr>
                <w:rFonts w:ascii="宋体" w:eastAsia="宋体" w:hAnsi="宋体" w:cs="宋体" w:hint="eastAsia"/>
                <w:sz w:val="18"/>
                <w:szCs w:val="18"/>
              </w:rPr>
              <w:t>公共算力平台</w:t>
            </w:r>
            <w:proofErr w:type="gramEnd"/>
            <w:r w:rsidR="00456E94" w:rsidRPr="00456E94">
              <w:rPr>
                <w:rFonts w:ascii="宋体" w:eastAsia="宋体" w:hAnsi="宋体" w:cs="宋体" w:hint="eastAsia"/>
                <w:sz w:val="18"/>
                <w:szCs w:val="18"/>
              </w:rPr>
              <w:t>项目</w:t>
            </w:r>
            <w:r>
              <w:rPr>
                <w:rFonts w:ascii="宋体" w:eastAsia="宋体" w:hAnsi="宋体" w:cs="宋体"/>
                <w:sz w:val="18"/>
                <w:szCs w:val="18"/>
              </w:rPr>
              <w:t>，公司在坚持主营业务不动摇的前提下，开辟智能</w:t>
            </w:r>
            <w:proofErr w:type="gramStart"/>
            <w:r>
              <w:rPr>
                <w:rFonts w:ascii="宋体" w:eastAsia="宋体" w:hAnsi="宋体" w:cs="宋体"/>
                <w:sz w:val="18"/>
                <w:szCs w:val="18"/>
              </w:rPr>
              <w:t>算力产业</w:t>
            </w:r>
            <w:proofErr w:type="gramEnd"/>
            <w:r>
              <w:rPr>
                <w:rFonts w:ascii="宋体" w:eastAsia="宋体" w:hAnsi="宋体" w:cs="宋体"/>
                <w:sz w:val="18"/>
                <w:szCs w:val="18"/>
              </w:rPr>
              <w:t>新赛道，以加快公司转型升级步伐。留存未分配利润将用于满足公司经营需要，以保障公司项目建设及稳定发展。</w:t>
            </w:r>
          </w:p>
        </w:tc>
        <w:tc>
          <w:tcPr>
            <w:tcW w:w="40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公司2023年度未分配利润滚存至下一年度，以满足公司业务发展、项目建设需求。未来公司将进一步优化产品结构，提高产品质量，加强成本控制，提升运营效率，同时，加快转型升级步伐。通过以上措施，提高公司盈利能力和投资回报水平。后续，公司将一如既往地重视以现金分红方式对股东进行回报，严格遵守相关法律法规以及《公司章程》的规定，综合考虑与利润分配相关的各种因素，积极履行公司的利润分配政策，与广大投资者共享公司发展的成果。</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本报告期利润分配及资本公积金转增股本情况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公司计划年度</w:t>
      </w:r>
      <w:proofErr w:type="gramStart"/>
      <w:r>
        <w:rPr>
          <w:rFonts w:ascii="宋体" w:eastAsia="宋体" w:hAnsi="宋体" w:cs="宋体"/>
          <w:sz w:val="18"/>
          <w:szCs w:val="18"/>
        </w:rPr>
        <w:t>不</w:t>
      </w:r>
      <w:proofErr w:type="gramEnd"/>
      <w:r>
        <w:rPr>
          <w:rFonts w:ascii="宋体" w:eastAsia="宋体" w:hAnsi="宋体" w:cs="宋体"/>
          <w:sz w:val="18"/>
          <w:szCs w:val="18"/>
        </w:rPr>
        <w:t>派发现金红利，不送红股，不以公积金转增股本。</w:t>
      </w:r>
    </w:p>
    <w:p w:rsidR="000D58D8" w:rsidRDefault="000F627F">
      <w:pPr>
        <w:pStyle w:val="2"/>
        <w:spacing w:before="300" w:after="300" w:line="320" w:lineRule="exact"/>
        <w:rPr>
          <w:rFonts w:ascii="宋体" w:eastAsia="宋体" w:hAnsi="宋体" w:cs="宋体"/>
          <w:b/>
          <w:bCs/>
          <w:sz w:val="24"/>
          <w:szCs w:val="24"/>
        </w:rPr>
      </w:pPr>
      <w:bookmarkStart w:id="91" w:name="_Toc988979"/>
      <w:r>
        <w:rPr>
          <w:rFonts w:ascii="宋体" w:eastAsia="宋体" w:hAnsi="宋体" w:cs="宋体"/>
          <w:b/>
          <w:bCs/>
          <w:sz w:val="24"/>
          <w:szCs w:val="24"/>
        </w:rPr>
        <w:lastRenderedPageBreak/>
        <w:t>十一、公司股权激励计划、员工持股计划或其他员工激励措施的实施情况</w:t>
      </w:r>
      <w:bookmarkEnd w:id="91"/>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pStyle w:val="3"/>
        <w:spacing w:line="280" w:lineRule="exact"/>
        <w:jc w:val="left"/>
        <w:rPr>
          <w:rFonts w:ascii="宋体" w:hAnsi="宋体" w:cs="宋体"/>
          <w:b/>
          <w:bCs/>
        </w:rPr>
      </w:pPr>
      <w:bookmarkStart w:id="92" w:name="_Toc988980"/>
      <w:r>
        <w:rPr>
          <w:rFonts w:ascii="宋体" w:hAnsi="宋体" w:cs="宋体"/>
          <w:b/>
          <w:bCs/>
        </w:rPr>
        <w:t>1、股权激励</w:t>
      </w:r>
      <w:bookmarkEnd w:id="92"/>
    </w:p>
    <w:p w:rsidR="000F627F" w:rsidRPr="00456E94" w:rsidRDefault="000F627F" w:rsidP="00456E94">
      <w:pPr>
        <w:pStyle w:val="a3"/>
        <w:spacing w:before="0" w:beforeAutospacing="0" w:after="0" w:afterAutospacing="0"/>
        <w:ind w:firstLine="360"/>
        <w:jc w:val="both"/>
        <w:divId w:val="873470484"/>
        <w:rPr>
          <w:rFonts w:asciiTheme="minorEastAsia" w:eastAsiaTheme="minorEastAsia" w:hAnsiTheme="minorEastAsia"/>
          <w:sz w:val="18"/>
          <w:szCs w:val="18"/>
        </w:rPr>
      </w:pPr>
      <w:r w:rsidRPr="00456E94">
        <w:rPr>
          <w:rFonts w:asciiTheme="minorEastAsia" w:eastAsiaTheme="minorEastAsia" w:hAnsiTheme="minorEastAsia" w:hint="eastAsia"/>
          <w:color w:val="000000"/>
          <w:sz w:val="18"/>
          <w:szCs w:val="18"/>
        </w:rPr>
        <w:t>1、公司于</w:t>
      </w:r>
      <w:r w:rsidRPr="00456E94">
        <w:rPr>
          <w:rFonts w:asciiTheme="minorEastAsia" w:eastAsiaTheme="minorEastAsia" w:hAnsiTheme="minorEastAsia" w:hint="eastAsia"/>
          <w:sz w:val="18"/>
          <w:szCs w:val="18"/>
        </w:rPr>
        <w:t>2021年1月12日召开第七届董事会2021年第一次临时会议，第七届监事会第十六次会议，审议通过了《关于公司2021年股权激励计划（草案）及其摘要的议案》、《关于公司2021年股权激励计划实施考核管理办法的议案》、《关于提请股东大会授权董事会办理公司2021年股权激励计划相关事宜的议案》，公司监事会及独立董事已对本次股权激励计划发表的相关意见，北京市君泽君（上海）律师事务所就公司本次股权激励事项发表了法律意见书，详情可参见公司于2021年1月13日公告在《证券时报》，《中国证券报》及巨潮资讯网 （http://www.cninfo.com.cn）上的相关公告。</w:t>
      </w:r>
    </w:p>
    <w:p w:rsidR="000F627F" w:rsidRPr="00456E94" w:rsidRDefault="000F627F" w:rsidP="00456E94">
      <w:pPr>
        <w:pStyle w:val="a3"/>
        <w:spacing w:before="0" w:beforeAutospacing="0" w:after="0" w:afterAutospacing="0"/>
        <w:ind w:firstLine="360"/>
        <w:jc w:val="both"/>
        <w:divId w:val="873470484"/>
        <w:rPr>
          <w:rFonts w:asciiTheme="minorEastAsia" w:eastAsiaTheme="minorEastAsia" w:hAnsiTheme="minorEastAsia"/>
          <w:sz w:val="18"/>
          <w:szCs w:val="18"/>
        </w:rPr>
      </w:pPr>
      <w:r w:rsidRPr="00456E94">
        <w:rPr>
          <w:rFonts w:asciiTheme="minorEastAsia" w:eastAsiaTheme="minorEastAsia" w:hAnsiTheme="minorEastAsia" w:hint="eastAsia"/>
          <w:color w:val="000000"/>
          <w:sz w:val="18"/>
          <w:szCs w:val="18"/>
        </w:rPr>
        <w:t>2、公司于</w:t>
      </w:r>
      <w:r w:rsidRPr="00456E94">
        <w:rPr>
          <w:rFonts w:asciiTheme="minorEastAsia" w:eastAsiaTheme="minorEastAsia" w:hAnsiTheme="minorEastAsia" w:hint="eastAsia"/>
          <w:sz w:val="18"/>
          <w:szCs w:val="18"/>
        </w:rPr>
        <w:t>2021年1月23日在《证券时报》，《中国证券报》及巨潮资讯网 （http://www.cninfo.com.cn）公告了《监事会关于2021年股票期权激励对象名单的公示情况说明及核查意见》（2021-06）。公司对本次股权激励计划的激励对象名单进行了公示，公示期为2021年1月12日至2021年1月22日，公示期间公司未收到员工对本激励计划激励对象提出的异议。</w:t>
      </w:r>
    </w:p>
    <w:p w:rsidR="000F627F" w:rsidRPr="00456E94" w:rsidRDefault="000F627F" w:rsidP="00456E94">
      <w:pPr>
        <w:pStyle w:val="a3"/>
        <w:spacing w:before="0" w:beforeAutospacing="0" w:after="0" w:afterAutospacing="0"/>
        <w:ind w:firstLine="360"/>
        <w:jc w:val="both"/>
        <w:divId w:val="873470484"/>
        <w:rPr>
          <w:rFonts w:asciiTheme="minorEastAsia" w:eastAsiaTheme="minorEastAsia" w:hAnsiTheme="minorEastAsia"/>
          <w:sz w:val="18"/>
          <w:szCs w:val="18"/>
        </w:rPr>
      </w:pPr>
      <w:r w:rsidRPr="00456E94">
        <w:rPr>
          <w:rFonts w:asciiTheme="minorEastAsia" w:eastAsiaTheme="minorEastAsia" w:hAnsiTheme="minorEastAsia" w:hint="eastAsia"/>
          <w:color w:val="000000"/>
          <w:sz w:val="18"/>
          <w:szCs w:val="18"/>
        </w:rPr>
        <w:t>3、公司于</w:t>
      </w:r>
      <w:r w:rsidRPr="00456E94">
        <w:rPr>
          <w:rFonts w:asciiTheme="minorEastAsia" w:eastAsiaTheme="minorEastAsia" w:hAnsiTheme="minorEastAsia" w:hint="eastAsia"/>
          <w:sz w:val="18"/>
          <w:szCs w:val="18"/>
        </w:rPr>
        <w:t>2021年1月29日召开2021年第一次临时股东大会，审议通过了《关于公司2021年股权激励计划（草案）及其摘要的议案》、《关于公司2021年股权激励计划实施考核管理办法的议案》、《关于提请股东大会授权董事会办理公司2021年股权激励计划相关事宜的议案》，并在《证券时报》，《中国证券报》及巨潮资讯网（http://www.cninfo.com.cn）公告了《华孚时尚股份有限公司2021年第一次临时股东大会决议公告》（2021-09）及《关于2021年股权激励计划激励对象及内幕信息知情人买卖股票情况自查报告》（2021-08）。</w:t>
      </w:r>
    </w:p>
    <w:p w:rsidR="000F627F" w:rsidRPr="00456E94" w:rsidRDefault="000F627F" w:rsidP="00456E94">
      <w:pPr>
        <w:pStyle w:val="a3"/>
        <w:spacing w:before="0" w:beforeAutospacing="0" w:after="0" w:afterAutospacing="0"/>
        <w:ind w:firstLine="360"/>
        <w:jc w:val="both"/>
        <w:divId w:val="873470484"/>
        <w:rPr>
          <w:rFonts w:asciiTheme="minorEastAsia" w:eastAsiaTheme="minorEastAsia" w:hAnsiTheme="minorEastAsia"/>
          <w:sz w:val="18"/>
          <w:szCs w:val="18"/>
        </w:rPr>
      </w:pPr>
      <w:r w:rsidRPr="00456E94">
        <w:rPr>
          <w:rFonts w:asciiTheme="minorEastAsia" w:eastAsiaTheme="minorEastAsia" w:hAnsiTheme="minorEastAsia" w:hint="eastAsia"/>
          <w:color w:val="000000"/>
          <w:sz w:val="18"/>
          <w:szCs w:val="18"/>
        </w:rPr>
        <w:t>4、公司于</w:t>
      </w:r>
      <w:r w:rsidRPr="00456E94">
        <w:rPr>
          <w:rFonts w:asciiTheme="minorEastAsia" w:eastAsiaTheme="minorEastAsia" w:hAnsiTheme="minorEastAsia" w:hint="eastAsia"/>
          <w:sz w:val="18"/>
          <w:szCs w:val="18"/>
        </w:rPr>
        <w:t>2021年2月2日召开第七届董事会2021年第二次临时会议，审议通过《关于向激励对象授予股票期权的议案》，根据公司《2021年股票期权激励计划（草案）》 的规定和公司2021年第一次临时股东大会的授权，公司董事会确定公司2021年股票期权的首次授予日为2021年2月2日，向178名激励对象授予股票期权4,500万份，占目前公司总股本的2.51%。</w:t>
      </w:r>
    </w:p>
    <w:p w:rsidR="000F627F" w:rsidRPr="00456E94" w:rsidRDefault="000F627F" w:rsidP="00456E94">
      <w:pPr>
        <w:pStyle w:val="a3"/>
        <w:spacing w:before="0" w:beforeAutospacing="0" w:after="0" w:afterAutospacing="0"/>
        <w:ind w:firstLine="360"/>
        <w:jc w:val="both"/>
        <w:divId w:val="873470484"/>
        <w:rPr>
          <w:rFonts w:asciiTheme="minorEastAsia" w:eastAsiaTheme="minorEastAsia" w:hAnsiTheme="minorEastAsia"/>
          <w:sz w:val="18"/>
          <w:szCs w:val="18"/>
        </w:rPr>
      </w:pPr>
      <w:r w:rsidRPr="00456E94">
        <w:rPr>
          <w:rFonts w:asciiTheme="minorEastAsia" w:eastAsiaTheme="minorEastAsia" w:hAnsiTheme="minorEastAsia" w:hint="eastAsia"/>
          <w:color w:val="000000"/>
          <w:sz w:val="18"/>
          <w:szCs w:val="18"/>
        </w:rPr>
        <w:t>5、公司于</w:t>
      </w:r>
      <w:r w:rsidRPr="00456E94">
        <w:rPr>
          <w:rFonts w:asciiTheme="minorEastAsia" w:eastAsiaTheme="minorEastAsia" w:hAnsiTheme="minorEastAsia" w:hint="eastAsia"/>
          <w:sz w:val="18"/>
          <w:szCs w:val="18"/>
        </w:rPr>
        <w:t>2021年11月30日召开第七届董事会2021年第四次临时会议，会议审议通过了《关于调整2021年股票期权行权价格的议案》，根据公司2021年股票期权激励计划的有关规定及公司2021年前三季度利润分配实施情况，公司将2021年股票期权激励计划首次授予股票期权行权价格应由4.41元/股调整为 4.23元/股。</w:t>
      </w:r>
    </w:p>
    <w:p w:rsidR="000F627F" w:rsidRPr="00456E94" w:rsidRDefault="000F627F" w:rsidP="00456E94">
      <w:pPr>
        <w:pStyle w:val="a3"/>
        <w:spacing w:before="0" w:beforeAutospacing="0" w:after="0" w:afterAutospacing="0"/>
        <w:ind w:firstLine="360"/>
        <w:jc w:val="both"/>
        <w:divId w:val="873470484"/>
        <w:rPr>
          <w:rFonts w:asciiTheme="minorEastAsia" w:eastAsiaTheme="minorEastAsia" w:hAnsiTheme="minorEastAsia"/>
          <w:sz w:val="18"/>
          <w:szCs w:val="18"/>
        </w:rPr>
      </w:pPr>
      <w:r w:rsidRPr="00456E94">
        <w:rPr>
          <w:rFonts w:asciiTheme="minorEastAsia" w:eastAsiaTheme="minorEastAsia" w:hAnsiTheme="minorEastAsia" w:hint="eastAsia"/>
          <w:color w:val="000000"/>
          <w:sz w:val="18"/>
          <w:szCs w:val="18"/>
        </w:rPr>
        <w:t>6、公司董事会于</w:t>
      </w:r>
      <w:r w:rsidRPr="00456E94">
        <w:rPr>
          <w:rFonts w:asciiTheme="minorEastAsia" w:eastAsiaTheme="minorEastAsia" w:hAnsiTheme="minorEastAsia" w:hint="eastAsia"/>
          <w:sz w:val="18"/>
          <w:szCs w:val="18"/>
        </w:rPr>
        <w:t>2021年12月24日召开第八届董事会2021年第一次临时会议，审议通过《关于向2021年股权激励计划激励对象授予预留股票期权的议案》，根据公司《2021年股票期权激励计划（草案）》 的规定和公司2021年第一次临时股东大会的授权，公司董事会确定公司2021年股票期权预留部分的授予日为2021年12月24日，向39名激励对象授予股票期权500万份，占目前公司总股本的0.28%，行权价格为4.43元/股。</w:t>
      </w:r>
    </w:p>
    <w:p w:rsidR="000F627F" w:rsidRPr="00456E94" w:rsidRDefault="000F627F" w:rsidP="00456E94">
      <w:pPr>
        <w:pStyle w:val="a3"/>
        <w:spacing w:before="0" w:beforeAutospacing="0" w:after="0" w:afterAutospacing="0"/>
        <w:ind w:firstLineChars="236" w:firstLine="425"/>
        <w:jc w:val="both"/>
        <w:divId w:val="873470484"/>
        <w:rPr>
          <w:rFonts w:asciiTheme="minorEastAsia" w:eastAsiaTheme="minorEastAsia" w:hAnsiTheme="minorEastAsia"/>
          <w:sz w:val="18"/>
          <w:szCs w:val="18"/>
        </w:rPr>
      </w:pPr>
      <w:r w:rsidRPr="00456E94">
        <w:rPr>
          <w:rFonts w:asciiTheme="minorEastAsia" w:eastAsiaTheme="minorEastAsia" w:hAnsiTheme="minorEastAsia" w:hint="eastAsia"/>
          <w:sz w:val="18"/>
          <w:szCs w:val="18"/>
        </w:rPr>
        <w:t>7、公司于2022年1月12日在《证券时报》、《中国证券报》及巨潮资讯网（www.cninfo.com.cn） 公告了《关</w:t>
      </w:r>
      <w:r w:rsidRPr="00456E94">
        <w:rPr>
          <w:rFonts w:asciiTheme="minorEastAsia" w:eastAsiaTheme="minorEastAsia" w:hAnsiTheme="minorEastAsia" w:hint="eastAsia"/>
          <w:color w:val="000000"/>
          <w:sz w:val="18"/>
          <w:szCs w:val="18"/>
        </w:rPr>
        <w:t>于2021年股权激励计划预留股票期权授予登记完成的公告（2022-03）》。</w:t>
      </w:r>
      <w:r w:rsidRPr="00456E94">
        <w:rPr>
          <w:rFonts w:asciiTheme="minorEastAsia" w:eastAsiaTheme="minorEastAsia" w:hAnsiTheme="minorEastAsia" w:hint="eastAsia"/>
          <w:sz w:val="18"/>
          <w:szCs w:val="18"/>
        </w:rPr>
        <w:t> </w:t>
      </w:r>
    </w:p>
    <w:p w:rsidR="000F627F" w:rsidRPr="00456E94" w:rsidRDefault="000F627F" w:rsidP="00456E94">
      <w:pPr>
        <w:pStyle w:val="a3"/>
        <w:spacing w:before="0" w:beforeAutospacing="0" w:after="0" w:afterAutospacing="0"/>
        <w:jc w:val="both"/>
        <w:divId w:val="873470484"/>
        <w:rPr>
          <w:rFonts w:asciiTheme="minorEastAsia" w:eastAsiaTheme="minorEastAsia" w:hAnsiTheme="minorEastAsia"/>
          <w:sz w:val="18"/>
          <w:szCs w:val="18"/>
        </w:rPr>
      </w:pPr>
      <w:r w:rsidRPr="00456E94">
        <w:rPr>
          <w:rFonts w:asciiTheme="minorEastAsia" w:eastAsiaTheme="minorEastAsia" w:hAnsiTheme="minorEastAsia" w:hint="eastAsia"/>
          <w:sz w:val="18"/>
          <w:szCs w:val="18"/>
        </w:rPr>
        <w:t>  8、公司</w:t>
      </w:r>
      <w:r w:rsidRPr="00456E94">
        <w:rPr>
          <w:rFonts w:asciiTheme="minorEastAsia" w:eastAsiaTheme="minorEastAsia" w:hAnsiTheme="minorEastAsia" w:hint="eastAsia"/>
          <w:color w:val="333333"/>
          <w:sz w:val="18"/>
          <w:szCs w:val="18"/>
          <w:shd w:val="clear" w:color="auto" w:fill="FFFFFF"/>
        </w:rPr>
        <w:t>于2022年9月26日召开第八届董事会2022年第四次临时会议，会议审议通过了《关于调整2021年股票期权行权价格的议案》，根据公司2021年股票期权激励计划的有关规定及公司2022年半年度利润分配实施情况，公司董事会决定对2021年股票期权的行权价格进行调整。公司2021年股票期权激励计划首次授予股票期权行权价格由4.23元/股调整为4.05元/股。公司2021年股票期权激励计划预留授予股票期权行权价格由4.43元/股调整为 4.25元/股。</w:t>
      </w:r>
    </w:p>
    <w:p w:rsidR="000F627F" w:rsidRPr="00456E94" w:rsidRDefault="000F627F" w:rsidP="00456E94">
      <w:pPr>
        <w:pStyle w:val="a3"/>
        <w:spacing w:before="0" w:beforeAutospacing="0" w:after="0" w:afterAutospacing="0" w:line="240" w:lineRule="atLeast"/>
        <w:ind w:firstLineChars="200" w:firstLine="360"/>
        <w:divId w:val="873470484"/>
        <w:rPr>
          <w:rFonts w:asciiTheme="minorEastAsia" w:eastAsiaTheme="minorEastAsia" w:hAnsiTheme="minorEastAsia" w:cs="Calibri"/>
          <w:sz w:val="18"/>
          <w:szCs w:val="18"/>
        </w:rPr>
      </w:pPr>
      <w:r w:rsidRPr="00456E94">
        <w:rPr>
          <w:rFonts w:asciiTheme="minorEastAsia" w:eastAsiaTheme="minorEastAsia" w:hAnsiTheme="minorEastAsia" w:cs="Calibri" w:hint="eastAsia"/>
          <w:sz w:val="18"/>
          <w:szCs w:val="18"/>
        </w:rPr>
        <w:t>9、公司于2023年9月19日召开第八届董事会2023年第三次临时会议，会议</w:t>
      </w:r>
      <w:r w:rsidRPr="00456E94">
        <w:rPr>
          <w:rFonts w:asciiTheme="minorEastAsia" w:eastAsiaTheme="minorEastAsia" w:hAnsiTheme="minorEastAsia" w:cs="Calibri" w:hint="eastAsia"/>
          <w:color w:val="333333"/>
          <w:sz w:val="18"/>
          <w:szCs w:val="18"/>
          <w:shd w:val="clear" w:color="auto" w:fill="FFFFFF"/>
        </w:rPr>
        <w:t>审议通过了《关于拟终止实施2021年股票期权激励计划并注销股票期权的议案》，鉴于内外部市场环境发生变化，股权激励计划的行权条件已不具备，本次股权激励计划无法继续实施。该议案并经2023年10月9日召开的公司2023年第一次临时股东大会审议通过。</w:t>
      </w:r>
    </w:p>
    <w:p w:rsidR="000F627F" w:rsidRPr="00456E94" w:rsidRDefault="000F627F" w:rsidP="00456E94">
      <w:pPr>
        <w:pStyle w:val="a3"/>
        <w:spacing w:before="0" w:beforeAutospacing="0" w:after="0" w:afterAutospacing="0" w:line="240" w:lineRule="atLeast"/>
        <w:ind w:firstLineChars="200" w:firstLine="360"/>
        <w:divId w:val="873470484"/>
        <w:rPr>
          <w:rFonts w:asciiTheme="minorEastAsia" w:eastAsiaTheme="minorEastAsia" w:hAnsiTheme="minorEastAsia" w:cs="Calibri"/>
          <w:sz w:val="18"/>
          <w:szCs w:val="18"/>
        </w:rPr>
      </w:pPr>
      <w:r w:rsidRPr="00456E94">
        <w:rPr>
          <w:rFonts w:asciiTheme="minorEastAsia" w:eastAsiaTheme="minorEastAsia" w:hAnsiTheme="minorEastAsia" w:cs="Calibri" w:hint="eastAsia"/>
          <w:color w:val="333333"/>
          <w:sz w:val="18"/>
          <w:szCs w:val="18"/>
          <w:shd w:val="clear" w:color="auto" w:fill="FFFFFF"/>
        </w:rPr>
        <w:t>10、公司于2023年10月13日办理完股票期权注销事宜，共注销公司已授予但尚未行权的股票期权5,000万份，详见公司于2023年10月14日在《证券时报》、《中国证券报》及巨潮资讯网（</w:t>
      </w:r>
      <w:r w:rsidRPr="00456E94">
        <w:rPr>
          <w:rFonts w:asciiTheme="minorEastAsia" w:eastAsiaTheme="minorEastAsia" w:hAnsiTheme="minorEastAsia" w:cs="Calibri" w:hint="eastAsia"/>
          <w:sz w:val="18"/>
          <w:szCs w:val="18"/>
          <w:shd w:val="clear" w:color="auto" w:fill="FFFFFF"/>
        </w:rPr>
        <w:t>www.cninfo.com.cn</w:t>
      </w:r>
      <w:r w:rsidRPr="00456E94">
        <w:rPr>
          <w:rFonts w:asciiTheme="minorEastAsia" w:eastAsiaTheme="minorEastAsia" w:hAnsiTheme="minorEastAsia" w:cs="Calibri" w:hint="eastAsia"/>
          <w:color w:val="333333"/>
          <w:sz w:val="18"/>
          <w:szCs w:val="18"/>
          <w:shd w:val="clear" w:color="auto" w:fill="FFFFFF"/>
        </w:rPr>
        <w:t>） 公告的《关</w:t>
      </w:r>
      <w:r w:rsidRPr="00456E94">
        <w:rPr>
          <w:rFonts w:asciiTheme="minorEastAsia" w:eastAsiaTheme="minorEastAsia" w:hAnsiTheme="minorEastAsia" w:cs="Calibri" w:hint="eastAsia"/>
          <w:color w:val="000000"/>
          <w:sz w:val="18"/>
          <w:szCs w:val="18"/>
          <w:shd w:val="clear" w:color="auto" w:fill="FFFFFF"/>
        </w:rPr>
        <w:t>于股票期权注销完成的公告》（2023-54）。</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公司董事、高级管理人员获得的股权激励情况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sym w:font="Wingdings 2" w:char="F052"/>
      </w:r>
      <w:r>
        <w:rPr>
          <w:rFonts w:ascii="宋体" w:eastAsia="宋体" w:hAnsi="宋体" w:cs="宋体"/>
          <w:sz w:val="18"/>
          <w:szCs w:val="18"/>
        </w:rPr>
        <w:t>适用 □不适用</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9"/>
        <w:gridCol w:w="689"/>
        <w:gridCol w:w="689"/>
        <w:gridCol w:w="689"/>
        <w:gridCol w:w="689"/>
        <w:gridCol w:w="689"/>
        <w:gridCol w:w="689"/>
        <w:gridCol w:w="688"/>
        <w:gridCol w:w="688"/>
        <w:gridCol w:w="688"/>
        <w:gridCol w:w="688"/>
        <w:gridCol w:w="688"/>
        <w:gridCol w:w="688"/>
        <w:gridCol w:w="688"/>
      </w:tblGrid>
      <w:tr w:rsidR="000D58D8">
        <w:trPr>
          <w:trHeight w:val="240"/>
        </w:trPr>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姓名</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职务</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年初持有股票期权数量</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报告期新授予股票期权数量</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报告期内可行权股数</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报告期内已行权股数</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报告期内已行权股数行权价格（元/股）</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期末持有股票期权数量</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报告期末市价（元/股）</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期初持有限制性股票数量</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本期已解锁股份数量</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报告期新授予限制性股票数量</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限制性股票的授予价格（元/股）</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期末持有限制性股票数量</w:t>
            </w:r>
          </w:p>
        </w:tc>
      </w:tr>
      <w:tr w:rsidR="000D58D8">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程桂松</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董事、副总裁</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1,400,000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张正</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董事、董事会秘书</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1,400,000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王国友</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董事、财务总监</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900,000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朱翠云</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首席技术官</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800,000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trPr>
          <w:trHeight w:val="240"/>
        </w:trPr>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4,500,000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trPr>
          <w:trHeight w:val="240"/>
        </w:trPr>
        <w:tc>
          <w:tcPr>
            <w:tcW w:w="137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备注（如有）</w:t>
            </w:r>
          </w:p>
        </w:tc>
        <w:tc>
          <w:tcPr>
            <w:tcW w:w="8262" w:type="dxa"/>
            <w:gridSpan w:val="1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经第八届董事会2023年第三次临时会议和公司2023年第一次临时股东大会审议通过《关于拟终止实施2021年股票期权激励计划并注销股票期权的议案》，鉴于内外部市场环境发生变化，股权激励计划的行权条件已不具备，本次股权激励计划无法继续实施。2023年10月13日，公司办理完股票期权注销事宜，共注销公司已授予但尚未行权的股票期权5,000万份。</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高级管理人员的考评机制及激励情况</w:t>
      </w:r>
    </w:p>
    <w:p w:rsidR="000F627F" w:rsidRDefault="000F627F" w:rsidP="00456E94">
      <w:pPr>
        <w:pStyle w:val="a3"/>
        <w:spacing w:before="0" w:beforeAutospacing="0" w:after="0" w:afterAutospacing="0"/>
        <w:ind w:firstLineChars="200" w:firstLine="360"/>
        <w:jc w:val="both"/>
        <w:divId w:val="2008556686"/>
        <w:rPr>
          <w:rFonts w:ascii="Calibri" w:hAnsi="Calibri" w:cs="Calibri"/>
          <w:sz w:val="21"/>
          <w:szCs w:val="21"/>
        </w:rPr>
      </w:pPr>
      <w:r>
        <w:rPr>
          <w:rFonts w:cs="Calibri" w:hint="eastAsia"/>
          <w:sz w:val="18"/>
          <w:szCs w:val="18"/>
        </w:rPr>
        <w:t>高级管理人员作为激励对象，个人层面考核按照公司相关规定组织实施。在公司层面业绩考核达标的情况下，激励对象当年实际可行权的股票期权额度与其上年度绩效考核结果相关，激励对象只有在上一年度绩效考核满足条件，才能根据考核评分结果全额或部分行权。详见公司于</w:t>
      </w:r>
      <w:r>
        <w:rPr>
          <w:rFonts w:ascii="Times New Roman" w:hAnsi="Times New Roman" w:cs="Times New Roman"/>
          <w:sz w:val="18"/>
          <w:szCs w:val="18"/>
        </w:rPr>
        <w:t>2021</w:t>
      </w:r>
      <w:r>
        <w:rPr>
          <w:rFonts w:cs="Calibri" w:hint="eastAsia"/>
          <w:sz w:val="18"/>
          <w:szCs w:val="18"/>
        </w:rPr>
        <w:t>年</w:t>
      </w:r>
      <w:r>
        <w:rPr>
          <w:rFonts w:ascii="Times New Roman" w:hAnsi="Times New Roman" w:cs="Times New Roman"/>
          <w:sz w:val="18"/>
          <w:szCs w:val="18"/>
        </w:rPr>
        <w:t>1</w:t>
      </w:r>
      <w:r>
        <w:rPr>
          <w:rFonts w:cs="Calibri" w:hint="eastAsia"/>
          <w:sz w:val="18"/>
          <w:szCs w:val="18"/>
        </w:rPr>
        <w:t>月</w:t>
      </w:r>
      <w:r>
        <w:rPr>
          <w:rFonts w:ascii="Times New Roman" w:hAnsi="Times New Roman" w:cs="Times New Roman"/>
          <w:sz w:val="18"/>
          <w:szCs w:val="18"/>
        </w:rPr>
        <w:t>13</w:t>
      </w:r>
      <w:r>
        <w:rPr>
          <w:rFonts w:cs="Calibri" w:hint="eastAsia"/>
          <w:sz w:val="18"/>
          <w:szCs w:val="18"/>
        </w:rPr>
        <w:t>日披露在巨潮资讯网</w:t>
      </w:r>
      <w:r>
        <w:rPr>
          <w:rFonts w:ascii="Times New Roman" w:hAnsi="Times New Roman" w:cs="Times New Roman"/>
          <w:sz w:val="18"/>
          <w:szCs w:val="18"/>
        </w:rPr>
        <w:t> </w:t>
      </w:r>
      <w:r>
        <w:rPr>
          <w:rFonts w:cs="Calibri" w:hint="eastAsia"/>
          <w:sz w:val="18"/>
          <w:szCs w:val="18"/>
        </w:rPr>
        <w:t>（</w:t>
      </w:r>
      <w:r>
        <w:rPr>
          <w:rFonts w:ascii="Times New Roman" w:hAnsi="Times New Roman" w:cs="Times New Roman"/>
          <w:sz w:val="18"/>
          <w:szCs w:val="18"/>
        </w:rPr>
        <w:t>http://www.cninfo.com.cn</w:t>
      </w:r>
      <w:r>
        <w:rPr>
          <w:rFonts w:cs="Calibri" w:hint="eastAsia"/>
          <w:sz w:val="18"/>
          <w:szCs w:val="18"/>
        </w:rPr>
        <w:t>）上的《</w:t>
      </w:r>
      <w:r>
        <w:rPr>
          <w:rFonts w:ascii="Times New Roman" w:hAnsi="Times New Roman" w:cs="Times New Roman"/>
          <w:sz w:val="18"/>
          <w:szCs w:val="18"/>
        </w:rPr>
        <w:t>2021</w:t>
      </w:r>
      <w:r>
        <w:rPr>
          <w:rFonts w:cs="Calibri" w:hint="eastAsia"/>
          <w:sz w:val="18"/>
          <w:szCs w:val="18"/>
        </w:rPr>
        <w:t>年股权激励计划实施考核管理办法》</w:t>
      </w:r>
    </w:p>
    <w:p w:rsidR="000D58D8" w:rsidRDefault="000F627F">
      <w:pPr>
        <w:pStyle w:val="3"/>
        <w:spacing w:line="280" w:lineRule="exact"/>
        <w:jc w:val="left"/>
        <w:rPr>
          <w:rFonts w:ascii="宋体" w:hAnsi="宋体" w:cs="宋体"/>
          <w:b/>
          <w:bCs/>
        </w:rPr>
      </w:pPr>
      <w:bookmarkStart w:id="93" w:name="_Toc988981"/>
      <w:r>
        <w:rPr>
          <w:rFonts w:ascii="宋体" w:hAnsi="宋体" w:cs="宋体"/>
          <w:b/>
          <w:bCs/>
        </w:rPr>
        <w:t>2、员工持股计划的实施情况</w:t>
      </w:r>
      <w:bookmarkEnd w:id="9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94" w:name="_Toc988982"/>
      <w:r>
        <w:rPr>
          <w:rFonts w:ascii="宋体" w:hAnsi="宋体" w:cs="宋体"/>
          <w:b/>
          <w:bCs/>
        </w:rPr>
        <w:t>3、其他员工激励措施</w:t>
      </w:r>
      <w:bookmarkEnd w:id="94"/>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2"/>
        <w:spacing w:before="300" w:after="300" w:line="320" w:lineRule="exact"/>
        <w:rPr>
          <w:rFonts w:ascii="宋体" w:eastAsia="宋体" w:hAnsi="宋体" w:cs="宋体"/>
          <w:b/>
          <w:bCs/>
          <w:sz w:val="24"/>
          <w:szCs w:val="24"/>
        </w:rPr>
      </w:pPr>
      <w:bookmarkStart w:id="95" w:name="_Toc988983"/>
      <w:r>
        <w:rPr>
          <w:rFonts w:ascii="宋体" w:eastAsia="宋体" w:hAnsi="宋体" w:cs="宋体"/>
          <w:b/>
          <w:bCs/>
          <w:sz w:val="24"/>
          <w:szCs w:val="24"/>
        </w:rPr>
        <w:lastRenderedPageBreak/>
        <w:t>十二、报告期内的内部控制制度建设及实施情况</w:t>
      </w:r>
      <w:bookmarkEnd w:id="95"/>
    </w:p>
    <w:p w:rsidR="000D58D8" w:rsidRDefault="000F627F">
      <w:pPr>
        <w:pStyle w:val="3"/>
        <w:spacing w:line="280" w:lineRule="exact"/>
        <w:jc w:val="left"/>
        <w:rPr>
          <w:rFonts w:ascii="宋体" w:hAnsi="宋体" w:cs="宋体"/>
          <w:b/>
          <w:bCs/>
        </w:rPr>
      </w:pPr>
      <w:bookmarkStart w:id="96" w:name="_Toc988984"/>
      <w:r>
        <w:rPr>
          <w:rFonts w:ascii="宋体" w:hAnsi="宋体" w:cs="宋体"/>
          <w:b/>
          <w:bCs/>
        </w:rPr>
        <w:t>1、内部控制建设及实施情况</w:t>
      </w:r>
      <w:bookmarkEnd w:id="96"/>
    </w:p>
    <w:p w:rsidR="000F627F" w:rsidRDefault="000F627F">
      <w:pPr>
        <w:pStyle w:val="a3"/>
        <w:spacing w:before="0" w:beforeAutospacing="0" w:after="0" w:afterAutospacing="0"/>
        <w:ind w:firstLine="360"/>
        <w:jc w:val="both"/>
        <w:divId w:val="1975524444"/>
      </w:pPr>
      <w:r>
        <w:rPr>
          <w:rFonts w:hint="eastAsia"/>
          <w:sz w:val="18"/>
          <w:szCs w:val="18"/>
        </w:rPr>
        <w:t>报告期内，公司形成较完备的内部控制制度体系，内容涵盖资金活动、采购业务、资产管理、销售业务、研究开发、工程项目、担保业务、关联方及其交易、法律事务、财务报告、预算管理、合同管理、内部信息传递、信息系统等多个领域，公司持续完善内部控制制度建设，强化内部审计监督，提高内部审计工作的深度和广度，确保内部控制制度得到有效执行，切实提升公司规范运作水平，促进公司健康可持续发展。报告期内，公司内部控制制度设计健全、合理，内部控制执行基本有效，不存在重大遗漏。</w:t>
      </w:r>
    </w:p>
    <w:p w:rsidR="000D58D8" w:rsidRDefault="000F627F">
      <w:pPr>
        <w:pStyle w:val="3"/>
        <w:spacing w:line="280" w:lineRule="exact"/>
        <w:jc w:val="left"/>
        <w:rPr>
          <w:rFonts w:ascii="宋体" w:hAnsi="宋体" w:cs="宋体"/>
          <w:b/>
          <w:bCs/>
        </w:rPr>
      </w:pPr>
      <w:bookmarkStart w:id="97" w:name="_Toc988985"/>
      <w:r>
        <w:rPr>
          <w:rFonts w:ascii="宋体" w:hAnsi="宋体" w:cs="宋体"/>
          <w:b/>
          <w:bCs/>
        </w:rPr>
        <w:t>2、报告期内发现的内部控制重大缺陷的具体情况</w:t>
      </w:r>
      <w:bookmarkEnd w:id="97"/>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pStyle w:val="2"/>
        <w:spacing w:before="300" w:after="300" w:line="320" w:lineRule="exact"/>
        <w:rPr>
          <w:rFonts w:ascii="宋体" w:eastAsia="宋体" w:hAnsi="宋体" w:cs="宋体"/>
          <w:b/>
          <w:bCs/>
          <w:sz w:val="24"/>
          <w:szCs w:val="24"/>
        </w:rPr>
      </w:pPr>
      <w:bookmarkStart w:id="98" w:name="_Toc988986"/>
      <w:r>
        <w:rPr>
          <w:rFonts w:ascii="宋体" w:eastAsia="宋体" w:hAnsi="宋体" w:cs="宋体"/>
          <w:b/>
          <w:bCs/>
          <w:sz w:val="24"/>
          <w:szCs w:val="24"/>
        </w:rPr>
        <w:t>十三、公司报告期内对子公司的管理控制情况</w:t>
      </w:r>
      <w:bookmarkEnd w:id="98"/>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公司名称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整合计划</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整合进展</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整合中遇到的问题</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已采取的解决措施</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解决进展</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后续解决计划</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bl>
    <w:p w:rsidR="000D58D8" w:rsidRDefault="000F627F">
      <w:pPr>
        <w:pStyle w:val="2"/>
        <w:spacing w:before="300" w:after="300" w:line="320" w:lineRule="exact"/>
        <w:rPr>
          <w:rFonts w:ascii="宋体" w:eastAsia="宋体" w:hAnsi="宋体" w:cs="宋体"/>
          <w:b/>
          <w:bCs/>
          <w:sz w:val="24"/>
          <w:szCs w:val="24"/>
        </w:rPr>
      </w:pPr>
      <w:bookmarkStart w:id="99" w:name="_Toc988987"/>
      <w:r>
        <w:rPr>
          <w:rFonts w:ascii="宋体" w:eastAsia="宋体" w:hAnsi="宋体" w:cs="宋体"/>
          <w:b/>
          <w:bCs/>
          <w:sz w:val="24"/>
          <w:szCs w:val="24"/>
        </w:rPr>
        <w:t>十四、内部控制评价报告或内部控制审计报告</w:t>
      </w:r>
      <w:bookmarkEnd w:id="99"/>
    </w:p>
    <w:p w:rsidR="000D58D8" w:rsidRDefault="000F627F">
      <w:pPr>
        <w:pStyle w:val="3"/>
        <w:spacing w:line="280" w:lineRule="exact"/>
        <w:jc w:val="left"/>
        <w:rPr>
          <w:rFonts w:ascii="宋体" w:hAnsi="宋体" w:cs="宋体"/>
          <w:b/>
          <w:bCs/>
        </w:rPr>
      </w:pPr>
      <w:bookmarkStart w:id="100" w:name="_Toc988988"/>
      <w:r>
        <w:rPr>
          <w:rFonts w:ascii="宋体" w:hAnsi="宋体" w:cs="宋体"/>
          <w:b/>
          <w:bCs/>
        </w:rPr>
        <w:t>1、内控评价报告</w:t>
      </w:r>
      <w:bookmarkEnd w:id="100"/>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内部控制评价报告全文披露日期</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2024年04月27日</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内部控制评价报告全文披露索引</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公司于2024年4月27日披露在巨潮资讯网（www.cninfo.com.cn)的《内部控制评价报告》</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纳入评价范围单位资产总额占公司合并财务报表资产总额的比例</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纳入评价范围单位营业收入占公司合并财务报表营业收入的比例</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0D58D8">
        <w:trPr>
          <w:trHeight w:val="240"/>
        </w:trPr>
        <w:tc>
          <w:tcPr>
            <w:tcW w:w="963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缺陷认定标准</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财务报告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非财务报告</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定性标准</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（1）重大缺陷：单独缺陷或连同其他缺陷导致不能及时防止或发现并纠正财务报告中的重大错报。出现下列情形的，认定为重大缺陷：</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①控制环境无效；</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②董事、监事和高级管理人员舞弊行为；</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③公司更正已经公布的财务报告；</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④外部审计发现当期财务报告存在重大错报，公司在运行过程中未能发现该错报；</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⑤已经发现并报告给管理层的重大缺陷在合理的时间后未加以改正；</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⑥公司审计委员会和内部审计部对内部控制的监督无效；</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⑦其他可能影响报表使用者正确判断的缺陷。</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（2）重要缺陷：单独缺陷或连同其他缺陷导致不能及时防止或发现并纠正财务报告中虽然未达到和超过重要性水平，仍应引起管理层重视的错报。</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（3）一般缺陷：不构成重大缺陷或重要缺陷的其他内部控制缺陷。</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1、重大缺陷：出现以下情形的，认定为重大缺陷，其他情形按影响程度分别确定为重要缺陷或一般缺陷。</w:t>
            </w:r>
          </w:p>
          <w:p w:rsidR="000D58D8" w:rsidRPr="00456E94" w:rsidRDefault="000F627F">
            <w:pPr>
              <w:spacing w:line="240" w:lineRule="exact"/>
              <w:rPr>
                <w:rFonts w:ascii="宋体" w:eastAsia="宋体" w:hAnsi="宋体" w:cs="宋体"/>
                <w:sz w:val="18"/>
                <w:szCs w:val="18"/>
              </w:rPr>
            </w:pPr>
            <w:r>
              <w:rPr>
                <w:rFonts w:ascii="宋体" w:eastAsia="宋体" w:hAnsi="宋体" w:cs="宋体"/>
                <w:sz w:val="18"/>
                <w:szCs w:val="18"/>
              </w:rPr>
              <w:t>(1)违犯国家法律、法规或规范性文件；</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(2)重大决策程序不科学；</w:t>
            </w:r>
          </w:p>
          <w:p w:rsidR="000D58D8" w:rsidRPr="00456E94" w:rsidRDefault="000F627F">
            <w:pPr>
              <w:spacing w:line="240" w:lineRule="exact"/>
              <w:rPr>
                <w:rFonts w:ascii="宋体" w:eastAsia="宋体" w:hAnsi="宋体" w:cs="宋体"/>
                <w:sz w:val="18"/>
                <w:szCs w:val="18"/>
              </w:rPr>
            </w:pPr>
            <w:r>
              <w:rPr>
                <w:rFonts w:ascii="宋体" w:eastAsia="宋体" w:hAnsi="宋体" w:cs="宋体"/>
                <w:sz w:val="18"/>
                <w:szCs w:val="18"/>
              </w:rPr>
              <w:t xml:space="preserve">(3)制度缺失可能导致系统性失效； </w:t>
            </w:r>
          </w:p>
          <w:p w:rsidR="000D58D8" w:rsidRPr="00456E94" w:rsidRDefault="000F627F">
            <w:pPr>
              <w:spacing w:line="240" w:lineRule="exact"/>
              <w:rPr>
                <w:rFonts w:ascii="宋体" w:eastAsia="宋体" w:hAnsi="宋体" w:cs="宋体"/>
                <w:sz w:val="18"/>
                <w:szCs w:val="18"/>
              </w:rPr>
            </w:pPr>
            <w:r>
              <w:rPr>
                <w:rFonts w:ascii="宋体" w:eastAsia="宋体" w:hAnsi="宋体" w:cs="宋体"/>
                <w:sz w:val="18"/>
                <w:szCs w:val="18"/>
              </w:rPr>
              <w:t xml:space="preserve">(4)重大或重要缺陷不能得到整改； </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(5)其他对公司影响重大的情形。</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2、重要缺陷:决策程序导致出现一般性失误；重要业务制度或系统存在缺陷；关键岗位业务人员流失严重；内部控制评价的结果特别是重要缺陷未得到整改；其他对公司产生较大负面影响的情形。</w:t>
            </w:r>
          </w:p>
          <w:p w:rsidR="000D58D8" w:rsidRDefault="000D58D8">
            <w:pPr>
              <w:spacing w:line="240" w:lineRule="exact"/>
              <w:rPr>
                <w:rFonts w:ascii="宋体" w:eastAsia="宋体" w:hAnsi="宋体" w:cs="宋体"/>
                <w:sz w:val="18"/>
                <w:szCs w:val="18"/>
              </w:rPr>
            </w:pP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3、一般缺陷:决策程序效率不高；一</w:t>
            </w:r>
            <w:r>
              <w:rPr>
                <w:rFonts w:ascii="宋体" w:eastAsia="宋体" w:hAnsi="宋体" w:cs="宋体"/>
                <w:sz w:val="18"/>
                <w:szCs w:val="18"/>
              </w:rPr>
              <w:lastRenderedPageBreak/>
              <w:t>般业务制度或系统存在缺陷；一般岗位业务人员流失严重；一般缺陷未得到整改。</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定量标准</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xml:space="preserve">定量标准以营业收入、资产总额作为衡量指标。 </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内部控制缺陷可能导致或导致的损失与利润</w:t>
            </w:r>
            <w:proofErr w:type="gramStart"/>
            <w:r>
              <w:rPr>
                <w:rFonts w:ascii="宋体" w:eastAsia="宋体" w:hAnsi="宋体" w:cs="宋体"/>
                <w:sz w:val="18"/>
                <w:szCs w:val="18"/>
              </w:rPr>
              <w:t>表相关</w:t>
            </w:r>
            <w:proofErr w:type="gramEnd"/>
            <w:r>
              <w:rPr>
                <w:rFonts w:ascii="宋体" w:eastAsia="宋体" w:hAnsi="宋体" w:cs="宋体"/>
                <w:sz w:val="18"/>
                <w:szCs w:val="18"/>
              </w:rPr>
              <w:t>的，以营业收入指标衡量。如果该缺陷单独或连同其他缺陷可能导致的财务报告错报金额小于营业收入的0.5%，则认定为一般缺陷；如果超过营业收入的0.5%但小于1%，则为重要缺陷；如果超过营业收入的1%，则认定为重大缺陷。</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内部控制缺陷可能导致或导致的损失与资产管理相关的，以资产总额指标衡量。如果该缺陷单独或连同其他缺陷可能导致的财务报告错报金额小于资产总额的0.5%，则认定为一般缺陷；如果超过资产总额的0.5%但小于1%认定为重要缺陷；如果超过资产总额1%，则认定为重大缺陷。</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重大缺陷：导致直接财产损失金额达1000万元以上或对公司造成较大负面影响并以公告形式对外披露；</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重要缺陷：导致直接财产损失金额为100万-1000万（含1000万）或受到国家政府部门处罚但未对公司 造成负面影响</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一般缺陷：导致直接财产损失金额为100万元（含100万元）以下或受到省级（含省级）以下政府部门处罚 但对未对公司造成负面影响</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财务报告重大缺陷数量（</w:t>
            </w:r>
            <w:proofErr w:type="gramStart"/>
            <w:r>
              <w:rPr>
                <w:rFonts w:ascii="宋体" w:eastAsia="宋体" w:hAnsi="宋体" w:cs="宋体"/>
                <w:sz w:val="18"/>
                <w:szCs w:val="18"/>
              </w:rPr>
              <w:t>个</w:t>
            </w:r>
            <w:proofErr w:type="gramEnd"/>
            <w:r>
              <w:rPr>
                <w:rFonts w:ascii="宋体" w:eastAsia="宋体" w:hAnsi="宋体" w:cs="宋体"/>
                <w:sz w:val="18"/>
                <w:szCs w:val="18"/>
              </w:rPr>
              <w:t>）</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非财务报告重大缺陷数量（</w:t>
            </w:r>
            <w:proofErr w:type="gramStart"/>
            <w:r>
              <w:rPr>
                <w:rFonts w:ascii="宋体" w:eastAsia="宋体" w:hAnsi="宋体" w:cs="宋体"/>
                <w:sz w:val="18"/>
                <w:szCs w:val="18"/>
              </w:rPr>
              <w:t>个</w:t>
            </w:r>
            <w:proofErr w:type="gramEnd"/>
            <w:r>
              <w:rPr>
                <w:rFonts w:ascii="宋体" w:eastAsia="宋体" w:hAnsi="宋体" w:cs="宋体"/>
                <w:sz w:val="18"/>
                <w:szCs w:val="18"/>
              </w:rPr>
              <w:t>）</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财务报告重要缺陷数量（</w:t>
            </w:r>
            <w:proofErr w:type="gramStart"/>
            <w:r>
              <w:rPr>
                <w:rFonts w:ascii="宋体" w:eastAsia="宋体" w:hAnsi="宋体" w:cs="宋体"/>
                <w:sz w:val="18"/>
                <w:szCs w:val="18"/>
              </w:rPr>
              <w:t>个</w:t>
            </w:r>
            <w:proofErr w:type="gramEnd"/>
            <w:r>
              <w:rPr>
                <w:rFonts w:ascii="宋体" w:eastAsia="宋体" w:hAnsi="宋体" w:cs="宋体"/>
                <w:sz w:val="18"/>
                <w:szCs w:val="18"/>
              </w:rPr>
              <w:t>）</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非财务报告重要缺陷数量（</w:t>
            </w:r>
            <w:proofErr w:type="gramStart"/>
            <w:r>
              <w:rPr>
                <w:rFonts w:ascii="宋体" w:eastAsia="宋体" w:hAnsi="宋体" w:cs="宋体"/>
                <w:sz w:val="18"/>
                <w:szCs w:val="18"/>
              </w:rPr>
              <w:t>个</w:t>
            </w:r>
            <w:proofErr w:type="gramEnd"/>
            <w:r>
              <w:rPr>
                <w:rFonts w:ascii="宋体" w:eastAsia="宋体" w:hAnsi="宋体" w:cs="宋体"/>
                <w:sz w:val="18"/>
                <w:szCs w:val="18"/>
              </w:rPr>
              <w:t>）</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bl>
    <w:p w:rsidR="000D58D8" w:rsidRDefault="000F627F">
      <w:pPr>
        <w:pStyle w:val="3"/>
        <w:spacing w:line="280" w:lineRule="exact"/>
        <w:jc w:val="left"/>
        <w:rPr>
          <w:rFonts w:ascii="宋体" w:hAnsi="宋体" w:cs="宋体"/>
          <w:b/>
          <w:bCs/>
        </w:rPr>
      </w:pPr>
      <w:bookmarkStart w:id="101" w:name="_Toc988989"/>
      <w:r>
        <w:rPr>
          <w:rFonts w:ascii="宋体" w:hAnsi="宋体" w:cs="宋体"/>
          <w:b/>
          <w:bCs/>
        </w:rPr>
        <w:t>2、内部控制审计报告</w:t>
      </w:r>
      <w:bookmarkEnd w:id="10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0D58D8">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内部控制审计报告中的审议意见段</w:t>
            </w:r>
          </w:p>
        </w:tc>
      </w:tr>
      <w:tr w:rsidR="000D58D8">
        <w:trPr>
          <w:trHeight w:val="240"/>
        </w:trPr>
        <w:tc>
          <w:tcPr>
            <w:tcW w:w="963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我们认为，华孚时尚公司按照《企业内部控制基本规范》和相关规定于 2023年12 月31 日在所有重大方面保持了与财务报表相关的有效的内部控制。</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内控审计报告披露情况</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披露</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内部控制审计报告全文披露日期</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2024年04月27日</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内部控制审计报告全文披露索引</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巨潮资讯网（http://www.cninfo.com.cn）</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内控审计报告意见类型</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标准无保留意见</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非财务报告是否存在重大缺陷</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会计师事务所是否出具非标准意见的内部控制审计报告</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会计师事务所出具的内部控制审计报告与董事会的自我评价报告意见是否一致</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0D58D8" w:rsidRDefault="000F627F">
      <w:pPr>
        <w:pStyle w:val="2"/>
        <w:spacing w:before="300" w:after="300" w:line="320" w:lineRule="exact"/>
        <w:rPr>
          <w:rFonts w:ascii="宋体" w:eastAsia="宋体" w:hAnsi="宋体" w:cs="宋体"/>
          <w:b/>
          <w:bCs/>
          <w:sz w:val="24"/>
          <w:szCs w:val="24"/>
        </w:rPr>
      </w:pPr>
      <w:bookmarkStart w:id="102" w:name="_Toc988990"/>
      <w:r>
        <w:rPr>
          <w:rFonts w:ascii="宋体" w:eastAsia="宋体" w:hAnsi="宋体" w:cs="宋体"/>
          <w:b/>
          <w:bCs/>
          <w:sz w:val="24"/>
          <w:szCs w:val="24"/>
        </w:rPr>
        <w:t>十五、上市公司治理专项行动自查问题整改情况</w:t>
      </w:r>
      <w:bookmarkEnd w:id="102"/>
    </w:p>
    <w:p w:rsidR="000F627F" w:rsidRDefault="000F627F">
      <w:pPr>
        <w:pStyle w:val="a3"/>
        <w:divId w:val="1959949358"/>
        <w:rPr>
          <w:sz w:val="18"/>
          <w:szCs w:val="18"/>
        </w:rPr>
      </w:pPr>
      <w:r>
        <w:rPr>
          <w:rFonts w:hint="eastAsia"/>
          <w:sz w:val="18"/>
          <w:szCs w:val="18"/>
        </w:rPr>
        <w:t>无</w:t>
      </w:r>
    </w:p>
    <w:p w:rsidR="000D58D8" w:rsidRDefault="000F627F">
      <w:r>
        <w:br w:type="page"/>
      </w:r>
    </w:p>
    <w:p w:rsidR="000D58D8" w:rsidRDefault="000F627F">
      <w:pPr>
        <w:pStyle w:val="headingh1"/>
        <w:spacing w:before="340" w:after="330" w:line="773" w:lineRule="exact"/>
        <w:jc w:val="center"/>
        <w:rPr>
          <w:rFonts w:ascii="宋体" w:eastAsia="宋体" w:hAnsi="宋体" w:cs="宋体"/>
          <w:b/>
          <w:bCs/>
          <w:sz w:val="32"/>
          <w:szCs w:val="32"/>
        </w:rPr>
      </w:pPr>
      <w:bookmarkStart w:id="103" w:name="_Toc988991"/>
      <w:r>
        <w:rPr>
          <w:rFonts w:ascii="宋体" w:eastAsia="宋体" w:hAnsi="宋体" w:cs="宋体"/>
          <w:b/>
          <w:bCs/>
          <w:sz w:val="32"/>
          <w:szCs w:val="32"/>
        </w:rPr>
        <w:lastRenderedPageBreak/>
        <w:t>第五节 环境和社会责任</w:t>
      </w:r>
      <w:bookmarkEnd w:id="103"/>
    </w:p>
    <w:p w:rsidR="000D58D8" w:rsidRDefault="000F627F">
      <w:pPr>
        <w:pStyle w:val="2"/>
        <w:spacing w:before="300" w:after="300" w:line="320" w:lineRule="exact"/>
        <w:rPr>
          <w:rFonts w:ascii="宋体" w:eastAsia="宋体" w:hAnsi="宋体" w:cs="宋体"/>
          <w:b/>
          <w:bCs/>
          <w:sz w:val="24"/>
          <w:szCs w:val="24"/>
        </w:rPr>
      </w:pPr>
      <w:bookmarkStart w:id="104" w:name="_Toc988992"/>
      <w:r>
        <w:rPr>
          <w:rFonts w:ascii="宋体" w:eastAsia="宋体" w:hAnsi="宋体" w:cs="宋体"/>
          <w:b/>
          <w:bCs/>
          <w:sz w:val="24"/>
          <w:szCs w:val="24"/>
        </w:rPr>
        <w:t>一、重大环保问题</w:t>
      </w:r>
      <w:bookmarkEnd w:id="104"/>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上市公司及其子公司是否属于环境保护部门公布的重点排污单位</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环境保护相关政策和行业标准</w:t>
      </w:r>
    </w:p>
    <w:p w:rsidR="000F627F" w:rsidRDefault="000F627F">
      <w:pPr>
        <w:pStyle w:val="a3"/>
        <w:spacing w:before="0" w:beforeAutospacing="0" w:after="0" w:afterAutospacing="0"/>
        <w:divId w:val="887230611"/>
        <w:rPr>
          <w:rFonts w:ascii="Calibri" w:hAnsi="Calibri" w:cs="Calibri"/>
          <w:sz w:val="21"/>
          <w:szCs w:val="21"/>
        </w:rPr>
      </w:pPr>
      <w:r>
        <w:rPr>
          <w:rFonts w:cs="Calibri" w:hint="eastAsia"/>
          <w:sz w:val="18"/>
          <w:szCs w:val="18"/>
        </w:rPr>
        <w:t>噪音执行标准《工业企业厂界环境噪音排放标准》</w:t>
      </w:r>
      <w:r>
        <w:rPr>
          <w:rFonts w:ascii="Calibri" w:hAnsi="Calibri" w:cs="Calibri"/>
          <w:sz w:val="18"/>
          <w:szCs w:val="18"/>
        </w:rPr>
        <w:t>GB12348-2008</w:t>
      </w:r>
    </w:p>
    <w:p w:rsidR="000F627F" w:rsidRDefault="000F627F">
      <w:pPr>
        <w:pStyle w:val="a3"/>
        <w:spacing w:before="0" w:beforeAutospacing="0" w:after="0" w:afterAutospacing="0"/>
        <w:divId w:val="887230611"/>
        <w:rPr>
          <w:rFonts w:ascii="Calibri" w:hAnsi="Calibri" w:cs="Calibri"/>
          <w:sz w:val="21"/>
          <w:szCs w:val="21"/>
        </w:rPr>
      </w:pPr>
      <w:r>
        <w:rPr>
          <w:rFonts w:cs="Calibri" w:hint="eastAsia"/>
          <w:sz w:val="18"/>
          <w:szCs w:val="18"/>
        </w:rPr>
        <w:t>污水执行标准《纺织染整工业水污染物排放标准》</w:t>
      </w:r>
      <w:r>
        <w:rPr>
          <w:rFonts w:ascii="Calibri" w:hAnsi="Calibri" w:cs="Calibri"/>
          <w:sz w:val="18"/>
          <w:szCs w:val="18"/>
        </w:rPr>
        <w:t>GB4287-2012</w:t>
      </w:r>
      <w:r>
        <w:rPr>
          <w:rFonts w:cs="Calibri" w:hint="eastAsia"/>
          <w:sz w:val="18"/>
          <w:szCs w:val="18"/>
        </w:rPr>
        <w:t>及其修改单</w:t>
      </w:r>
    </w:p>
    <w:p w:rsidR="000F627F" w:rsidRDefault="000F627F">
      <w:pPr>
        <w:pStyle w:val="a3"/>
        <w:spacing w:before="0" w:beforeAutospacing="0" w:after="0" w:afterAutospacing="0"/>
        <w:divId w:val="887230611"/>
        <w:rPr>
          <w:rFonts w:ascii="Calibri" w:hAnsi="Calibri" w:cs="Calibri"/>
          <w:sz w:val="21"/>
          <w:szCs w:val="21"/>
        </w:rPr>
      </w:pPr>
      <w:r>
        <w:rPr>
          <w:rFonts w:cs="Calibri" w:hint="eastAsia"/>
          <w:sz w:val="18"/>
          <w:szCs w:val="18"/>
        </w:rPr>
        <w:t>废气（染厂车间）执行标准《纺织染整工业大气污染物排放标准》</w:t>
      </w:r>
      <w:r>
        <w:rPr>
          <w:rFonts w:ascii="Calibri" w:hAnsi="Calibri" w:cs="Calibri"/>
          <w:sz w:val="18"/>
          <w:szCs w:val="18"/>
        </w:rPr>
        <w:t>DB33/962-2015</w:t>
      </w:r>
    </w:p>
    <w:p w:rsidR="000F627F" w:rsidRDefault="000F627F">
      <w:pPr>
        <w:pStyle w:val="a3"/>
        <w:spacing w:before="0" w:beforeAutospacing="0" w:after="0" w:afterAutospacing="0"/>
        <w:divId w:val="887230611"/>
        <w:rPr>
          <w:rFonts w:ascii="Calibri" w:hAnsi="Calibri" w:cs="Calibri"/>
          <w:sz w:val="21"/>
          <w:szCs w:val="21"/>
        </w:rPr>
      </w:pPr>
      <w:r>
        <w:rPr>
          <w:rFonts w:cs="Calibri" w:hint="eastAsia"/>
          <w:sz w:val="18"/>
          <w:szCs w:val="18"/>
        </w:rPr>
        <w:t>废气（厂界）《大气污染物综合排放标准》</w:t>
      </w:r>
      <w:r>
        <w:rPr>
          <w:rFonts w:ascii="Calibri" w:hAnsi="Calibri" w:cs="Calibri"/>
          <w:sz w:val="18"/>
          <w:szCs w:val="18"/>
        </w:rPr>
        <w:t>GB16297-1996</w:t>
      </w:r>
    </w:p>
    <w:p w:rsidR="000F627F" w:rsidRDefault="000F627F">
      <w:pPr>
        <w:pStyle w:val="a3"/>
        <w:spacing w:before="0" w:beforeAutospacing="0" w:after="0" w:afterAutospacing="0"/>
        <w:divId w:val="887230611"/>
        <w:rPr>
          <w:rFonts w:ascii="Calibri" w:hAnsi="Calibri" w:cs="Calibri"/>
          <w:sz w:val="21"/>
          <w:szCs w:val="21"/>
        </w:rPr>
      </w:pPr>
      <w:r>
        <w:rPr>
          <w:rFonts w:cs="Calibri" w:hint="eastAsia"/>
          <w:sz w:val="18"/>
          <w:szCs w:val="18"/>
        </w:rPr>
        <w:t>废气（污水站）《恶臭污染物排放标准》</w:t>
      </w:r>
      <w:r>
        <w:rPr>
          <w:rFonts w:ascii="Calibri" w:hAnsi="Calibri" w:cs="Calibri"/>
          <w:sz w:val="18"/>
          <w:szCs w:val="18"/>
        </w:rPr>
        <w:t>GB14554-93</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环境保护行政许可情况</w:t>
      </w:r>
    </w:p>
    <w:p w:rsidR="000F627F" w:rsidRDefault="000F627F">
      <w:pPr>
        <w:pStyle w:val="a3"/>
        <w:spacing w:beforeAutospacing="0" w:afterAutospacing="0" w:line="240" w:lineRule="atLeast"/>
        <w:divId w:val="1445347313"/>
        <w:rPr>
          <w:rFonts w:ascii="Calibri" w:hAnsi="Calibri" w:cs="Calibri"/>
          <w:sz w:val="21"/>
          <w:szCs w:val="21"/>
        </w:rPr>
      </w:pPr>
      <w:r>
        <w:rPr>
          <w:rFonts w:cs="Calibri" w:hint="eastAsia"/>
          <w:sz w:val="18"/>
          <w:szCs w:val="18"/>
        </w:rPr>
        <w:t>公司下属两家子公司属于环保重点管理单位，已申领排污许可证。</w:t>
      </w:r>
    </w:p>
    <w:p w:rsidR="000F627F" w:rsidRDefault="000F627F">
      <w:pPr>
        <w:pStyle w:val="a3"/>
        <w:spacing w:before="0" w:beforeAutospacing="0" w:after="0" w:afterAutospacing="0"/>
        <w:divId w:val="1445347313"/>
        <w:rPr>
          <w:rFonts w:ascii="Calibri" w:hAnsi="Calibri" w:cs="Calibri"/>
          <w:sz w:val="21"/>
          <w:szCs w:val="21"/>
        </w:rPr>
      </w:pPr>
      <w:r>
        <w:rPr>
          <w:rFonts w:cs="Calibri" w:hint="eastAsia"/>
          <w:sz w:val="18"/>
          <w:szCs w:val="18"/>
        </w:rPr>
        <w:t>浙江社标纤维有限公司排污许可证有效期</w:t>
      </w:r>
      <w:r>
        <w:rPr>
          <w:rFonts w:ascii="Calibri" w:hAnsi="Calibri" w:cs="Calibri"/>
          <w:sz w:val="18"/>
          <w:szCs w:val="18"/>
        </w:rPr>
        <w:t>2022</w:t>
      </w:r>
      <w:r>
        <w:rPr>
          <w:rFonts w:cs="Calibri" w:hint="eastAsia"/>
          <w:sz w:val="18"/>
          <w:szCs w:val="18"/>
        </w:rPr>
        <w:t>年</w:t>
      </w:r>
      <w:r>
        <w:rPr>
          <w:rFonts w:ascii="Calibri" w:hAnsi="Calibri" w:cs="Calibri"/>
          <w:sz w:val="18"/>
          <w:szCs w:val="18"/>
        </w:rPr>
        <w:t>8</w:t>
      </w:r>
      <w:r>
        <w:rPr>
          <w:rFonts w:cs="Calibri" w:hint="eastAsia"/>
          <w:sz w:val="18"/>
          <w:szCs w:val="18"/>
        </w:rPr>
        <w:t>月</w:t>
      </w:r>
      <w:r>
        <w:rPr>
          <w:rFonts w:ascii="Calibri" w:hAnsi="Calibri" w:cs="Calibri"/>
          <w:sz w:val="18"/>
          <w:szCs w:val="18"/>
        </w:rPr>
        <w:t>4</w:t>
      </w:r>
      <w:r>
        <w:rPr>
          <w:rFonts w:cs="Calibri" w:hint="eastAsia"/>
          <w:sz w:val="18"/>
          <w:szCs w:val="18"/>
        </w:rPr>
        <w:t>日至</w:t>
      </w:r>
      <w:r>
        <w:rPr>
          <w:rFonts w:ascii="Calibri" w:hAnsi="Calibri" w:cs="Calibri"/>
          <w:sz w:val="18"/>
          <w:szCs w:val="18"/>
        </w:rPr>
        <w:t>2027</w:t>
      </w:r>
      <w:r>
        <w:rPr>
          <w:rFonts w:cs="Calibri" w:hint="eastAsia"/>
          <w:sz w:val="18"/>
          <w:szCs w:val="18"/>
        </w:rPr>
        <w:t>年</w:t>
      </w:r>
      <w:r>
        <w:rPr>
          <w:rFonts w:ascii="Calibri" w:hAnsi="Calibri" w:cs="Calibri"/>
          <w:sz w:val="18"/>
          <w:szCs w:val="18"/>
        </w:rPr>
        <w:t>8</w:t>
      </w:r>
      <w:r>
        <w:rPr>
          <w:rFonts w:cs="Calibri" w:hint="eastAsia"/>
          <w:sz w:val="18"/>
          <w:szCs w:val="18"/>
        </w:rPr>
        <w:t>月</w:t>
      </w:r>
      <w:r>
        <w:rPr>
          <w:rFonts w:ascii="Calibri" w:hAnsi="Calibri" w:cs="Calibri"/>
          <w:sz w:val="18"/>
          <w:szCs w:val="18"/>
        </w:rPr>
        <w:t>3</w:t>
      </w:r>
      <w:r>
        <w:rPr>
          <w:rFonts w:cs="Calibri" w:hint="eastAsia"/>
          <w:sz w:val="18"/>
          <w:szCs w:val="18"/>
        </w:rPr>
        <w:t>日</w:t>
      </w:r>
    </w:p>
    <w:p w:rsidR="000F627F" w:rsidRDefault="000F627F">
      <w:pPr>
        <w:pStyle w:val="a3"/>
        <w:spacing w:before="0" w:beforeAutospacing="0" w:after="0" w:afterAutospacing="0"/>
        <w:divId w:val="1445347313"/>
        <w:rPr>
          <w:rFonts w:ascii="Calibri" w:hAnsi="Calibri" w:cs="Calibri"/>
          <w:sz w:val="21"/>
          <w:szCs w:val="21"/>
        </w:rPr>
      </w:pPr>
      <w:r>
        <w:rPr>
          <w:rFonts w:cs="Calibri" w:hint="eastAsia"/>
          <w:sz w:val="18"/>
          <w:szCs w:val="18"/>
        </w:rPr>
        <w:t>阿克苏</w:t>
      </w:r>
      <w:proofErr w:type="gramStart"/>
      <w:r>
        <w:rPr>
          <w:rFonts w:cs="Calibri" w:hint="eastAsia"/>
          <w:sz w:val="18"/>
          <w:szCs w:val="18"/>
        </w:rPr>
        <w:t>标信纤维</w:t>
      </w:r>
      <w:proofErr w:type="gramEnd"/>
      <w:r>
        <w:rPr>
          <w:rFonts w:cs="Calibri" w:hint="eastAsia"/>
          <w:sz w:val="18"/>
          <w:szCs w:val="18"/>
        </w:rPr>
        <w:t>有限公司排污许可证有效期</w:t>
      </w:r>
      <w:r>
        <w:rPr>
          <w:rFonts w:ascii="Calibri" w:hAnsi="Calibri" w:cs="Calibri"/>
          <w:sz w:val="18"/>
          <w:szCs w:val="18"/>
        </w:rPr>
        <w:t>2022</w:t>
      </w:r>
      <w:r>
        <w:rPr>
          <w:rFonts w:cs="Calibri" w:hint="eastAsia"/>
          <w:sz w:val="18"/>
          <w:szCs w:val="18"/>
        </w:rPr>
        <w:t>年</w:t>
      </w:r>
      <w:r>
        <w:rPr>
          <w:rFonts w:ascii="Calibri" w:hAnsi="Calibri" w:cs="Calibri"/>
          <w:sz w:val="18"/>
          <w:szCs w:val="18"/>
        </w:rPr>
        <w:t>2</w:t>
      </w:r>
      <w:r>
        <w:rPr>
          <w:rFonts w:cs="Calibri" w:hint="eastAsia"/>
          <w:sz w:val="18"/>
          <w:szCs w:val="18"/>
        </w:rPr>
        <w:t>月</w:t>
      </w:r>
      <w:r>
        <w:rPr>
          <w:rFonts w:ascii="Calibri" w:hAnsi="Calibri" w:cs="Calibri"/>
          <w:sz w:val="18"/>
          <w:szCs w:val="18"/>
        </w:rPr>
        <w:t>3</w:t>
      </w:r>
      <w:r>
        <w:rPr>
          <w:rFonts w:cs="Calibri" w:hint="eastAsia"/>
          <w:sz w:val="18"/>
          <w:szCs w:val="18"/>
        </w:rPr>
        <w:t>日至</w:t>
      </w:r>
      <w:r>
        <w:rPr>
          <w:rFonts w:ascii="Calibri" w:hAnsi="Calibri" w:cs="Calibri"/>
          <w:sz w:val="18"/>
          <w:szCs w:val="18"/>
        </w:rPr>
        <w:t>2027</w:t>
      </w:r>
      <w:r>
        <w:rPr>
          <w:rFonts w:cs="Calibri" w:hint="eastAsia"/>
          <w:sz w:val="18"/>
          <w:szCs w:val="18"/>
        </w:rPr>
        <w:t>年</w:t>
      </w:r>
      <w:r>
        <w:rPr>
          <w:rFonts w:ascii="Calibri" w:hAnsi="Calibri" w:cs="Calibri"/>
          <w:sz w:val="18"/>
          <w:szCs w:val="18"/>
        </w:rPr>
        <w:t>2</w:t>
      </w:r>
      <w:r>
        <w:rPr>
          <w:rFonts w:cs="Calibri" w:hint="eastAsia"/>
          <w:sz w:val="18"/>
          <w:szCs w:val="18"/>
        </w:rPr>
        <w:t>月</w:t>
      </w:r>
      <w:r>
        <w:rPr>
          <w:rFonts w:ascii="Calibri" w:hAnsi="Calibri" w:cs="Calibri"/>
          <w:sz w:val="18"/>
          <w:szCs w:val="18"/>
        </w:rPr>
        <w:t>2</w:t>
      </w:r>
      <w:r>
        <w:rPr>
          <w:rFonts w:cs="Calibri" w:hint="eastAsia"/>
          <w:sz w:val="18"/>
          <w:szCs w:val="18"/>
        </w:rPr>
        <w:t>日</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行业排放标准及生产经营活动中涉及的污染物排放的具体情况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7"/>
        <w:gridCol w:w="877"/>
        <w:gridCol w:w="877"/>
        <w:gridCol w:w="876"/>
        <w:gridCol w:w="876"/>
        <w:gridCol w:w="876"/>
        <w:gridCol w:w="876"/>
        <w:gridCol w:w="876"/>
        <w:gridCol w:w="876"/>
        <w:gridCol w:w="876"/>
        <w:gridCol w:w="876"/>
      </w:tblGrid>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公司或子公司名称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主要污染物及特征污染物的种类</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主要污染物及特征污染物的名称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排放方式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排放口数量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排放口分布情况</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排放浓度/强度</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执行的污染物排放标准</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排放总量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核定的排放总量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超标排放情况</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浙江社标纤维有限公司</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污水</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COD、氨氮</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间接排放</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厂区总</w:t>
            </w:r>
            <w:proofErr w:type="gramEnd"/>
            <w:r>
              <w:rPr>
                <w:rFonts w:ascii="宋体" w:eastAsia="宋体" w:hAnsi="宋体" w:cs="宋体"/>
                <w:sz w:val="18"/>
                <w:szCs w:val="18"/>
              </w:rPr>
              <w:t>口</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COD200mg/L;氨氮20mg/L</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GB4287-2012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COD ：22.93吨；</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COD ：312吨；氨氮：31.2吨；</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阿克苏</w:t>
            </w:r>
            <w:proofErr w:type="gramStart"/>
            <w:r>
              <w:rPr>
                <w:rFonts w:ascii="宋体" w:eastAsia="宋体" w:hAnsi="宋体" w:cs="宋体"/>
                <w:sz w:val="18"/>
                <w:szCs w:val="18"/>
              </w:rPr>
              <w:t>标信纤维</w:t>
            </w:r>
            <w:proofErr w:type="gramEnd"/>
            <w:r>
              <w:rPr>
                <w:rFonts w:ascii="宋体" w:eastAsia="宋体" w:hAnsi="宋体" w:cs="宋体"/>
                <w:sz w:val="18"/>
                <w:szCs w:val="18"/>
              </w:rPr>
              <w:t>有限公司</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污水</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COD、氨氮</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间接排放</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厂区总</w:t>
            </w:r>
            <w:proofErr w:type="gramEnd"/>
            <w:r>
              <w:rPr>
                <w:rFonts w:ascii="宋体" w:eastAsia="宋体" w:hAnsi="宋体" w:cs="宋体"/>
                <w:sz w:val="18"/>
                <w:szCs w:val="18"/>
              </w:rPr>
              <w:t>口</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COD200mg/L;氨氮20mg/L</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GB4287-2012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COD ：37.52吨</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COD：168 吨氨氮： 28吨</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对污染物的处理</w:t>
      </w:r>
    </w:p>
    <w:p w:rsidR="000F627F" w:rsidRDefault="000F627F" w:rsidP="00456E94">
      <w:pPr>
        <w:pStyle w:val="a3"/>
        <w:spacing w:before="0" w:beforeAutospacing="0" w:after="0" w:afterAutospacing="0"/>
        <w:ind w:firstLineChars="200" w:firstLine="360"/>
        <w:divId w:val="406151337"/>
        <w:rPr>
          <w:rFonts w:ascii="Calibri" w:hAnsi="Calibri" w:cs="Calibri"/>
          <w:sz w:val="21"/>
          <w:szCs w:val="21"/>
        </w:rPr>
      </w:pPr>
      <w:r>
        <w:rPr>
          <w:rFonts w:ascii="Calibri" w:hAnsi="Calibri" w:cs="Calibri"/>
          <w:sz w:val="18"/>
          <w:szCs w:val="18"/>
        </w:rPr>
        <w:t>1</w:t>
      </w:r>
      <w:r>
        <w:rPr>
          <w:rFonts w:cs="Calibri" w:hint="eastAsia"/>
          <w:sz w:val="18"/>
          <w:szCs w:val="18"/>
        </w:rPr>
        <w:t>、上述两家公司均设有污水处理站。目前污水处理站运行情况良好，能够满足生产所需。</w:t>
      </w:r>
    </w:p>
    <w:p w:rsidR="000F627F" w:rsidRDefault="000F627F" w:rsidP="00456E94">
      <w:pPr>
        <w:pStyle w:val="a3"/>
        <w:spacing w:before="0" w:beforeAutospacing="0" w:after="0" w:afterAutospacing="0"/>
        <w:ind w:firstLineChars="200" w:firstLine="360"/>
        <w:divId w:val="406151337"/>
        <w:rPr>
          <w:rFonts w:ascii="Calibri" w:hAnsi="Calibri" w:cs="Calibri"/>
          <w:sz w:val="21"/>
          <w:szCs w:val="21"/>
        </w:rPr>
      </w:pPr>
      <w:r>
        <w:rPr>
          <w:rFonts w:ascii="Calibri" w:hAnsi="Calibri" w:cs="Calibri"/>
          <w:sz w:val="18"/>
          <w:szCs w:val="18"/>
        </w:rPr>
        <w:t>2</w:t>
      </w:r>
      <w:r>
        <w:rPr>
          <w:rFonts w:cs="Calibri" w:hint="eastAsia"/>
          <w:sz w:val="18"/>
          <w:szCs w:val="18"/>
        </w:rPr>
        <w:t>、一般固废污泥和</w:t>
      </w:r>
      <w:proofErr w:type="gramStart"/>
      <w:r>
        <w:rPr>
          <w:rFonts w:cs="Calibri" w:hint="eastAsia"/>
          <w:sz w:val="18"/>
          <w:szCs w:val="18"/>
        </w:rPr>
        <w:t>危废</w:t>
      </w:r>
      <w:proofErr w:type="gramEnd"/>
      <w:r>
        <w:rPr>
          <w:rFonts w:cs="Calibri" w:hint="eastAsia"/>
          <w:sz w:val="18"/>
          <w:szCs w:val="18"/>
        </w:rPr>
        <w:t>收集后交由具有处置资质的固</w:t>
      </w:r>
      <w:proofErr w:type="gramStart"/>
      <w:r>
        <w:rPr>
          <w:rFonts w:cs="Calibri" w:hint="eastAsia"/>
          <w:sz w:val="18"/>
          <w:szCs w:val="18"/>
        </w:rPr>
        <w:t>废处理</w:t>
      </w:r>
      <w:proofErr w:type="gramEnd"/>
      <w:r>
        <w:rPr>
          <w:rFonts w:cs="Calibri" w:hint="eastAsia"/>
          <w:sz w:val="18"/>
          <w:szCs w:val="18"/>
        </w:rPr>
        <w:t>单位处理。其他固废垃圾进行合理的综合利用和焚烧处理。</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突发环境事件应急预案</w:t>
      </w:r>
    </w:p>
    <w:p w:rsidR="000F627F" w:rsidRDefault="000F627F" w:rsidP="00456E94">
      <w:pPr>
        <w:pStyle w:val="a3"/>
        <w:spacing w:before="0" w:beforeAutospacing="0" w:after="0" w:afterAutospacing="0"/>
        <w:ind w:firstLineChars="200" w:firstLine="360"/>
        <w:divId w:val="1381711674"/>
        <w:rPr>
          <w:rFonts w:ascii="Calibri" w:hAnsi="Calibri" w:cs="Calibri"/>
          <w:sz w:val="21"/>
          <w:szCs w:val="21"/>
        </w:rPr>
      </w:pPr>
      <w:r>
        <w:rPr>
          <w:rFonts w:cs="Calibri" w:hint="eastAsia"/>
          <w:sz w:val="18"/>
          <w:szCs w:val="18"/>
        </w:rPr>
        <w:t>公司建立了较为完善的环境风险应急机制，对重点排污企业均制定了《突发环境污染事件综合应急预案》，并在当地政府备案，确保时间发生时能够迅速、有序、高效的进行应急处置。</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环境自行监测方案</w:t>
      </w:r>
    </w:p>
    <w:p w:rsidR="000F627F" w:rsidRDefault="000F627F" w:rsidP="00456E94">
      <w:pPr>
        <w:pStyle w:val="a3"/>
        <w:spacing w:before="0" w:beforeAutospacing="0" w:after="0" w:afterAutospacing="0"/>
        <w:ind w:firstLineChars="200" w:firstLine="360"/>
        <w:divId w:val="814251993"/>
        <w:rPr>
          <w:rFonts w:ascii="Calibri" w:hAnsi="Calibri" w:cs="Calibri"/>
          <w:sz w:val="21"/>
          <w:szCs w:val="21"/>
        </w:rPr>
      </w:pPr>
      <w:r>
        <w:rPr>
          <w:rFonts w:cs="Calibri" w:hint="eastAsia"/>
          <w:sz w:val="18"/>
          <w:szCs w:val="18"/>
        </w:rPr>
        <w:t>上述两家公司均采用先进的分析仪器，能够对排放废水的</w:t>
      </w:r>
      <w:r>
        <w:rPr>
          <w:rFonts w:ascii="Calibri" w:hAnsi="Calibri" w:cs="Calibri"/>
          <w:sz w:val="18"/>
          <w:szCs w:val="18"/>
        </w:rPr>
        <w:t>COD</w:t>
      </w:r>
      <w:r>
        <w:rPr>
          <w:rFonts w:cs="Calibri" w:hint="eastAsia"/>
          <w:sz w:val="18"/>
          <w:szCs w:val="18"/>
        </w:rPr>
        <w:t>、氨氮、</w:t>
      </w:r>
      <w:r>
        <w:rPr>
          <w:rFonts w:ascii="Calibri" w:hAnsi="Calibri" w:cs="Calibri"/>
          <w:sz w:val="18"/>
          <w:szCs w:val="18"/>
        </w:rPr>
        <w:t>PH</w:t>
      </w:r>
      <w:r>
        <w:rPr>
          <w:rFonts w:cs="Calibri" w:hint="eastAsia"/>
          <w:sz w:val="18"/>
          <w:szCs w:val="18"/>
        </w:rPr>
        <w:t>、流量、总氮等这些项目进行自动采集取样并自动检测。同时企业检测人员每天在污水排放口对排放废水的</w:t>
      </w:r>
      <w:r>
        <w:rPr>
          <w:rFonts w:ascii="Calibri" w:hAnsi="Calibri" w:cs="Calibri"/>
          <w:sz w:val="18"/>
          <w:szCs w:val="18"/>
        </w:rPr>
        <w:t>COD</w:t>
      </w:r>
      <w:r>
        <w:rPr>
          <w:rFonts w:cs="Calibri" w:hint="eastAsia"/>
          <w:sz w:val="18"/>
          <w:szCs w:val="18"/>
        </w:rPr>
        <w:t>、</w:t>
      </w:r>
      <w:r>
        <w:rPr>
          <w:rFonts w:ascii="Calibri" w:hAnsi="Calibri" w:cs="Calibri"/>
          <w:sz w:val="18"/>
          <w:szCs w:val="18"/>
        </w:rPr>
        <w:t>PH</w:t>
      </w:r>
      <w:r>
        <w:rPr>
          <w:rFonts w:cs="Calibri" w:hint="eastAsia"/>
          <w:sz w:val="18"/>
          <w:szCs w:val="18"/>
        </w:rPr>
        <w:t>值、色度、氨氮、总磷、苯胺等指标进行取</w:t>
      </w:r>
      <w:r>
        <w:rPr>
          <w:rFonts w:cs="Calibri" w:hint="eastAsia"/>
          <w:sz w:val="18"/>
          <w:szCs w:val="18"/>
        </w:rPr>
        <w:lastRenderedPageBreak/>
        <w:t>样检测，</w:t>
      </w:r>
      <w:r>
        <w:rPr>
          <w:rFonts w:ascii="Calibri" w:hAnsi="Calibri" w:cs="Calibri"/>
          <w:sz w:val="18"/>
          <w:szCs w:val="18"/>
        </w:rPr>
        <w:t>BOD</w:t>
      </w:r>
      <w:r>
        <w:rPr>
          <w:rFonts w:cs="Calibri" w:hint="eastAsia"/>
          <w:sz w:val="18"/>
          <w:szCs w:val="18"/>
        </w:rPr>
        <w:t>、</w:t>
      </w:r>
      <w:r>
        <w:rPr>
          <w:rFonts w:ascii="Calibri" w:hAnsi="Calibri" w:cs="Calibri"/>
          <w:sz w:val="18"/>
          <w:szCs w:val="18"/>
        </w:rPr>
        <w:t>SS</w:t>
      </w:r>
      <w:r>
        <w:rPr>
          <w:rFonts w:cs="Calibri" w:hint="eastAsia"/>
          <w:sz w:val="18"/>
          <w:szCs w:val="18"/>
        </w:rPr>
        <w:t>、二氧化氯等指标检测人员每周进行取样检测，以确保达标排放。为了验证检测仪器的准确有效，同时公司委托有检测资质的公司每周一次抽取排放废水进行对比检测。</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环境治理和保护的投入及缴纳环境保护税的相关情况</w:t>
      </w:r>
    </w:p>
    <w:p w:rsidR="000F627F" w:rsidRDefault="000F627F" w:rsidP="00456E94">
      <w:pPr>
        <w:pStyle w:val="a3"/>
        <w:spacing w:before="0" w:beforeAutospacing="0" w:after="0" w:afterAutospacing="0"/>
        <w:ind w:firstLineChars="200" w:firstLine="360"/>
        <w:divId w:val="1142118065"/>
        <w:rPr>
          <w:rFonts w:ascii="Calibri" w:hAnsi="Calibri" w:cs="Calibri"/>
          <w:sz w:val="21"/>
          <w:szCs w:val="21"/>
        </w:rPr>
      </w:pPr>
      <w:r>
        <w:rPr>
          <w:rFonts w:ascii="Calibri" w:hAnsi="Calibri" w:cs="Calibri"/>
          <w:sz w:val="18"/>
          <w:szCs w:val="18"/>
        </w:rPr>
        <w:t>2023</w:t>
      </w:r>
      <w:r>
        <w:rPr>
          <w:rFonts w:cs="Calibri" w:hint="eastAsia"/>
          <w:sz w:val="18"/>
          <w:szCs w:val="18"/>
        </w:rPr>
        <w:t>年度公司在环保模块合计投入约</w:t>
      </w:r>
      <w:r>
        <w:rPr>
          <w:rFonts w:ascii="Calibri" w:hAnsi="Calibri" w:cs="Calibri"/>
          <w:sz w:val="18"/>
          <w:szCs w:val="18"/>
        </w:rPr>
        <w:t>1583</w:t>
      </w:r>
      <w:r>
        <w:rPr>
          <w:rFonts w:cs="Calibri" w:hint="eastAsia"/>
          <w:sz w:val="18"/>
          <w:szCs w:val="18"/>
        </w:rPr>
        <w:t>万元。</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在报告期内为减少其碳排放所采取的措施及效果</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报告期内因环境问题受到行政处罚的情况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公司或子公司名称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处罚原因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违规情形</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处罚结果</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对上市公司生产经营的影响</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公司的整改措施</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其他应当公开的环境信息</w:t>
      </w:r>
    </w:p>
    <w:p w:rsidR="000F627F" w:rsidRPr="00FE5DAA" w:rsidRDefault="000F627F">
      <w:pPr>
        <w:pStyle w:val="a3"/>
        <w:spacing w:before="0" w:beforeAutospacing="0" w:after="0" w:afterAutospacing="0"/>
        <w:divId w:val="1732575854"/>
        <w:rPr>
          <w:rFonts w:asciiTheme="minorEastAsia" w:eastAsiaTheme="minorEastAsia" w:hAnsiTheme="minorEastAsia" w:cs="Calibri"/>
          <w:sz w:val="21"/>
          <w:szCs w:val="21"/>
        </w:rPr>
      </w:pPr>
      <w:r w:rsidRPr="00FE5DAA">
        <w:rPr>
          <w:rFonts w:asciiTheme="minorEastAsia" w:eastAsiaTheme="minorEastAsia" w:hAnsiTheme="minorEastAsia" w:cs="Calibri" w:hint="eastAsia"/>
          <w:sz w:val="18"/>
          <w:szCs w:val="18"/>
        </w:rPr>
        <w:t>公司环境信息已在浙江省企业环境信息依法披露系统（</w:t>
      </w:r>
      <w:r w:rsidRPr="00FE5DAA">
        <w:rPr>
          <w:rFonts w:asciiTheme="minorEastAsia" w:eastAsiaTheme="minorEastAsia" w:hAnsiTheme="minorEastAsia" w:cs="Calibri"/>
          <w:sz w:val="18"/>
          <w:szCs w:val="18"/>
        </w:rPr>
        <w:t>http</w:t>
      </w:r>
      <w:r w:rsidRPr="00FE5DAA">
        <w:rPr>
          <w:rFonts w:asciiTheme="minorEastAsia" w:eastAsiaTheme="minorEastAsia" w:hAnsiTheme="minorEastAsia" w:cs="Calibri" w:hint="eastAsia"/>
          <w:sz w:val="18"/>
          <w:szCs w:val="18"/>
        </w:rPr>
        <w:t>：</w:t>
      </w:r>
      <w:r w:rsidRPr="00FE5DAA">
        <w:rPr>
          <w:rFonts w:asciiTheme="minorEastAsia" w:eastAsiaTheme="minorEastAsia" w:hAnsiTheme="minorEastAsia" w:cs="Calibri"/>
          <w:sz w:val="18"/>
          <w:szCs w:val="18"/>
        </w:rPr>
        <w:t>//223.4.69.45:8088/eps/</w:t>
      </w:r>
      <w:r w:rsidRPr="00FE5DAA">
        <w:rPr>
          <w:rFonts w:asciiTheme="minorEastAsia" w:eastAsiaTheme="minorEastAsia" w:hAnsiTheme="minorEastAsia" w:cs="Calibri" w:hint="eastAsia"/>
          <w:sz w:val="18"/>
          <w:szCs w:val="18"/>
        </w:rPr>
        <w:t>）进行披露。</w:t>
      </w:r>
    </w:p>
    <w:p w:rsidR="000F627F" w:rsidRPr="00FE5DAA" w:rsidRDefault="000F627F" w:rsidP="00FE5DAA">
      <w:pPr>
        <w:spacing w:before="100" w:after="100" w:line="240" w:lineRule="exact"/>
        <w:rPr>
          <w:rFonts w:ascii="宋体" w:eastAsia="宋体" w:hAnsi="宋体" w:cs="宋体"/>
          <w:sz w:val="18"/>
          <w:szCs w:val="18"/>
        </w:rPr>
      </w:pPr>
      <w:r>
        <w:rPr>
          <w:rFonts w:ascii="宋体" w:eastAsia="宋体" w:hAnsi="宋体" w:cs="宋体"/>
          <w:sz w:val="18"/>
          <w:szCs w:val="18"/>
        </w:rPr>
        <w:t>其他环保相关信息</w:t>
      </w:r>
      <w:r w:rsidR="00FE5DAA">
        <w:rPr>
          <w:rFonts w:ascii="宋体" w:eastAsia="宋体" w:hAnsi="宋体" w:cs="宋体" w:hint="eastAsia"/>
          <w:sz w:val="18"/>
          <w:szCs w:val="18"/>
        </w:rPr>
        <w:t>：</w:t>
      </w: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公司需遵守《深圳证券交易所上市公司自律监管指引第3号——行业信息披露》中纺织服装相关业的披露要求</w:t>
      </w:r>
    </w:p>
    <w:p w:rsidR="000F627F" w:rsidRPr="00FE5DAA" w:rsidRDefault="000F627F" w:rsidP="00FE5DAA">
      <w:pPr>
        <w:spacing w:before="100" w:after="100" w:line="240" w:lineRule="exact"/>
        <w:rPr>
          <w:rFonts w:ascii="宋体" w:eastAsia="宋体" w:hAnsi="宋体" w:cs="宋体"/>
          <w:sz w:val="18"/>
          <w:szCs w:val="18"/>
        </w:rPr>
      </w:pPr>
      <w:r>
        <w:rPr>
          <w:rFonts w:ascii="宋体" w:eastAsia="宋体" w:hAnsi="宋体" w:cs="宋体"/>
          <w:sz w:val="18"/>
          <w:szCs w:val="18"/>
        </w:rPr>
        <w:t>上市公司发生环境事故的相关情况</w:t>
      </w:r>
      <w:r w:rsidR="00FE5DAA">
        <w:rPr>
          <w:rFonts w:ascii="宋体" w:eastAsia="宋体" w:hAnsi="宋体" w:cs="宋体" w:hint="eastAsia"/>
          <w:sz w:val="18"/>
          <w:szCs w:val="18"/>
        </w:rPr>
        <w:t>：</w:t>
      </w:r>
      <w:r>
        <w:rPr>
          <w:rFonts w:hint="eastAsia"/>
          <w:sz w:val="18"/>
          <w:szCs w:val="18"/>
        </w:rPr>
        <w:t>无</w:t>
      </w:r>
    </w:p>
    <w:p w:rsidR="000D58D8" w:rsidRDefault="000F627F">
      <w:pPr>
        <w:pStyle w:val="2"/>
        <w:spacing w:before="300" w:after="300" w:line="320" w:lineRule="exact"/>
        <w:rPr>
          <w:rFonts w:ascii="宋体" w:eastAsia="宋体" w:hAnsi="宋体" w:cs="宋体"/>
          <w:b/>
          <w:bCs/>
          <w:sz w:val="24"/>
          <w:szCs w:val="24"/>
        </w:rPr>
      </w:pPr>
      <w:bookmarkStart w:id="105" w:name="_Toc988993"/>
      <w:r>
        <w:rPr>
          <w:rFonts w:ascii="宋体" w:eastAsia="宋体" w:hAnsi="宋体" w:cs="宋体"/>
          <w:b/>
          <w:bCs/>
          <w:sz w:val="24"/>
          <w:szCs w:val="24"/>
        </w:rPr>
        <w:t>二、社会责任情况</w:t>
      </w:r>
      <w:bookmarkEnd w:id="105"/>
    </w:p>
    <w:p w:rsidR="000F627F" w:rsidRDefault="000F627F">
      <w:pPr>
        <w:pStyle w:val="a3"/>
        <w:spacing w:before="0" w:beforeAutospacing="0" w:after="0" w:afterAutospacing="0"/>
        <w:jc w:val="both"/>
        <w:divId w:val="969238704"/>
        <w:rPr>
          <w:rFonts w:ascii="Calibri" w:hAnsi="Calibri" w:cs="Calibri"/>
          <w:sz w:val="21"/>
          <w:szCs w:val="21"/>
        </w:rPr>
      </w:pPr>
      <w:r>
        <w:rPr>
          <w:rFonts w:cs="Calibri" w:hint="eastAsia"/>
          <w:sz w:val="18"/>
          <w:szCs w:val="18"/>
        </w:rPr>
        <w:t>详情可参见公司于本报告同时披露在巨潮资讯网（</w:t>
      </w:r>
      <w:r>
        <w:rPr>
          <w:rFonts w:ascii="Times New Roman" w:hAnsi="Times New Roman" w:cs="Times New Roman"/>
          <w:sz w:val="18"/>
          <w:szCs w:val="18"/>
        </w:rPr>
        <w:t>http://www.cninfo.com.cn</w:t>
      </w:r>
      <w:r>
        <w:rPr>
          <w:rFonts w:cs="Calibri" w:hint="eastAsia"/>
          <w:sz w:val="18"/>
          <w:szCs w:val="18"/>
        </w:rPr>
        <w:t>）上的《</w:t>
      </w:r>
      <w:r>
        <w:rPr>
          <w:rFonts w:ascii="Times New Roman" w:hAnsi="Times New Roman" w:cs="Times New Roman"/>
          <w:sz w:val="18"/>
          <w:szCs w:val="18"/>
        </w:rPr>
        <w:t>2023</w:t>
      </w:r>
      <w:r>
        <w:rPr>
          <w:rFonts w:cs="Calibri" w:hint="eastAsia"/>
          <w:sz w:val="18"/>
          <w:szCs w:val="18"/>
        </w:rPr>
        <w:t>年度社会责任报告》。</w:t>
      </w:r>
    </w:p>
    <w:p w:rsidR="000D58D8" w:rsidRDefault="000F627F">
      <w:pPr>
        <w:pStyle w:val="2"/>
        <w:spacing w:before="300" w:after="300" w:line="320" w:lineRule="exact"/>
        <w:rPr>
          <w:rFonts w:ascii="宋体" w:eastAsia="宋体" w:hAnsi="宋体" w:cs="宋体"/>
          <w:b/>
          <w:bCs/>
          <w:sz w:val="24"/>
          <w:szCs w:val="24"/>
        </w:rPr>
      </w:pPr>
      <w:bookmarkStart w:id="106" w:name="_Toc988994"/>
      <w:r>
        <w:rPr>
          <w:rFonts w:ascii="宋体" w:eastAsia="宋体" w:hAnsi="宋体" w:cs="宋体"/>
          <w:b/>
          <w:bCs/>
          <w:sz w:val="24"/>
          <w:szCs w:val="24"/>
        </w:rPr>
        <w:t>三、巩固拓展脱贫攻坚成果、乡村振兴的情况</w:t>
      </w:r>
      <w:bookmarkEnd w:id="106"/>
    </w:p>
    <w:p w:rsidR="000F627F" w:rsidRDefault="000F627F">
      <w:pPr>
        <w:pStyle w:val="a3"/>
        <w:divId w:val="1349256063"/>
        <w:rPr>
          <w:sz w:val="18"/>
          <w:szCs w:val="18"/>
        </w:rPr>
      </w:pPr>
      <w:r>
        <w:rPr>
          <w:rFonts w:hint="eastAsia"/>
          <w:sz w:val="18"/>
          <w:szCs w:val="18"/>
        </w:rPr>
        <w:t>一、扶持弱势群体，共创幸福生活</w:t>
      </w:r>
    </w:p>
    <w:p w:rsidR="000F627F" w:rsidRDefault="000F627F">
      <w:pPr>
        <w:pStyle w:val="a3"/>
        <w:spacing w:before="0" w:beforeAutospacing="0" w:after="0" w:afterAutospacing="0" w:line="240" w:lineRule="atLeast"/>
        <w:ind w:firstLine="420"/>
        <w:jc w:val="both"/>
        <w:divId w:val="1349256063"/>
        <w:rPr>
          <w:rFonts w:ascii="Calibri" w:hAnsi="Calibri" w:cs="Calibri"/>
          <w:sz w:val="21"/>
          <w:szCs w:val="21"/>
        </w:rPr>
      </w:pPr>
      <w:r>
        <w:rPr>
          <w:rFonts w:cs="Calibri" w:hint="eastAsia"/>
          <w:color w:val="000000"/>
          <w:sz w:val="18"/>
          <w:szCs w:val="18"/>
        </w:rPr>
        <w:t>“</w:t>
      </w:r>
      <w:r>
        <w:rPr>
          <w:rFonts w:cs="Times New Roman" w:hint="eastAsia"/>
          <w:color w:val="000000"/>
          <w:sz w:val="18"/>
          <w:szCs w:val="18"/>
        </w:rPr>
        <w:t>用爱创造每一天</w:t>
      </w:r>
      <w:r>
        <w:rPr>
          <w:rFonts w:cs="Calibri" w:hint="eastAsia"/>
          <w:color w:val="000000"/>
          <w:sz w:val="18"/>
          <w:szCs w:val="18"/>
        </w:rPr>
        <w:t>”</w:t>
      </w:r>
      <w:r>
        <w:rPr>
          <w:rFonts w:cs="Times New Roman" w:hint="eastAsia"/>
          <w:color w:val="000000"/>
          <w:sz w:val="18"/>
          <w:szCs w:val="18"/>
        </w:rPr>
        <w:t>是华孚的核心价值观，也正是因为有了这样的理念</w:t>
      </w:r>
      <w:r>
        <w:rPr>
          <w:rFonts w:cs="Calibri" w:hint="eastAsia"/>
          <w:color w:val="000000"/>
          <w:sz w:val="18"/>
          <w:szCs w:val="18"/>
        </w:rPr>
        <w:t>，</w:t>
      </w:r>
      <w:r>
        <w:rPr>
          <w:rFonts w:cs="Times New Roman" w:hint="eastAsia"/>
          <w:color w:val="000000"/>
          <w:sz w:val="18"/>
          <w:szCs w:val="18"/>
        </w:rPr>
        <w:t>公司在取得良好经济效益的同时，也在积极回馈社会。公司重视对弱势群体的关爱，积极安排残疾人上岗就业，残疾员工来到华孚，拥有了稳定的工作和收入，真正实现了脱贫致富的梦想，并通过企业平台充分实现人生价值。</w:t>
      </w:r>
    </w:p>
    <w:p w:rsidR="000F627F" w:rsidRDefault="000F627F">
      <w:pPr>
        <w:pStyle w:val="a3"/>
        <w:spacing w:before="0" w:beforeAutospacing="0" w:after="0" w:afterAutospacing="0"/>
        <w:ind w:firstLine="420"/>
        <w:jc w:val="both"/>
        <w:divId w:val="1349256063"/>
        <w:rPr>
          <w:rFonts w:ascii="Calibri" w:hAnsi="Calibri" w:cs="Calibri"/>
          <w:sz w:val="21"/>
          <w:szCs w:val="21"/>
        </w:rPr>
      </w:pPr>
      <w:r>
        <w:rPr>
          <w:rFonts w:cs="Times New Roman" w:hint="eastAsia"/>
          <w:color w:val="000000"/>
          <w:sz w:val="18"/>
          <w:szCs w:val="18"/>
        </w:rPr>
        <w:t>华孚在新疆区域的部分企业，比如石河子华孚、</w:t>
      </w:r>
      <w:proofErr w:type="gramStart"/>
      <w:r>
        <w:rPr>
          <w:rFonts w:cs="Times New Roman" w:hint="eastAsia"/>
          <w:color w:val="000000"/>
          <w:sz w:val="18"/>
          <w:szCs w:val="18"/>
        </w:rPr>
        <w:t>六孚工业</w:t>
      </w:r>
      <w:proofErr w:type="gramEnd"/>
      <w:r>
        <w:rPr>
          <w:rFonts w:cs="Times New Roman" w:hint="eastAsia"/>
          <w:color w:val="000000"/>
          <w:sz w:val="18"/>
          <w:szCs w:val="18"/>
        </w:rPr>
        <w:t>园、阿克苏华孚积极</w:t>
      </w:r>
      <w:r>
        <w:rPr>
          <w:rFonts w:cs="Calibri" w:hint="eastAsia"/>
          <w:color w:val="000000"/>
          <w:sz w:val="18"/>
          <w:szCs w:val="18"/>
        </w:rPr>
        <w:t>安置</w:t>
      </w:r>
      <w:r>
        <w:rPr>
          <w:rFonts w:cs="Times New Roman" w:hint="eastAsia"/>
          <w:color w:val="000000"/>
          <w:sz w:val="18"/>
          <w:szCs w:val="18"/>
        </w:rPr>
        <w:t>残疾人员。据统计，目前华孚在新疆自治区共</w:t>
      </w:r>
      <w:r>
        <w:rPr>
          <w:rFonts w:cs="Calibri" w:hint="eastAsia"/>
          <w:color w:val="000000"/>
          <w:sz w:val="18"/>
          <w:szCs w:val="18"/>
        </w:rPr>
        <w:t>安置</w:t>
      </w:r>
      <w:r>
        <w:rPr>
          <w:rFonts w:cs="Times New Roman" w:hint="eastAsia"/>
          <w:color w:val="000000"/>
          <w:sz w:val="18"/>
          <w:szCs w:val="18"/>
        </w:rPr>
        <w:t>残疾人员</w:t>
      </w:r>
      <w:r>
        <w:rPr>
          <w:rFonts w:ascii="Times New Roman" w:hAnsi="Times New Roman" w:cs="Times New Roman"/>
          <w:color w:val="000000"/>
          <w:sz w:val="18"/>
          <w:szCs w:val="18"/>
        </w:rPr>
        <w:t>300</w:t>
      </w:r>
      <w:r>
        <w:rPr>
          <w:rFonts w:cs="Times New Roman" w:hint="eastAsia"/>
          <w:color w:val="000000"/>
          <w:sz w:val="18"/>
          <w:szCs w:val="18"/>
        </w:rPr>
        <w:t>余人。企业在改善残疾员工工作环境和住宿条件，丰富残疾员工文化生活，关爱、帮助残疾员工等方面做了大量工作，深受社会好评，先后被新疆自治区授予</w:t>
      </w:r>
      <w:r>
        <w:rPr>
          <w:rFonts w:cs="Calibri" w:hint="eastAsia"/>
          <w:color w:val="000000"/>
          <w:sz w:val="18"/>
          <w:szCs w:val="18"/>
        </w:rPr>
        <w:t>“</w:t>
      </w:r>
      <w:r>
        <w:rPr>
          <w:rFonts w:cs="Times New Roman" w:hint="eastAsia"/>
          <w:color w:val="000000"/>
          <w:sz w:val="18"/>
          <w:szCs w:val="18"/>
        </w:rPr>
        <w:t>安置残疾人就业先进单位</w:t>
      </w:r>
      <w:r>
        <w:rPr>
          <w:rFonts w:cs="Calibri" w:hint="eastAsia"/>
          <w:color w:val="000000"/>
          <w:sz w:val="18"/>
          <w:szCs w:val="18"/>
        </w:rPr>
        <w:t>”，</w:t>
      </w:r>
      <w:r>
        <w:rPr>
          <w:rFonts w:cs="Times New Roman" w:hint="eastAsia"/>
          <w:color w:val="000000"/>
          <w:sz w:val="18"/>
          <w:szCs w:val="18"/>
        </w:rPr>
        <w:t>被中国社会福利协会授予</w:t>
      </w:r>
      <w:r>
        <w:rPr>
          <w:rFonts w:cs="Calibri" w:hint="eastAsia"/>
          <w:color w:val="000000"/>
          <w:sz w:val="18"/>
          <w:szCs w:val="18"/>
        </w:rPr>
        <w:t>“</w:t>
      </w:r>
      <w:r>
        <w:rPr>
          <w:rFonts w:cs="Times New Roman" w:hint="eastAsia"/>
          <w:color w:val="000000"/>
          <w:sz w:val="18"/>
          <w:szCs w:val="18"/>
        </w:rPr>
        <w:t>全国福利企业示范单位</w:t>
      </w:r>
      <w:r>
        <w:rPr>
          <w:rFonts w:cs="Calibri" w:hint="eastAsia"/>
          <w:color w:val="000000"/>
          <w:sz w:val="18"/>
          <w:szCs w:val="18"/>
        </w:rPr>
        <w:t>”、“</w:t>
      </w:r>
      <w:r>
        <w:rPr>
          <w:rFonts w:cs="Times New Roman" w:hint="eastAsia"/>
          <w:color w:val="000000"/>
          <w:sz w:val="18"/>
          <w:szCs w:val="18"/>
        </w:rPr>
        <w:t>中国百强福利企业</w:t>
      </w:r>
      <w:r>
        <w:rPr>
          <w:rFonts w:cs="Calibri" w:hint="eastAsia"/>
          <w:color w:val="000000"/>
          <w:sz w:val="18"/>
          <w:szCs w:val="18"/>
        </w:rPr>
        <w:t>”、“全国助残先进集体”</w:t>
      </w:r>
      <w:r>
        <w:rPr>
          <w:rFonts w:cs="Times New Roman" w:hint="eastAsia"/>
          <w:color w:val="000000"/>
          <w:sz w:val="18"/>
          <w:szCs w:val="18"/>
        </w:rPr>
        <w:t>等</w:t>
      </w:r>
      <w:r>
        <w:rPr>
          <w:rFonts w:cs="Calibri" w:hint="eastAsia"/>
          <w:color w:val="000000"/>
          <w:sz w:val="18"/>
          <w:szCs w:val="18"/>
        </w:rPr>
        <w:t>。</w:t>
      </w:r>
    </w:p>
    <w:p w:rsidR="000F627F" w:rsidRDefault="000F627F">
      <w:pPr>
        <w:pStyle w:val="a3"/>
        <w:divId w:val="1349256063"/>
        <w:rPr>
          <w:sz w:val="18"/>
          <w:szCs w:val="18"/>
        </w:rPr>
      </w:pPr>
      <w:r>
        <w:rPr>
          <w:rFonts w:hint="eastAsia"/>
          <w:sz w:val="18"/>
          <w:szCs w:val="18"/>
        </w:rPr>
        <w:t>二、投身社会公益</w:t>
      </w:r>
    </w:p>
    <w:p w:rsidR="000F627F" w:rsidRDefault="000F627F">
      <w:pPr>
        <w:pStyle w:val="a3"/>
        <w:spacing w:before="0" w:beforeAutospacing="0" w:after="0" w:afterAutospacing="0"/>
        <w:ind w:firstLine="420"/>
        <w:jc w:val="both"/>
        <w:divId w:val="1349256063"/>
        <w:rPr>
          <w:rFonts w:ascii="Calibri" w:hAnsi="Calibri" w:cs="Calibri"/>
          <w:sz w:val="21"/>
          <w:szCs w:val="21"/>
        </w:rPr>
      </w:pPr>
      <w:r>
        <w:rPr>
          <w:rStyle w:val="15"/>
          <w:rFonts w:ascii="Times New Roman" w:hAnsi="Times New Roman" w:cs="Times New Roman"/>
          <w:color w:val="000000"/>
          <w:sz w:val="18"/>
          <w:szCs w:val="18"/>
          <w:shd w:val="clear" w:color="auto" w:fill="FFFFFF"/>
        </w:rPr>
        <w:t>2023</w:t>
      </w:r>
      <w:r>
        <w:rPr>
          <w:rStyle w:val="15"/>
          <w:rFonts w:cs="Times New Roman" w:hint="eastAsia"/>
          <w:color w:val="000000"/>
          <w:sz w:val="18"/>
          <w:szCs w:val="18"/>
          <w:shd w:val="clear" w:color="auto" w:fill="FFFFFF"/>
        </w:rPr>
        <w:t>年</w:t>
      </w:r>
      <w:r>
        <w:rPr>
          <w:rFonts w:cs="Times New Roman" w:hint="eastAsia"/>
          <w:color w:val="000000"/>
          <w:sz w:val="18"/>
          <w:szCs w:val="18"/>
          <w:shd w:val="clear" w:color="auto" w:fill="FFFFFF"/>
        </w:rPr>
        <w:t>，华孚在努力促进自身发展的同时，坚持</w:t>
      </w:r>
      <w:r>
        <w:rPr>
          <w:rFonts w:cs="Times New Roman" w:hint="eastAsia"/>
          <w:color w:val="000000"/>
          <w:sz w:val="18"/>
          <w:szCs w:val="18"/>
        </w:rPr>
        <w:t>力所能及地参与社会公益事业，在捐赠纺织科技教育基金、捐资助学、义务献血等各项慈善关爱事业方面积极回报社会。</w:t>
      </w:r>
    </w:p>
    <w:p w:rsidR="000F627F" w:rsidRDefault="000F627F">
      <w:pPr>
        <w:pStyle w:val="a3"/>
        <w:spacing w:before="0" w:beforeAutospacing="0" w:after="0" w:afterAutospacing="0"/>
        <w:ind w:firstLine="420"/>
        <w:jc w:val="both"/>
        <w:divId w:val="1349256063"/>
        <w:rPr>
          <w:rFonts w:ascii="Calibri" w:hAnsi="Calibri" w:cs="Calibri"/>
          <w:sz w:val="21"/>
          <w:szCs w:val="21"/>
        </w:rPr>
      </w:pPr>
      <w:r>
        <w:rPr>
          <w:rFonts w:cs="Calibri" w:hint="eastAsia"/>
          <w:color w:val="000000"/>
          <w:sz w:val="18"/>
          <w:szCs w:val="18"/>
        </w:rPr>
        <w:t>自华孚时尚成立以来，一直履行社会责任，投身社会公益。绍兴市上虞区慈善冠名基金从</w:t>
      </w:r>
      <w:r>
        <w:rPr>
          <w:rFonts w:ascii="Times New Roman" w:hAnsi="Times New Roman" w:cs="Times New Roman"/>
          <w:color w:val="000000"/>
          <w:sz w:val="18"/>
          <w:szCs w:val="18"/>
        </w:rPr>
        <w:t>2006</w:t>
      </w:r>
      <w:r>
        <w:rPr>
          <w:rFonts w:cs="Calibri" w:hint="eastAsia"/>
          <w:color w:val="000000"/>
          <w:sz w:val="18"/>
          <w:szCs w:val="18"/>
        </w:rPr>
        <w:t>年开始首次认捐，每轮</w:t>
      </w:r>
      <w:r>
        <w:rPr>
          <w:rFonts w:ascii="Times New Roman" w:hAnsi="Times New Roman" w:cs="Times New Roman"/>
          <w:color w:val="000000"/>
          <w:sz w:val="18"/>
          <w:szCs w:val="18"/>
        </w:rPr>
        <w:t>5</w:t>
      </w:r>
      <w:r>
        <w:rPr>
          <w:rFonts w:cs="Calibri" w:hint="eastAsia"/>
          <w:color w:val="000000"/>
          <w:sz w:val="18"/>
          <w:szCs w:val="18"/>
        </w:rPr>
        <w:t>年，截止</w:t>
      </w:r>
      <w:r>
        <w:rPr>
          <w:rFonts w:ascii="Times New Roman" w:hAnsi="Times New Roman" w:cs="Times New Roman"/>
          <w:color w:val="000000"/>
          <w:sz w:val="18"/>
          <w:szCs w:val="18"/>
        </w:rPr>
        <w:t>2023</w:t>
      </w:r>
      <w:r>
        <w:rPr>
          <w:rFonts w:cs="Calibri" w:hint="eastAsia"/>
          <w:color w:val="000000"/>
          <w:sz w:val="18"/>
          <w:szCs w:val="18"/>
        </w:rPr>
        <w:t>年，华孚在上虞连续冠名了四轮</w:t>
      </w:r>
      <w:r>
        <w:rPr>
          <w:rFonts w:ascii="Times New Roman" w:hAnsi="Times New Roman" w:cs="Times New Roman"/>
          <w:color w:val="000000"/>
          <w:sz w:val="18"/>
          <w:szCs w:val="18"/>
        </w:rPr>
        <w:t>1500</w:t>
      </w:r>
      <w:r>
        <w:rPr>
          <w:rFonts w:cs="Calibri" w:hint="eastAsia"/>
          <w:color w:val="000000"/>
          <w:sz w:val="18"/>
          <w:szCs w:val="18"/>
        </w:rPr>
        <w:t>万慈善基金。此外，华孚还在上虞冠名了</w:t>
      </w:r>
      <w:r>
        <w:rPr>
          <w:rFonts w:ascii="Times New Roman" w:hAnsi="Times New Roman" w:cs="Times New Roman"/>
          <w:color w:val="000000"/>
          <w:sz w:val="18"/>
          <w:szCs w:val="18"/>
        </w:rPr>
        <w:t>1000</w:t>
      </w:r>
      <w:r>
        <w:rPr>
          <w:rFonts w:cs="Calibri" w:hint="eastAsia"/>
          <w:color w:val="000000"/>
          <w:sz w:val="18"/>
          <w:szCs w:val="18"/>
        </w:rPr>
        <w:t>万的教育奖励基金，支持地方教育事业。</w:t>
      </w:r>
    </w:p>
    <w:p w:rsidR="000F627F" w:rsidRDefault="000F627F">
      <w:pPr>
        <w:pStyle w:val="a3"/>
        <w:spacing w:before="0" w:beforeAutospacing="0" w:after="0" w:afterAutospacing="0"/>
        <w:ind w:firstLine="420"/>
        <w:jc w:val="both"/>
        <w:divId w:val="1349256063"/>
        <w:rPr>
          <w:rFonts w:ascii="Calibri" w:hAnsi="Calibri" w:cs="Calibri"/>
          <w:sz w:val="21"/>
          <w:szCs w:val="21"/>
        </w:rPr>
      </w:pPr>
      <w:r>
        <w:rPr>
          <w:rFonts w:cs="Calibri" w:hint="eastAsia"/>
          <w:color w:val="000000"/>
          <w:sz w:val="18"/>
          <w:szCs w:val="18"/>
        </w:rPr>
        <w:t>近几年，华孚坚持履行社会责任，坚持</w:t>
      </w:r>
      <w:proofErr w:type="gramStart"/>
      <w:r>
        <w:rPr>
          <w:rFonts w:cs="Calibri" w:hint="eastAsia"/>
          <w:color w:val="000000"/>
          <w:sz w:val="18"/>
          <w:szCs w:val="18"/>
        </w:rPr>
        <w:t>践行</w:t>
      </w:r>
      <w:proofErr w:type="gramEnd"/>
      <w:r>
        <w:rPr>
          <w:rFonts w:cs="Calibri" w:hint="eastAsia"/>
          <w:color w:val="000000"/>
          <w:sz w:val="18"/>
          <w:szCs w:val="18"/>
        </w:rPr>
        <w:t>“不仅要做一个能企业，更要做一个好企业”的理念。</w:t>
      </w:r>
    </w:p>
    <w:p w:rsidR="000D58D8" w:rsidRDefault="000F627F">
      <w:r>
        <w:br w:type="page"/>
      </w:r>
    </w:p>
    <w:p w:rsidR="000D58D8" w:rsidRDefault="000F627F">
      <w:pPr>
        <w:pStyle w:val="headingh1"/>
        <w:spacing w:before="340" w:after="330" w:line="773" w:lineRule="exact"/>
        <w:jc w:val="center"/>
        <w:rPr>
          <w:rFonts w:ascii="宋体" w:eastAsia="宋体" w:hAnsi="宋体" w:cs="宋体"/>
          <w:b/>
          <w:bCs/>
          <w:sz w:val="32"/>
          <w:szCs w:val="32"/>
        </w:rPr>
      </w:pPr>
      <w:bookmarkStart w:id="107" w:name="_Toc988995"/>
      <w:r>
        <w:rPr>
          <w:rFonts w:ascii="宋体" w:eastAsia="宋体" w:hAnsi="宋体" w:cs="宋体"/>
          <w:b/>
          <w:bCs/>
          <w:sz w:val="32"/>
          <w:szCs w:val="32"/>
        </w:rPr>
        <w:lastRenderedPageBreak/>
        <w:t>第六节 重要事项</w:t>
      </w:r>
      <w:bookmarkEnd w:id="107"/>
    </w:p>
    <w:p w:rsidR="000D58D8" w:rsidRDefault="000F627F">
      <w:pPr>
        <w:pStyle w:val="2"/>
        <w:spacing w:before="300" w:after="300" w:line="320" w:lineRule="exact"/>
        <w:rPr>
          <w:rFonts w:ascii="宋体" w:eastAsia="宋体" w:hAnsi="宋体" w:cs="宋体"/>
          <w:b/>
          <w:bCs/>
          <w:sz w:val="24"/>
          <w:szCs w:val="24"/>
        </w:rPr>
      </w:pPr>
      <w:bookmarkStart w:id="108" w:name="_Toc988996"/>
      <w:r>
        <w:rPr>
          <w:rFonts w:ascii="宋体" w:eastAsia="宋体" w:hAnsi="宋体" w:cs="宋体"/>
          <w:b/>
          <w:bCs/>
          <w:sz w:val="24"/>
          <w:szCs w:val="24"/>
        </w:rPr>
        <w:t>一、承诺事项履行情况</w:t>
      </w:r>
      <w:bookmarkEnd w:id="108"/>
    </w:p>
    <w:p w:rsidR="000D58D8" w:rsidRDefault="000F627F">
      <w:pPr>
        <w:pStyle w:val="3"/>
        <w:spacing w:line="280" w:lineRule="exact"/>
        <w:jc w:val="left"/>
        <w:rPr>
          <w:rFonts w:ascii="宋体" w:hAnsi="宋体" w:cs="宋体"/>
          <w:b/>
          <w:bCs/>
        </w:rPr>
      </w:pPr>
      <w:bookmarkStart w:id="109" w:name="_Toc988997"/>
      <w:r>
        <w:rPr>
          <w:rFonts w:ascii="宋体" w:hAnsi="宋体" w:cs="宋体"/>
          <w:b/>
          <w:bCs/>
        </w:rPr>
        <w:t>1、公司实际控制人、股东、关联方、收购人以及公司等承诺相关方在报告期内履行完毕及截至报告期末尚未履行完毕的承诺事项</w:t>
      </w:r>
      <w:bookmarkEnd w:id="10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公司报告期不存在由公司实际控制人、股东、关联方、收购人以及公司等承诺相关方在报告期内履行完毕及截至报告期末尚未履行完毕的承诺事项。</w:t>
      </w:r>
    </w:p>
    <w:p w:rsidR="000D58D8" w:rsidRDefault="000F627F">
      <w:pPr>
        <w:pStyle w:val="3"/>
        <w:spacing w:line="280" w:lineRule="exact"/>
        <w:jc w:val="left"/>
        <w:rPr>
          <w:rFonts w:ascii="宋体" w:hAnsi="宋体" w:cs="宋体"/>
          <w:b/>
          <w:bCs/>
        </w:rPr>
      </w:pPr>
      <w:bookmarkStart w:id="110" w:name="_Toc988998"/>
      <w:r>
        <w:rPr>
          <w:rFonts w:ascii="宋体" w:hAnsi="宋体" w:cs="宋体"/>
          <w:b/>
          <w:bCs/>
        </w:rPr>
        <w:t>2、公司资产或项目存在盈利预测，</w:t>
      </w:r>
      <w:proofErr w:type="gramStart"/>
      <w:r>
        <w:rPr>
          <w:rFonts w:ascii="宋体" w:hAnsi="宋体" w:cs="宋体"/>
          <w:b/>
          <w:bCs/>
        </w:rPr>
        <w:t>且报告</w:t>
      </w:r>
      <w:proofErr w:type="gramEnd"/>
      <w:r>
        <w:rPr>
          <w:rFonts w:ascii="宋体" w:hAnsi="宋体" w:cs="宋体"/>
          <w:b/>
          <w:bCs/>
        </w:rPr>
        <w:t>期仍处在盈利预测期间，公司就资产或项目达到原盈利预测及其原因做出说明</w:t>
      </w:r>
      <w:bookmarkEnd w:id="11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2"/>
        <w:spacing w:before="300" w:after="300" w:line="320" w:lineRule="exact"/>
        <w:rPr>
          <w:rFonts w:ascii="宋体" w:eastAsia="宋体" w:hAnsi="宋体" w:cs="宋体"/>
          <w:b/>
          <w:bCs/>
          <w:sz w:val="24"/>
          <w:szCs w:val="24"/>
        </w:rPr>
      </w:pPr>
      <w:bookmarkStart w:id="111" w:name="_Toc988999"/>
      <w:r>
        <w:rPr>
          <w:rFonts w:ascii="宋体" w:eastAsia="宋体" w:hAnsi="宋体" w:cs="宋体"/>
          <w:b/>
          <w:bCs/>
          <w:sz w:val="24"/>
          <w:szCs w:val="24"/>
        </w:rPr>
        <w:t>二、控股股东及其他关联方对上市公司的非经营性占用资金情况</w:t>
      </w:r>
      <w:bookmarkEnd w:id="11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公司报告期不存在控股股东及其他关联方对上市公司的非经营性占用资金。</w:t>
      </w:r>
    </w:p>
    <w:p w:rsidR="000D58D8" w:rsidRDefault="000F627F">
      <w:pPr>
        <w:pStyle w:val="2"/>
        <w:spacing w:before="300" w:after="300" w:line="320" w:lineRule="exact"/>
        <w:rPr>
          <w:rFonts w:ascii="宋体" w:eastAsia="宋体" w:hAnsi="宋体" w:cs="宋体"/>
          <w:b/>
          <w:bCs/>
          <w:sz w:val="24"/>
          <w:szCs w:val="24"/>
        </w:rPr>
      </w:pPr>
      <w:bookmarkStart w:id="112" w:name="_Toc989000"/>
      <w:r>
        <w:rPr>
          <w:rFonts w:ascii="宋体" w:eastAsia="宋体" w:hAnsi="宋体" w:cs="宋体"/>
          <w:b/>
          <w:bCs/>
          <w:sz w:val="24"/>
          <w:szCs w:val="24"/>
        </w:rPr>
        <w:t>三、违规对外担保情况</w:t>
      </w:r>
      <w:bookmarkEnd w:id="112"/>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公司报告期无违规对外担保情况。</w:t>
      </w:r>
    </w:p>
    <w:p w:rsidR="000D58D8" w:rsidRDefault="000F627F">
      <w:pPr>
        <w:pStyle w:val="2"/>
        <w:spacing w:before="300" w:after="300" w:line="320" w:lineRule="exact"/>
        <w:rPr>
          <w:rFonts w:ascii="宋体" w:eastAsia="宋体" w:hAnsi="宋体" w:cs="宋体"/>
          <w:b/>
          <w:bCs/>
          <w:sz w:val="24"/>
          <w:szCs w:val="24"/>
        </w:rPr>
      </w:pPr>
      <w:bookmarkStart w:id="113" w:name="_Toc989001"/>
      <w:r>
        <w:rPr>
          <w:rFonts w:ascii="宋体" w:eastAsia="宋体" w:hAnsi="宋体" w:cs="宋体"/>
          <w:b/>
          <w:bCs/>
          <w:sz w:val="24"/>
          <w:szCs w:val="24"/>
        </w:rPr>
        <w:t>四、董事会对最近一期“非标准审计报告”相关情况的说明</w:t>
      </w:r>
      <w:bookmarkEnd w:id="11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2"/>
        <w:spacing w:before="300" w:after="300" w:line="320" w:lineRule="exact"/>
        <w:rPr>
          <w:rFonts w:ascii="宋体" w:eastAsia="宋体" w:hAnsi="宋体" w:cs="宋体"/>
          <w:b/>
          <w:bCs/>
          <w:sz w:val="24"/>
          <w:szCs w:val="24"/>
        </w:rPr>
      </w:pPr>
      <w:bookmarkStart w:id="114" w:name="_Toc989002"/>
      <w:r>
        <w:rPr>
          <w:rFonts w:ascii="宋体" w:eastAsia="宋体" w:hAnsi="宋体" w:cs="宋体"/>
          <w:b/>
          <w:bCs/>
          <w:sz w:val="24"/>
          <w:szCs w:val="24"/>
        </w:rPr>
        <w:t>五、董事会、监事会、独立董事（如有）对会计师事务所本报告期“非标准审计报告”的说明</w:t>
      </w:r>
      <w:bookmarkEnd w:id="114"/>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2"/>
        <w:spacing w:before="300" w:after="300" w:line="320" w:lineRule="exact"/>
        <w:rPr>
          <w:rFonts w:ascii="宋体" w:eastAsia="宋体" w:hAnsi="宋体" w:cs="宋体"/>
          <w:b/>
          <w:bCs/>
          <w:sz w:val="24"/>
          <w:szCs w:val="24"/>
        </w:rPr>
      </w:pPr>
      <w:bookmarkStart w:id="115" w:name="_Toc989003"/>
      <w:r>
        <w:rPr>
          <w:rFonts w:ascii="宋体" w:eastAsia="宋体" w:hAnsi="宋体" w:cs="宋体"/>
          <w:b/>
          <w:bCs/>
          <w:sz w:val="24"/>
          <w:szCs w:val="24"/>
        </w:rPr>
        <w:t xml:space="preserve">六、与上年度财务报告相比，会计政策、会计估计变更或重大会计差错更正的情况说明 </w:t>
      </w:r>
      <w:bookmarkEnd w:id="115"/>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公司报告期无会计政策、会计估计变更或重大会计差错更正的情况。</w:t>
      </w:r>
    </w:p>
    <w:p w:rsidR="000D58D8" w:rsidRDefault="000F627F">
      <w:pPr>
        <w:pStyle w:val="2"/>
        <w:spacing w:before="300" w:after="300" w:line="320" w:lineRule="exact"/>
        <w:rPr>
          <w:rFonts w:ascii="宋体" w:eastAsia="宋体" w:hAnsi="宋体" w:cs="宋体"/>
          <w:b/>
          <w:bCs/>
          <w:sz w:val="24"/>
          <w:szCs w:val="24"/>
        </w:rPr>
      </w:pPr>
      <w:bookmarkStart w:id="116" w:name="_Toc989004"/>
      <w:r>
        <w:rPr>
          <w:rFonts w:ascii="宋体" w:eastAsia="宋体" w:hAnsi="宋体" w:cs="宋体"/>
          <w:b/>
          <w:bCs/>
          <w:sz w:val="24"/>
          <w:szCs w:val="24"/>
        </w:rPr>
        <w:t>七、与上年度财务报告相比，合并报表范围发生变化的情况说明</w:t>
      </w:r>
      <w:bookmarkEnd w:id="11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F627F" w:rsidRDefault="000F627F">
      <w:pPr>
        <w:pStyle w:val="a3"/>
        <w:divId w:val="358744821"/>
      </w:pPr>
      <w:r>
        <w:rPr>
          <w:rFonts w:hint="eastAsia"/>
          <w:sz w:val="18"/>
          <w:szCs w:val="18"/>
        </w:rPr>
        <w:t>1、本期新纳入合并范围的子公司</w:t>
      </w:r>
    </w:p>
    <w:tbl>
      <w:tblPr>
        <w:tblW w:w="9654" w:type="dxa"/>
        <w:jc w:val="center"/>
        <w:tblCellMar>
          <w:left w:w="0" w:type="dxa"/>
          <w:right w:w="0" w:type="dxa"/>
        </w:tblCellMar>
        <w:tblLook w:val="04A0" w:firstRow="1" w:lastRow="0" w:firstColumn="1" w:lastColumn="0" w:noHBand="0" w:noVBand="1"/>
      </w:tblPr>
      <w:tblGrid>
        <w:gridCol w:w="6000"/>
        <w:gridCol w:w="3654"/>
      </w:tblGrid>
      <w:tr w:rsidR="000F627F" w:rsidTr="00FE5DAA">
        <w:trPr>
          <w:divId w:val="358744821"/>
          <w:trHeight w:val="270"/>
          <w:jc w:val="center"/>
        </w:trPr>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lastRenderedPageBreak/>
              <w:t>名称</w:t>
            </w:r>
          </w:p>
        </w:tc>
        <w:tc>
          <w:tcPr>
            <w:tcW w:w="365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变更原因</w:t>
            </w:r>
          </w:p>
        </w:tc>
      </w:tr>
      <w:tr w:rsidR="000F627F" w:rsidTr="00FE5DAA">
        <w:trPr>
          <w:divId w:val="358744821"/>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浙江果实设计有限公司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E5DAA">
        <w:trPr>
          <w:divId w:val="358744821"/>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浙江其实科技有限公司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E5DAA">
        <w:trPr>
          <w:divId w:val="358744821"/>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浙江果实纺织科技有限公司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E5DAA">
        <w:trPr>
          <w:divId w:val="358744821"/>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浙江达米安品牌管理有限公司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E5DAA">
        <w:trPr>
          <w:divId w:val="358744821"/>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新疆盛孚棉业有限公司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E5DAA">
        <w:trPr>
          <w:divId w:val="358744821"/>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新疆泽孚棉花有限公司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E5DAA">
        <w:trPr>
          <w:divId w:val="358744821"/>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新疆华孚宏丰农业开发有限公司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E5DAA">
        <w:trPr>
          <w:divId w:val="358744821"/>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淮北华孚新能源有限公司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E5DAA">
        <w:trPr>
          <w:divId w:val="358744821"/>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平湖市科新贸易有限公司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E5DAA">
        <w:trPr>
          <w:divId w:val="358744821"/>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岳普湖</w:t>
            </w:r>
            <w:proofErr w:type="gramStart"/>
            <w:r>
              <w:rPr>
                <w:rFonts w:hint="eastAsia"/>
                <w:sz w:val="18"/>
                <w:szCs w:val="18"/>
              </w:rPr>
              <w:t>嘉孚棉</w:t>
            </w:r>
            <w:proofErr w:type="gramEnd"/>
            <w:r>
              <w:rPr>
                <w:rFonts w:hint="eastAsia"/>
                <w:sz w:val="18"/>
                <w:szCs w:val="18"/>
              </w:rPr>
              <w:t>业有限公司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E5DAA">
        <w:trPr>
          <w:divId w:val="358744821"/>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岳普湖</w:t>
            </w:r>
            <w:proofErr w:type="gramStart"/>
            <w:r>
              <w:rPr>
                <w:rFonts w:hint="eastAsia"/>
                <w:sz w:val="18"/>
                <w:szCs w:val="18"/>
              </w:rPr>
              <w:t>恒孚棉</w:t>
            </w:r>
            <w:proofErr w:type="gramEnd"/>
            <w:r>
              <w:rPr>
                <w:rFonts w:hint="eastAsia"/>
                <w:sz w:val="18"/>
                <w:szCs w:val="18"/>
              </w:rPr>
              <w:t>业有限公司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E5DAA">
        <w:trPr>
          <w:divId w:val="358744821"/>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岳普湖</w:t>
            </w:r>
            <w:proofErr w:type="gramStart"/>
            <w:r>
              <w:rPr>
                <w:rFonts w:hint="eastAsia"/>
                <w:sz w:val="18"/>
                <w:szCs w:val="18"/>
              </w:rPr>
              <w:t>鑫孚棉</w:t>
            </w:r>
            <w:proofErr w:type="gramEnd"/>
            <w:r>
              <w:rPr>
                <w:rFonts w:hint="eastAsia"/>
                <w:sz w:val="18"/>
                <w:szCs w:val="18"/>
              </w:rPr>
              <w:t>业有限公司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E5DAA">
        <w:trPr>
          <w:divId w:val="358744821"/>
          <w:trHeight w:val="45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proofErr w:type="gramStart"/>
            <w:r>
              <w:rPr>
                <w:rFonts w:hint="eastAsia"/>
                <w:sz w:val="18"/>
                <w:szCs w:val="18"/>
              </w:rPr>
              <w:t>伽师润孚棉花</w:t>
            </w:r>
            <w:proofErr w:type="gramEnd"/>
            <w:r>
              <w:rPr>
                <w:rFonts w:hint="eastAsia"/>
                <w:sz w:val="18"/>
                <w:szCs w:val="18"/>
              </w:rPr>
              <w:t>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E5DAA">
        <w:trPr>
          <w:divId w:val="358744821"/>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伽师</w:t>
            </w:r>
            <w:proofErr w:type="gramStart"/>
            <w:r>
              <w:rPr>
                <w:rFonts w:hint="eastAsia"/>
                <w:sz w:val="18"/>
                <w:szCs w:val="18"/>
              </w:rPr>
              <w:t>锦孚棉</w:t>
            </w:r>
            <w:proofErr w:type="gramEnd"/>
            <w:r>
              <w:rPr>
                <w:rFonts w:hint="eastAsia"/>
                <w:sz w:val="18"/>
                <w:szCs w:val="18"/>
              </w:rPr>
              <w:t>业有限公司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FE5DAA">
        <w:trPr>
          <w:divId w:val="358744821"/>
          <w:trHeight w:val="270"/>
          <w:jc w:val="center"/>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proofErr w:type="gramStart"/>
            <w:r>
              <w:rPr>
                <w:rFonts w:hint="eastAsia"/>
                <w:sz w:val="18"/>
                <w:szCs w:val="18"/>
              </w:rPr>
              <w:t>伽师德孚棉业</w:t>
            </w:r>
            <w:proofErr w:type="gramEnd"/>
            <w:r>
              <w:rPr>
                <w:rFonts w:hint="eastAsia"/>
                <w:sz w:val="18"/>
                <w:szCs w:val="18"/>
              </w:rPr>
              <w:t>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bl>
    <w:p w:rsidR="000F627F" w:rsidRDefault="000F627F">
      <w:pPr>
        <w:pStyle w:val="a3"/>
        <w:divId w:val="358744821"/>
      </w:pPr>
      <w:r>
        <w:rPr>
          <w:rFonts w:hint="eastAsia"/>
          <w:sz w:val="18"/>
          <w:szCs w:val="18"/>
        </w:rPr>
        <w:t>2.本期不纳入合并范围的子公司</w:t>
      </w:r>
    </w:p>
    <w:tbl>
      <w:tblPr>
        <w:tblW w:w="9654" w:type="dxa"/>
        <w:tblCellMar>
          <w:left w:w="0" w:type="dxa"/>
          <w:right w:w="0" w:type="dxa"/>
        </w:tblCellMar>
        <w:tblLook w:val="04A0" w:firstRow="1" w:lastRow="0" w:firstColumn="1" w:lastColumn="0" w:noHBand="0" w:noVBand="1"/>
      </w:tblPr>
      <w:tblGrid>
        <w:gridCol w:w="6000"/>
        <w:gridCol w:w="3654"/>
      </w:tblGrid>
      <w:tr w:rsidR="000F627F" w:rsidTr="00FE5DAA">
        <w:trPr>
          <w:divId w:val="358744821"/>
          <w:trHeight w:val="270"/>
        </w:trPr>
        <w:tc>
          <w:tcPr>
            <w:tcW w:w="60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名称</w:t>
            </w:r>
          </w:p>
        </w:tc>
        <w:tc>
          <w:tcPr>
            <w:tcW w:w="365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变更原因</w:t>
            </w:r>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新疆天路智能制造有限公司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注销</w:t>
            </w:r>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绍兴市上虞华孚物流有限公司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注销</w:t>
            </w:r>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浙江阿大贸易有限公司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注销</w:t>
            </w:r>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诸暨市</w:t>
            </w:r>
            <w:proofErr w:type="gramStart"/>
            <w:r>
              <w:rPr>
                <w:rFonts w:cs="Calibri" w:hint="eastAsia"/>
                <w:color w:val="000000"/>
                <w:sz w:val="18"/>
                <w:szCs w:val="18"/>
              </w:rPr>
              <w:t>鲲驰投资</w:t>
            </w:r>
            <w:proofErr w:type="gramEnd"/>
            <w:r>
              <w:rPr>
                <w:rFonts w:cs="Calibri" w:hint="eastAsia"/>
                <w:color w:val="000000"/>
                <w:sz w:val="18"/>
                <w:szCs w:val="18"/>
              </w:rPr>
              <w:t>管理合伙企业（有限合伙）</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注销</w:t>
            </w:r>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金华市</w:t>
            </w:r>
            <w:proofErr w:type="gramStart"/>
            <w:r>
              <w:rPr>
                <w:rFonts w:cs="Calibri" w:hint="eastAsia"/>
                <w:color w:val="000000"/>
                <w:sz w:val="18"/>
                <w:szCs w:val="18"/>
              </w:rPr>
              <w:t>菁英网红</w:t>
            </w:r>
            <w:proofErr w:type="gramEnd"/>
            <w:r>
              <w:rPr>
                <w:rFonts w:cs="Calibri" w:hint="eastAsia"/>
                <w:color w:val="000000"/>
                <w:sz w:val="18"/>
                <w:szCs w:val="18"/>
              </w:rPr>
              <w:t>品牌管理有限公司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注销</w:t>
            </w:r>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浙江铭孚针纺有限公司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注销</w:t>
            </w:r>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呼图壁县</w:t>
            </w:r>
            <w:proofErr w:type="gramStart"/>
            <w:r>
              <w:rPr>
                <w:rFonts w:cs="Calibri" w:hint="eastAsia"/>
                <w:color w:val="000000"/>
                <w:sz w:val="18"/>
                <w:szCs w:val="18"/>
              </w:rPr>
              <w:t>宏盛棉业</w:t>
            </w:r>
            <w:proofErr w:type="gramEnd"/>
            <w:r>
              <w:rPr>
                <w:rFonts w:cs="Calibri" w:hint="eastAsia"/>
                <w:color w:val="000000"/>
                <w:sz w:val="18"/>
                <w:szCs w:val="18"/>
              </w:rPr>
              <w:t>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非同控转让</w:t>
            </w:r>
            <w:proofErr w:type="gramEnd"/>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库车</w:t>
            </w:r>
            <w:proofErr w:type="gramStart"/>
            <w:r>
              <w:rPr>
                <w:rFonts w:cs="Calibri" w:hint="eastAsia"/>
                <w:color w:val="000000"/>
                <w:sz w:val="18"/>
                <w:szCs w:val="18"/>
              </w:rPr>
              <w:t>恒丰棉业</w:t>
            </w:r>
            <w:proofErr w:type="gramEnd"/>
            <w:r>
              <w:rPr>
                <w:rFonts w:cs="Calibri" w:hint="eastAsia"/>
                <w:color w:val="000000"/>
                <w:sz w:val="18"/>
                <w:szCs w:val="18"/>
              </w:rPr>
              <w:t>有限责任公司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非同控转让</w:t>
            </w:r>
            <w:proofErr w:type="gramEnd"/>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新疆棉花产业（集团）叶城棉业有限责任公司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非同控转让</w:t>
            </w:r>
            <w:proofErr w:type="gramEnd"/>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sz w:val="18"/>
                <w:szCs w:val="18"/>
              </w:rPr>
              <w:t>新疆棉花产业集团泽普棉业有限公司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非同控转让</w:t>
            </w:r>
            <w:proofErr w:type="gramEnd"/>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浙江博忆纺织科技有限公司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非同控转让</w:t>
            </w:r>
            <w:proofErr w:type="gramEnd"/>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浙江双琪进出口有限公司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非同控转让</w:t>
            </w:r>
            <w:proofErr w:type="gramEnd"/>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浙江诸暨科宁投资有限公司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非同控转让</w:t>
            </w:r>
            <w:proofErr w:type="gramEnd"/>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诸暨广</w:t>
            </w:r>
            <w:proofErr w:type="gramStart"/>
            <w:r>
              <w:rPr>
                <w:rFonts w:cs="Calibri" w:hint="eastAsia"/>
                <w:color w:val="000000"/>
                <w:sz w:val="18"/>
                <w:szCs w:val="18"/>
              </w:rPr>
              <w:t>昊</w:t>
            </w:r>
            <w:proofErr w:type="gramEnd"/>
            <w:r>
              <w:rPr>
                <w:rFonts w:cs="Calibri" w:hint="eastAsia"/>
                <w:color w:val="000000"/>
                <w:sz w:val="18"/>
                <w:szCs w:val="18"/>
              </w:rPr>
              <w:t>纺织有限公司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非同控转让</w:t>
            </w:r>
            <w:proofErr w:type="gramEnd"/>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新疆科宁针纺科技有限公司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非同控转让</w:t>
            </w:r>
            <w:proofErr w:type="gramEnd"/>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乌什县阿大纺织有限公司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非同控转让</w:t>
            </w:r>
            <w:proofErr w:type="gramEnd"/>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安徽博忆纺织科技有限公司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非同控转让</w:t>
            </w:r>
            <w:proofErr w:type="gramEnd"/>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岳普湖</w:t>
            </w:r>
            <w:proofErr w:type="gramStart"/>
            <w:r>
              <w:rPr>
                <w:rFonts w:cs="Calibri" w:hint="eastAsia"/>
                <w:color w:val="000000"/>
                <w:sz w:val="18"/>
                <w:szCs w:val="18"/>
              </w:rPr>
              <w:t>嘉孚棉</w:t>
            </w:r>
            <w:proofErr w:type="gramEnd"/>
            <w:r>
              <w:rPr>
                <w:rFonts w:cs="Calibri" w:hint="eastAsia"/>
                <w:color w:val="000000"/>
                <w:sz w:val="18"/>
                <w:szCs w:val="18"/>
              </w:rPr>
              <w:t>业有限公司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非同控转让</w:t>
            </w:r>
            <w:proofErr w:type="gramEnd"/>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岳普湖</w:t>
            </w:r>
            <w:proofErr w:type="gramStart"/>
            <w:r>
              <w:rPr>
                <w:rFonts w:cs="Calibri" w:hint="eastAsia"/>
                <w:color w:val="000000"/>
                <w:sz w:val="18"/>
                <w:szCs w:val="18"/>
              </w:rPr>
              <w:t>恒孚棉</w:t>
            </w:r>
            <w:proofErr w:type="gramEnd"/>
            <w:r>
              <w:rPr>
                <w:rFonts w:cs="Calibri" w:hint="eastAsia"/>
                <w:color w:val="000000"/>
                <w:sz w:val="18"/>
                <w:szCs w:val="18"/>
              </w:rPr>
              <w:t>业有限公司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非同控转让</w:t>
            </w:r>
            <w:proofErr w:type="gramEnd"/>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岳普湖</w:t>
            </w:r>
            <w:proofErr w:type="gramStart"/>
            <w:r>
              <w:rPr>
                <w:rFonts w:cs="Calibri" w:hint="eastAsia"/>
                <w:color w:val="000000"/>
                <w:sz w:val="18"/>
                <w:szCs w:val="18"/>
              </w:rPr>
              <w:t>鑫孚棉</w:t>
            </w:r>
            <w:proofErr w:type="gramEnd"/>
            <w:r>
              <w:rPr>
                <w:rFonts w:cs="Calibri" w:hint="eastAsia"/>
                <w:color w:val="000000"/>
                <w:sz w:val="18"/>
                <w:szCs w:val="18"/>
              </w:rPr>
              <w:t>业有限公司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非同控转让</w:t>
            </w:r>
            <w:proofErr w:type="gramEnd"/>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伽师润孚棉花</w:t>
            </w:r>
            <w:proofErr w:type="gramEnd"/>
            <w:r>
              <w:rPr>
                <w:rFonts w:cs="Calibri" w:hint="eastAsia"/>
                <w:color w:val="000000"/>
                <w:sz w:val="18"/>
                <w:szCs w:val="18"/>
              </w:rPr>
              <w:t>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非同控转让</w:t>
            </w:r>
            <w:proofErr w:type="gramEnd"/>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r>
              <w:rPr>
                <w:rFonts w:cs="Calibri" w:hint="eastAsia"/>
                <w:color w:val="000000"/>
                <w:sz w:val="18"/>
                <w:szCs w:val="18"/>
              </w:rPr>
              <w:t>伽师</w:t>
            </w:r>
            <w:proofErr w:type="gramStart"/>
            <w:r>
              <w:rPr>
                <w:rFonts w:cs="Calibri" w:hint="eastAsia"/>
                <w:color w:val="000000"/>
                <w:sz w:val="18"/>
                <w:szCs w:val="18"/>
              </w:rPr>
              <w:t>锦孚棉</w:t>
            </w:r>
            <w:proofErr w:type="gramEnd"/>
            <w:r>
              <w:rPr>
                <w:rFonts w:cs="Calibri" w:hint="eastAsia"/>
                <w:color w:val="000000"/>
                <w:sz w:val="18"/>
                <w:szCs w:val="18"/>
              </w:rPr>
              <w:t>业有限公司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非同控转让</w:t>
            </w:r>
            <w:proofErr w:type="gramEnd"/>
          </w:p>
        </w:tc>
      </w:tr>
      <w:tr w:rsidR="000F627F" w:rsidTr="00FE5DAA">
        <w:trPr>
          <w:divId w:val="358744821"/>
          <w:trHeight w:val="270"/>
        </w:trPr>
        <w:tc>
          <w:tcPr>
            <w:tcW w:w="600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伽师德孚棉业</w:t>
            </w:r>
            <w:proofErr w:type="gramEnd"/>
            <w:r>
              <w:rPr>
                <w:rFonts w:cs="Calibri" w:hint="eastAsia"/>
                <w:color w:val="000000"/>
                <w:sz w:val="18"/>
                <w:szCs w:val="18"/>
              </w:rPr>
              <w:t>有限公司</w:t>
            </w:r>
          </w:p>
        </w:tc>
        <w:tc>
          <w:tcPr>
            <w:tcW w:w="365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pStyle w:val="a3"/>
              <w:spacing w:before="0" w:beforeAutospacing="0" w:after="0" w:afterAutospacing="0"/>
              <w:jc w:val="center"/>
              <w:rPr>
                <w:rFonts w:ascii="Calibri" w:hAnsi="Calibri" w:cs="Calibri"/>
                <w:sz w:val="21"/>
                <w:szCs w:val="21"/>
              </w:rPr>
            </w:pPr>
            <w:proofErr w:type="gramStart"/>
            <w:r>
              <w:rPr>
                <w:rFonts w:cs="Calibri" w:hint="eastAsia"/>
                <w:color w:val="000000"/>
                <w:sz w:val="18"/>
                <w:szCs w:val="18"/>
              </w:rPr>
              <w:t>非同控转让</w:t>
            </w:r>
            <w:proofErr w:type="gramEnd"/>
          </w:p>
        </w:tc>
      </w:tr>
    </w:tbl>
    <w:p w:rsidR="000D58D8" w:rsidRDefault="000F627F">
      <w:pPr>
        <w:pStyle w:val="2"/>
        <w:spacing w:before="300" w:after="300" w:line="320" w:lineRule="exact"/>
        <w:rPr>
          <w:rFonts w:ascii="宋体" w:eastAsia="宋体" w:hAnsi="宋体" w:cs="宋体"/>
          <w:b/>
          <w:bCs/>
          <w:sz w:val="24"/>
          <w:szCs w:val="24"/>
        </w:rPr>
      </w:pPr>
      <w:bookmarkStart w:id="117" w:name="_Toc989005"/>
      <w:r>
        <w:rPr>
          <w:rFonts w:ascii="宋体" w:eastAsia="宋体" w:hAnsi="宋体" w:cs="宋体"/>
          <w:b/>
          <w:bCs/>
          <w:sz w:val="24"/>
          <w:szCs w:val="24"/>
        </w:rPr>
        <w:t>八、聘任、解聘会计师事务所情况</w:t>
      </w:r>
      <w:bookmarkEnd w:id="117"/>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现聘任的会计师事务所</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境内会计师事务所名称</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深圳大华国际会计师事务所(特殊普通合伙)</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境内会计师事务所报酬（万元）</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150</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境内会计师事务所审计服务的连续年限</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境内会计师事务所注册会计师姓名</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陈磊、张吉宝</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境内会计师事务所注册会计师审计服务的连续年限</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陈磊1年，张吉宝2年</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当期是否改聘会计师事务所</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是否在审计期间改聘会计师事务所</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更换会计师事务所是否履行审批程序</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对改聘、变更会计师事务所情况的详细说明</w:t>
      </w:r>
    </w:p>
    <w:p w:rsidR="000F627F" w:rsidRPr="00FE5DAA" w:rsidRDefault="000F627F" w:rsidP="00FE5DAA">
      <w:pPr>
        <w:pStyle w:val="a3"/>
        <w:shd w:val="clear" w:color="auto" w:fill="FFFFFF"/>
        <w:spacing w:before="0" w:beforeAutospacing="0" w:after="0" w:afterAutospacing="0" w:line="240" w:lineRule="atLeast"/>
        <w:ind w:firstLineChars="200" w:firstLine="360"/>
        <w:divId w:val="108206838"/>
        <w:rPr>
          <w:rFonts w:asciiTheme="minorEastAsia" w:eastAsiaTheme="minorEastAsia" w:hAnsiTheme="minorEastAsia"/>
          <w:color w:val="333333"/>
        </w:rPr>
      </w:pPr>
      <w:r w:rsidRPr="00FE5DAA">
        <w:rPr>
          <w:rFonts w:asciiTheme="minorEastAsia" w:eastAsiaTheme="minorEastAsia" w:hAnsiTheme="minorEastAsia" w:hint="eastAsia"/>
          <w:color w:val="333333"/>
          <w:sz w:val="18"/>
          <w:szCs w:val="18"/>
        </w:rPr>
        <w:t>深圳大华国际会计师事务所（特殊普通合伙）在深圳市政府部门的大力支持协调下，已逐步完成了特殊普通合伙转制、证券业务报备、人员及业务拓展，并吸收大华会计师事务所（特殊普通合伙）深圳分所部分人员及业务。截至目前，深圳大华国际会计师事务所（特殊普通合伙）已拥有具有相关行业经验及上市公司审计经验的合伙人、注册会计师和从业人员队伍，具备服务大型国有企业、上市公司的专业能力。</w:t>
      </w:r>
    </w:p>
    <w:p w:rsidR="000F627F" w:rsidRPr="00FE5DAA" w:rsidRDefault="000F627F" w:rsidP="00FE5DAA">
      <w:pPr>
        <w:pStyle w:val="a3"/>
        <w:shd w:val="clear" w:color="auto" w:fill="FFFFFF"/>
        <w:spacing w:before="0" w:beforeAutospacing="0" w:after="0" w:afterAutospacing="0" w:line="240" w:lineRule="atLeast"/>
        <w:ind w:firstLineChars="200" w:firstLine="360"/>
        <w:divId w:val="108206838"/>
        <w:rPr>
          <w:rFonts w:asciiTheme="minorEastAsia" w:eastAsiaTheme="minorEastAsia" w:hAnsiTheme="minorEastAsia"/>
          <w:color w:val="333333"/>
        </w:rPr>
      </w:pPr>
      <w:r w:rsidRPr="00FE5DAA">
        <w:rPr>
          <w:rFonts w:asciiTheme="minorEastAsia" w:eastAsiaTheme="minorEastAsia" w:hAnsiTheme="minorEastAsia" w:hint="eastAsia"/>
          <w:color w:val="333333"/>
          <w:sz w:val="18"/>
          <w:szCs w:val="18"/>
        </w:rPr>
        <w:t>鉴于为公司服务的大华会计师事务所（特殊普通合伙）（以下简称“大华”）深圳分所团队目前已被深圳大华国际吸收合并，为保持公司审计工作的连续性，公司拟变更2023年度审计机构为深圳大华国际会计师事务所（特殊普通合伙）。</w:t>
      </w:r>
    </w:p>
    <w:p w:rsidR="000D58D8" w:rsidRPr="00FE5DAA" w:rsidRDefault="000F627F" w:rsidP="00FE5DAA">
      <w:pPr>
        <w:spacing w:line="240" w:lineRule="atLeast"/>
        <w:rPr>
          <w:rFonts w:asciiTheme="minorEastAsia" w:hAnsiTheme="minorEastAsia" w:cs="宋体"/>
          <w:sz w:val="18"/>
          <w:szCs w:val="18"/>
        </w:rPr>
      </w:pPr>
      <w:r w:rsidRPr="00FE5DAA">
        <w:rPr>
          <w:rFonts w:asciiTheme="minorEastAsia" w:hAnsiTheme="minorEastAsia" w:cs="宋体"/>
          <w:sz w:val="18"/>
          <w:szCs w:val="18"/>
        </w:rPr>
        <w:t>聘请内部控制审计会计师事务所、财务顾问或保荐人情况</w:t>
      </w:r>
    </w:p>
    <w:p w:rsidR="000D58D8" w:rsidRPr="00FE5DAA" w:rsidRDefault="000F627F" w:rsidP="00FE5DAA">
      <w:pPr>
        <w:spacing w:line="240" w:lineRule="atLeast"/>
        <w:rPr>
          <w:rFonts w:asciiTheme="minorEastAsia" w:hAnsiTheme="minorEastAsia" w:cs="宋体"/>
          <w:sz w:val="18"/>
          <w:szCs w:val="18"/>
        </w:rPr>
      </w:pPr>
      <w:r w:rsidRPr="00FE5DAA">
        <w:rPr>
          <w:rFonts w:asciiTheme="minorEastAsia" w:hAnsiTheme="minorEastAsia" w:cs="宋体"/>
          <w:sz w:val="18"/>
          <w:szCs w:val="18"/>
        </w:rPr>
        <w:sym w:font="Wingdings 2" w:char="F052"/>
      </w:r>
      <w:r w:rsidRPr="00FE5DAA">
        <w:rPr>
          <w:rFonts w:asciiTheme="minorEastAsia" w:hAnsiTheme="minorEastAsia" w:cs="宋体"/>
          <w:sz w:val="18"/>
          <w:szCs w:val="18"/>
        </w:rPr>
        <w:t>适用 □不适用</w:t>
      </w:r>
    </w:p>
    <w:p w:rsidR="000F627F" w:rsidRPr="00FE5DAA" w:rsidRDefault="000F627F" w:rsidP="00FE5DAA">
      <w:pPr>
        <w:pStyle w:val="a3"/>
        <w:spacing w:before="0" w:beforeAutospacing="0" w:after="0" w:afterAutospacing="0" w:line="240" w:lineRule="atLeast"/>
        <w:ind w:firstLineChars="200" w:firstLine="360"/>
        <w:divId w:val="1814591367"/>
        <w:rPr>
          <w:rFonts w:asciiTheme="minorEastAsia" w:eastAsiaTheme="minorEastAsia" w:hAnsiTheme="minorEastAsia"/>
          <w:sz w:val="18"/>
          <w:szCs w:val="18"/>
        </w:rPr>
      </w:pPr>
      <w:r w:rsidRPr="00FE5DAA">
        <w:rPr>
          <w:rFonts w:asciiTheme="minorEastAsia" w:eastAsiaTheme="minorEastAsia" w:hAnsiTheme="minorEastAsia" w:hint="eastAsia"/>
          <w:sz w:val="18"/>
          <w:szCs w:val="18"/>
        </w:rPr>
        <w:t>2023年度，公司聘请深圳大华国际会计师事务所(特殊普通合伙)担任公司内部控制审计会计师事务所。</w:t>
      </w:r>
    </w:p>
    <w:p w:rsidR="000D58D8" w:rsidRDefault="000F627F">
      <w:pPr>
        <w:pStyle w:val="2"/>
        <w:spacing w:before="300" w:after="300" w:line="320" w:lineRule="exact"/>
        <w:rPr>
          <w:rFonts w:ascii="宋体" w:eastAsia="宋体" w:hAnsi="宋体" w:cs="宋体"/>
          <w:b/>
          <w:bCs/>
          <w:sz w:val="24"/>
          <w:szCs w:val="24"/>
        </w:rPr>
      </w:pPr>
      <w:bookmarkStart w:id="118" w:name="_Toc989006"/>
      <w:r>
        <w:rPr>
          <w:rFonts w:ascii="宋体" w:eastAsia="宋体" w:hAnsi="宋体" w:cs="宋体"/>
          <w:b/>
          <w:bCs/>
          <w:sz w:val="24"/>
          <w:szCs w:val="24"/>
        </w:rPr>
        <w:t>九、年度报告披露后面临退市情况</w:t>
      </w:r>
      <w:bookmarkEnd w:id="118"/>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2"/>
        <w:spacing w:before="300" w:after="300" w:line="320" w:lineRule="exact"/>
        <w:rPr>
          <w:rFonts w:ascii="宋体" w:eastAsia="宋体" w:hAnsi="宋体" w:cs="宋体"/>
          <w:b/>
          <w:bCs/>
          <w:sz w:val="24"/>
          <w:szCs w:val="24"/>
        </w:rPr>
      </w:pPr>
      <w:bookmarkStart w:id="119" w:name="_Toc989007"/>
      <w:r>
        <w:rPr>
          <w:rFonts w:ascii="宋体" w:eastAsia="宋体" w:hAnsi="宋体" w:cs="宋体"/>
          <w:b/>
          <w:bCs/>
          <w:sz w:val="24"/>
          <w:szCs w:val="24"/>
        </w:rPr>
        <w:t>十、破产重整相关事项</w:t>
      </w:r>
      <w:bookmarkEnd w:id="11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公司报告期未发生破产重整相关事项。</w:t>
      </w:r>
    </w:p>
    <w:p w:rsidR="000D58D8" w:rsidRDefault="000F627F">
      <w:pPr>
        <w:pStyle w:val="2"/>
        <w:spacing w:before="300" w:after="300" w:line="320" w:lineRule="exact"/>
        <w:rPr>
          <w:rFonts w:ascii="宋体" w:eastAsia="宋体" w:hAnsi="宋体" w:cs="宋体"/>
          <w:b/>
          <w:bCs/>
          <w:sz w:val="24"/>
          <w:szCs w:val="24"/>
        </w:rPr>
      </w:pPr>
      <w:bookmarkStart w:id="120" w:name="_Toc989008"/>
      <w:r>
        <w:rPr>
          <w:rFonts w:ascii="宋体" w:eastAsia="宋体" w:hAnsi="宋体" w:cs="宋体"/>
          <w:b/>
          <w:bCs/>
          <w:sz w:val="24"/>
          <w:szCs w:val="24"/>
        </w:rPr>
        <w:t>十一、重大诉讼、仲裁事项</w:t>
      </w:r>
      <w:bookmarkEnd w:id="12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本报告期公司无重大诉讼、仲裁事项。</w:t>
      </w:r>
    </w:p>
    <w:p w:rsidR="000D58D8" w:rsidRDefault="000F627F">
      <w:pPr>
        <w:pStyle w:val="2"/>
        <w:spacing w:before="300" w:after="300" w:line="320" w:lineRule="exact"/>
        <w:rPr>
          <w:rFonts w:ascii="宋体" w:eastAsia="宋体" w:hAnsi="宋体" w:cs="宋体"/>
          <w:b/>
          <w:bCs/>
          <w:sz w:val="24"/>
          <w:szCs w:val="24"/>
        </w:rPr>
      </w:pPr>
      <w:bookmarkStart w:id="121" w:name="_Toc989009"/>
      <w:r>
        <w:rPr>
          <w:rFonts w:ascii="宋体" w:eastAsia="宋体" w:hAnsi="宋体" w:cs="宋体"/>
          <w:b/>
          <w:bCs/>
          <w:sz w:val="24"/>
          <w:szCs w:val="24"/>
        </w:rPr>
        <w:t>十二、处罚及整改情况</w:t>
      </w:r>
      <w:bookmarkEnd w:id="12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公司报告期不存在处罚及整改情况。</w:t>
      </w:r>
    </w:p>
    <w:p w:rsidR="000D58D8" w:rsidRDefault="000F627F">
      <w:pPr>
        <w:pStyle w:val="2"/>
        <w:spacing w:before="300" w:after="300" w:line="320" w:lineRule="exact"/>
        <w:rPr>
          <w:rFonts w:ascii="宋体" w:eastAsia="宋体" w:hAnsi="宋体" w:cs="宋体"/>
          <w:b/>
          <w:bCs/>
          <w:sz w:val="24"/>
          <w:szCs w:val="24"/>
        </w:rPr>
      </w:pPr>
      <w:bookmarkStart w:id="122" w:name="_Toc989010"/>
      <w:r>
        <w:rPr>
          <w:rFonts w:ascii="宋体" w:eastAsia="宋体" w:hAnsi="宋体" w:cs="宋体"/>
          <w:b/>
          <w:bCs/>
          <w:sz w:val="24"/>
          <w:szCs w:val="24"/>
        </w:rPr>
        <w:lastRenderedPageBreak/>
        <w:t>十三、公司及其控股股东、实际控制人的诚信状况</w:t>
      </w:r>
      <w:bookmarkEnd w:id="12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2"/>
        <w:spacing w:before="300" w:after="300" w:line="320" w:lineRule="exact"/>
        <w:rPr>
          <w:rFonts w:ascii="宋体" w:eastAsia="宋体" w:hAnsi="宋体" w:cs="宋体"/>
          <w:b/>
          <w:bCs/>
          <w:sz w:val="24"/>
          <w:szCs w:val="24"/>
        </w:rPr>
      </w:pPr>
      <w:bookmarkStart w:id="123" w:name="_Toc989011"/>
      <w:r>
        <w:rPr>
          <w:rFonts w:ascii="宋体" w:eastAsia="宋体" w:hAnsi="宋体" w:cs="宋体"/>
          <w:b/>
          <w:bCs/>
          <w:sz w:val="24"/>
          <w:szCs w:val="24"/>
        </w:rPr>
        <w:t>十四、重大关联交易</w:t>
      </w:r>
      <w:bookmarkEnd w:id="123"/>
    </w:p>
    <w:p w:rsidR="000D58D8" w:rsidRDefault="000F627F">
      <w:pPr>
        <w:pStyle w:val="3"/>
        <w:spacing w:line="280" w:lineRule="exact"/>
        <w:jc w:val="left"/>
        <w:rPr>
          <w:rFonts w:ascii="宋体" w:hAnsi="宋体" w:cs="宋体"/>
          <w:b/>
          <w:bCs/>
        </w:rPr>
      </w:pPr>
      <w:bookmarkStart w:id="124" w:name="_Toc989012"/>
      <w:r>
        <w:rPr>
          <w:rFonts w:ascii="宋体" w:hAnsi="宋体" w:cs="宋体"/>
          <w:b/>
          <w:bCs/>
        </w:rPr>
        <w:t>1、与日常经营相关的关联交易</w:t>
      </w:r>
      <w:bookmarkEnd w:id="124"/>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9"/>
        <w:gridCol w:w="689"/>
        <w:gridCol w:w="689"/>
        <w:gridCol w:w="689"/>
        <w:gridCol w:w="689"/>
        <w:gridCol w:w="689"/>
        <w:gridCol w:w="689"/>
        <w:gridCol w:w="672"/>
        <w:gridCol w:w="16"/>
        <w:gridCol w:w="688"/>
        <w:gridCol w:w="688"/>
        <w:gridCol w:w="688"/>
        <w:gridCol w:w="688"/>
        <w:gridCol w:w="688"/>
        <w:gridCol w:w="688"/>
      </w:tblGrid>
      <w:tr w:rsidR="000D58D8" w:rsidTr="00FE5DAA">
        <w:trPr>
          <w:trHeight w:val="240"/>
        </w:trPr>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关联交易方</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关联关系</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关联交易类型</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关联交易定价原则</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关联交易价格</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关联交易金额（万元）</w:t>
            </w:r>
          </w:p>
        </w:tc>
        <w:tc>
          <w:tcPr>
            <w:tcW w:w="68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占同类交易金额的比例</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获批的交易额度（万元）</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是否超过获批额度</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关联交易结算方式</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可获得的同类交易市价</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披露索引</w:t>
            </w:r>
          </w:p>
        </w:tc>
      </w:tr>
      <w:tr w:rsidR="000D58D8" w:rsidTr="00FE5DAA">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江苏科孚纺织品贸易有限公司</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联营企业</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购买或销售商品</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原材料 采购</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市场价格</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4,106.78</w:t>
            </w:r>
          </w:p>
        </w:tc>
        <w:tc>
          <w:tcPr>
            <w:tcW w:w="688"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0.43%</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银行转账、承兑汇票</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2023年04月29日</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关于预计2023年度日常关联交易的公告</w:t>
            </w:r>
          </w:p>
        </w:tc>
      </w:tr>
      <w:tr w:rsidR="000D58D8" w:rsidTr="00FE5DAA">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安徽环</w:t>
            </w:r>
            <w:proofErr w:type="gramStart"/>
            <w:r>
              <w:rPr>
                <w:rFonts w:ascii="宋体" w:eastAsia="宋体" w:hAnsi="宋体" w:cs="宋体"/>
                <w:sz w:val="18"/>
                <w:szCs w:val="18"/>
              </w:rPr>
              <w:t>捷供应</w:t>
            </w:r>
            <w:proofErr w:type="gramEnd"/>
            <w:r>
              <w:rPr>
                <w:rFonts w:ascii="宋体" w:eastAsia="宋体" w:hAnsi="宋体" w:cs="宋体"/>
                <w:sz w:val="18"/>
                <w:szCs w:val="18"/>
              </w:rPr>
              <w:t>链管理有限公司</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联营企业</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接受提供的劳务</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仓储物流</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市场价格</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18,982.08</w:t>
            </w:r>
          </w:p>
        </w:tc>
        <w:tc>
          <w:tcPr>
            <w:tcW w:w="688"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91.83%</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银行转账、承兑汇票</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2023年04月29日</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关于预计2023年度日常关联交易的公告</w:t>
            </w:r>
          </w:p>
        </w:tc>
      </w:tr>
      <w:tr w:rsidR="000D58D8" w:rsidTr="00FE5DAA">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浙江华孚产业运营有限公司</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联营企业</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接受提供的劳务</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物业服务</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市场价格</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8" w:type="dxa"/>
            <w:gridSpan w:val="2"/>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银行转账、承兑汇票</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2023年10月31日</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关于新增2023年度日常关联交易预计的公告</w:t>
            </w:r>
          </w:p>
        </w:tc>
      </w:tr>
      <w:tr w:rsidR="000D58D8" w:rsidTr="00FE5DAA">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浙江华孚产业运营有限公司</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联营企业</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向关联人销售商品</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销售产品</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市场价格</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13.25</w:t>
            </w:r>
          </w:p>
        </w:tc>
        <w:tc>
          <w:tcPr>
            <w:tcW w:w="688"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银行转账、承兑汇票</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2023年10月31日</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关于新增2023年度日常关联交易预计的公告</w:t>
            </w:r>
          </w:p>
        </w:tc>
      </w:tr>
      <w:tr w:rsidR="000D58D8" w:rsidTr="00FE5DAA">
        <w:trPr>
          <w:trHeight w:val="240"/>
        </w:trPr>
        <w:tc>
          <w:tcPr>
            <w:tcW w:w="2756"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23,102.11</w:t>
            </w:r>
          </w:p>
        </w:tc>
        <w:tc>
          <w:tcPr>
            <w:tcW w:w="68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33,200</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0D58D8" w:rsidTr="00FE5DAA">
        <w:trPr>
          <w:trHeight w:val="240"/>
        </w:trPr>
        <w:tc>
          <w:tcPr>
            <w:tcW w:w="5495"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大额销货退回的详细情况</w:t>
            </w:r>
          </w:p>
        </w:tc>
        <w:tc>
          <w:tcPr>
            <w:tcW w:w="4144"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r w:rsidR="000D58D8" w:rsidTr="00FE5DAA">
        <w:trPr>
          <w:trHeight w:val="240"/>
        </w:trPr>
        <w:tc>
          <w:tcPr>
            <w:tcW w:w="5495"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按类别对本期将发生的日常关联交易进行总金额预计的，在报告期内的实际履行情况（如有）</w:t>
            </w:r>
          </w:p>
        </w:tc>
        <w:tc>
          <w:tcPr>
            <w:tcW w:w="4144"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r w:rsidR="000D58D8" w:rsidTr="00FE5DAA">
        <w:trPr>
          <w:trHeight w:val="240"/>
        </w:trPr>
        <w:tc>
          <w:tcPr>
            <w:tcW w:w="5495"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交易价格与市场参考价格差异较大的原因（如适用）</w:t>
            </w:r>
          </w:p>
        </w:tc>
        <w:tc>
          <w:tcPr>
            <w:tcW w:w="4144"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r>
    </w:tbl>
    <w:p w:rsidR="000D58D8" w:rsidRDefault="000F627F">
      <w:pPr>
        <w:pStyle w:val="3"/>
        <w:spacing w:line="280" w:lineRule="exact"/>
        <w:jc w:val="left"/>
        <w:rPr>
          <w:rFonts w:ascii="宋体" w:hAnsi="宋体" w:cs="宋体"/>
          <w:b/>
          <w:bCs/>
        </w:rPr>
      </w:pPr>
      <w:bookmarkStart w:id="125" w:name="_Toc989013"/>
      <w:r>
        <w:rPr>
          <w:rFonts w:ascii="宋体" w:hAnsi="宋体" w:cs="宋体"/>
          <w:b/>
          <w:bCs/>
        </w:rPr>
        <w:t>2、资产或股权收购、出售发生的关联交易</w:t>
      </w:r>
      <w:bookmarkEnd w:id="125"/>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公司报告期未发生资产或股权收购、出售的关联交易。</w:t>
      </w:r>
    </w:p>
    <w:p w:rsidR="000D58D8" w:rsidRDefault="000F627F">
      <w:pPr>
        <w:pStyle w:val="3"/>
        <w:spacing w:line="280" w:lineRule="exact"/>
        <w:jc w:val="left"/>
        <w:rPr>
          <w:rFonts w:ascii="宋体" w:hAnsi="宋体" w:cs="宋体"/>
          <w:b/>
          <w:bCs/>
        </w:rPr>
      </w:pPr>
      <w:bookmarkStart w:id="126" w:name="_Toc989014"/>
      <w:r>
        <w:rPr>
          <w:rFonts w:ascii="宋体" w:hAnsi="宋体" w:cs="宋体"/>
          <w:b/>
          <w:bCs/>
        </w:rPr>
        <w:t>3、共同对外投资的关联交易</w:t>
      </w:r>
      <w:bookmarkEnd w:id="12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公司报告期未发生共同对外投资的关联交易。</w:t>
      </w:r>
    </w:p>
    <w:p w:rsidR="000D58D8" w:rsidRDefault="000F627F">
      <w:pPr>
        <w:pStyle w:val="3"/>
        <w:spacing w:line="280" w:lineRule="exact"/>
        <w:jc w:val="left"/>
        <w:rPr>
          <w:rFonts w:ascii="宋体" w:hAnsi="宋体" w:cs="宋体"/>
          <w:b/>
          <w:bCs/>
        </w:rPr>
      </w:pPr>
      <w:bookmarkStart w:id="127" w:name="_Toc989015"/>
      <w:r>
        <w:rPr>
          <w:rFonts w:ascii="宋体" w:hAnsi="宋体" w:cs="宋体"/>
          <w:b/>
          <w:bCs/>
        </w:rPr>
        <w:t>4、关联债权债务往来</w:t>
      </w:r>
      <w:bookmarkEnd w:id="127"/>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公司报告期不存在关联债权债务往来。</w:t>
      </w:r>
    </w:p>
    <w:p w:rsidR="000D58D8" w:rsidRDefault="000F627F">
      <w:pPr>
        <w:pStyle w:val="3"/>
        <w:spacing w:line="280" w:lineRule="exact"/>
        <w:jc w:val="left"/>
        <w:rPr>
          <w:rFonts w:ascii="宋体" w:hAnsi="宋体" w:cs="宋体"/>
          <w:b/>
          <w:bCs/>
        </w:rPr>
      </w:pPr>
      <w:bookmarkStart w:id="128" w:name="_Toc989016"/>
      <w:r>
        <w:rPr>
          <w:rFonts w:ascii="宋体" w:hAnsi="宋体" w:cs="宋体"/>
          <w:b/>
          <w:bCs/>
        </w:rPr>
        <w:t>5、与存在关联关系的财务公司的往来情况</w:t>
      </w:r>
      <w:bookmarkEnd w:id="128"/>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公司与存在关联关系的财务公司与关联方之间不存在存款、贷款、授信或其他金融业务。</w:t>
      </w:r>
    </w:p>
    <w:p w:rsidR="000D58D8" w:rsidRDefault="000F627F">
      <w:pPr>
        <w:pStyle w:val="3"/>
        <w:spacing w:line="280" w:lineRule="exact"/>
        <w:jc w:val="left"/>
        <w:rPr>
          <w:rFonts w:ascii="宋体" w:hAnsi="宋体" w:cs="宋体"/>
          <w:b/>
          <w:bCs/>
        </w:rPr>
      </w:pPr>
      <w:bookmarkStart w:id="129" w:name="_Toc989017"/>
      <w:r>
        <w:rPr>
          <w:rFonts w:ascii="宋体" w:hAnsi="宋体" w:cs="宋体"/>
          <w:b/>
          <w:bCs/>
        </w:rPr>
        <w:t>6、公司控股的财务公司与关联方的往来情况</w:t>
      </w:r>
      <w:bookmarkEnd w:id="12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公司控股的财务公司与关联方之间不存在存款、贷款、授信或其他金融业务。</w:t>
      </w:r>
    </w:p>
    <w:p w:rsidR="000D58D8" w:rsidRDefault="000F627F">
      <w:pPr>
        <w:pStyle w:val="3"/>
        <w:spacing w:line="280" w:lineRule="exact"/>
        <w:jc w:val="left"/>
        <w:rPr>
          <w:rFonts w:ascii="宋体" w:hAnsi="宋体" w:cs="宋体"/>
          <w:b/>
          <w:bCs/>
        </w:rPr>
      </w:pPr>
      <w:bookmarkStart w:id="130" w:name="_Toc989018"/>
      <w:r>
        <w:rPr>
          <w:rFonts w:ascii="宋体" w:hAnsi="宋体" w:cs="宋体"/>
          <w:b/>
          <w:bCs/>
        </w:rPr>
        <w:t>7、其他重大关联交易</w:t>
      </w:r>
      <w:bookmarkEnd w:id="13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公司报告期无其他重大关联交易。</w:t>
      </w:r>
    </w:p>
    <w:p w:rsidR="000D58D8" w:rsidRDefault="000F627F">
      <w:pPr>
        <w:pStyle w:val="2"/>
        <w:spacing w:before="300" w:after="300" w:line="320" w:lineRule="exact"/>
        <w:rPr>
          <w:rFonts w:ascii="宋体" w:eastAsia="宋体" w:hAnsi="宋体" w:cs="宋体"/>
          <w:b/>
          <w:bCs/>
          <w:sz w:val="24"/>
          <w:szCs w:val="24"/>
        </w:rPr>
      </w:pPr>
      <w:bookmarkStart w:id="131" w:name="_Toc989019"/>
      <w:r>
        <w:rPr>
          <w:rFonts w:ascii="宋体" w:eastAsia="宋体" w:hAnsi="宋体" w:cs="宋体"/>
          <w:b/>
          <w:bCs/>
          <w:sz w:val="24"/>
          <w:szCs w:val="24"/>
        </w:rPr>
        <w:t>十五、重大合同及其履行情况</w:t>
      </w:r>
      <w:bookmarkEnd w:id="131"/>
    </w:p>
    <w:p w:rsidR="000D58D8" w:rsidRDefault="000F627F">
      <w:pPr>
        <w:pStyle w:val="3"/>
        <w:spacing w:line="280" w:lineRule="exact"/>
        <w:jc w:val="left"/>
        <w:rPr>
          <w:rFonts w:ascii="宋体" w:hAnsi="宋体" w:cs="宋体"/>
          <w:b/>
          <w:bCs/>
        </w:rPr>
      </w:pPr>
      <w:bookmarkStart w:id="132" w:name="_Toc989020"/>
      <w:r>
        <w:rPr>
          <w:rFonts w:ascii="宋体" w:hAnsi="宋体" w:cs="宋体"/>
          <w:b/>
          <w:bCs/>
        </w:rPr>
        <w:t>1、托管、承包、租赁事项情况</w:t>
      </w:r>
      <w:bookmarkEnd w:id="132"/>
    </w:p>
    <w:p w:rsidR="000D58D8" w:rsidRDefault="000F627F">
      <w:pPr>
        <w:keepNext/>
        <w:keepLines/>
        <w:spacing w:before="300" w:after="300" w:line="280" w:lineRule="exact"/>
        <w:outlineLvl w:val="3"/>
        <w:rPr>
          <w:rFonts w:ascii="宋体" w:eastAsia="宋体" w:hAnsi="宋体" w:cs="宋体"/>
          <w:b/>
          <w:bCs/>
          <w:sz w:val="18"/>
          <w:szCs w:val="18"/>
        </w:rPr>
      </w:pPr>
      <w:bookmarkStart w:id="133" w:name="_Toc989021"/>
      <w:r>
        <w:rPr>
          <w:rFonts w:ascii="宋体" w:eastAsia="宋体" w:hAnsi="宋体" w:cs="宋体"/>
          <w:b/>
          <w:bCs/>
          <w:sz w:val="18"/>
          <w:szCs w:val="18"/>
        </w:rPr>
        <w:t>（1） 托管情况</w:t>
      </w:r>
      <w:bookmarkEnd w:id="13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公司报告期不存在托管情况。</w:t>
      </w:r>
    </w:p>
    <w:p w:rsidR="000D58D8" w:rsidRDefault="000F627F">
      <w:pPr>
        <w:keepNext/>
        <w:keepLines/>
        <w:spacing w:before="300" w:after="300" w:line="280" w:lineRule="exact"/>
        <w:outlineLvl w:val="3"/>
        <w:rPr>
          <w:rFonts w:ascii="宋体" w:eastAsia="宋体" w:hAnsi="宋体" w:cs="宋体"/>
          <w:b/>
          <w:bCs/>
          <w:sz w:val="18"/>
          <w:szCs w:val="18"/>
        </w:rPr>
      </w:pPr>
      <w:bookmarkStart w:id="134" w:name="_Toc989022"/>
      <w:r>
        <w:rPr>
          <w:rFonts w:ascii="宋体" w:eastAsia="宋体" w:hAnsi="宋体" w:cs="宋体"/>
          <w:b/>
          <w:bCs/>
          <w:sz w:val="18"/>
          <w:szCs w:val="18"/>
        </w:rPr>
        <w:t>（2） 承包情况</w:t>
      </w:r>
      <w:bookmarkEnd w:id="134"/>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公司报告期不存在承包情况。</w:t>
      </w:r>
    </w:p>
    <w:p w:rsidR="000D58D8" w:rsidRDefault="000F627F">
      <w:pPr>
        <w:keepNext/>
        <w:keepLines/>
        <w:spacing w:before="300" w:after="300" w:line="280" w:lineRule="exact"/>
        <w:outlineLvl w:val="3"/>
        <w:rPr>
          <w:rFonts w:ascii="宋体" w:eastAsia="宋体" w:hAnsi="宋体" w:cs="宋体"/>
          <w:b/>
          <w:bCs/>
          <w:sz w:val="18"/>
          <w:szCs w:val="18"/>
        </w:rPr>
      </w:pPr>
      <w:bookmarkStart w:id="135" w:name="_Toc989023"/>
      <w:r>
        <w:rPr>
          <w:rFonts w:ascii="宋体" w:eastAsia="宋体" w:hAnsi="宋体" w:cs="宋体"/>
          <w:b/>
          <w:bCs/>
          <w:sz w:val="18"/>
          <w:szCs w:val="18"/>
        </w:rPr>
        <w:t>（3） 租赁情况</w:t>
      </w:r>
      <w:bookmarkEnd w:id="135"/>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公司报告期不存在租赁情况。</w:t>
      </w:r>
    </w:p>
    <w:p w:rsidR="000D58D8" w:rsidRDefault="000F627F">
      <w:pPr>
        <w:pStyle w:val="3"/>
        <w:spacing w:line="280" w:lineRule="exact"/>
        <w:jc w:val="left"/>
        <w:rPr>
          <w:rFonts w:ascii="宋体" w:hAnsi="宋体" w:cs="宋体"/>
          <w:b/>
          <w:bCs/>
        </w:rPr>
      </w:pPr>
      <w:bookmarkStart w:id="136" w:name="_Toc989024"/>
      <w:r>
        <w:rPr>
          <w:rFonts w:ascii="宋体" w:hAnsi="宋体" w:cs="宋体"/>
          <w:b/>
          <w:bCs/>
        </w:rPr>
        <w:t>2、重大担保</w:t>
      </w:r>
      <w:bookmarkEnd w:id="13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4"/>
        <w:gridCol w:w="876"/>
        <w:gridCol w:w="875"/>
        <w:gridCol w:w="31"/>
        <w:gridCol w:w="849"/>
        <w:gridCol w:w="851"/>
        <w:gridCol w:w="25"/>
        <w:gridCol w:w="830"/>
        <w:gridCol w:w="47"/>
        <w:gridCol w:w="876"/>
        <w:gridCol w:w="876"/>
        <w:gridCol w:w="44"/>
        <w:gridCol w:w="832"/>
        <w:gridCol w:w="876"/>
        <w:gridCol w:w="877"/>
      </w:tblGrid>
      <w:tr w:rsidR="000D58D8">
        <w:trPr>
          <w:trHeight w:val="240"/>
        </w:trPr>
        <w:tc>
          <w:tcPr>
            <w:tcW w:w="9639"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公司及其子公司对外担保情况（不包括对子公司的担保）</w:t>
            </w:r>
          </w:p>
        </w:tc>
      </w:tr>
      <w:tr w:rsidR="000D58D8" w:rsidTr="00FE5DAA">
        <w:trPr>
          <w:trHeight w:val="240"/>
        </w:trPr>
        <w:tc>
          <w:tcPr>
            <w:tcW w:w="87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8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7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0D58D8">
        <w:trPr>
          <w:trHeight w:val="240"/>
        </w:trPr>
        <w:tc>
          <w:tcPr>
            <w:tcW w:w="9639"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公司对子公司的担保情况</w:t>
            </w:r>
          </w:p>
        </w:tc>
      </w:tr>
      <w:tr w:rsidR="000D58D8" w:rsidTr="00FE5DAA">
        <w:trPr>
          <w:trHeight w:val="240"/>
        </w:trPr>
        <w:tc>
          <w:tcPr>
            <w:tcW w:w="87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9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4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7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9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3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0D58D8" w:rsidTr="00FE5DAA">
        <w:trPr>
          <w:trHeight w:val="240"/>
        </w:trPr>
        <w:tc>
          <w:tcPr>
            <w:tcW w:w="87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深圳市华孚进出口有限公司</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2022年04月28日</w:t>
            </w:r>
          </w:p>
        </w:tc>
        <w:tc>
          <w:tcPr>
            <w:tcW w:w="90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w:t>
            </w:r>
          </w:p>
        </w:tc>
        <w:tc>
          <w:tcPr>
            <w:tcW w:w="8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2022年10月28日</w:t>
            </w: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65,635</w:t>
            </w:r>
          </w:p>
        </w:tc>
        <w:tc>
          <w:tcPr>
            <w:tcW w:w="87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920" w:type="dxa"/>
            <w:gridSpan w:val="2"/>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FE5DAA">
        <w:trPr>
          <w:trHeight w:val="240"/>
        </w:trPr>
        <w:tc>
          <w:tcPr>
            <w:tcW w:w="87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深圳市华孚进出口有限公司</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2023年04月29日</w:t>
            </w:r>
          </w:p>
        </w:tc>
        <w:tc>
          <w:tcPr>
            <w:tcW w:w="90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w:t>
            </w:r>
          </w:p>
        </w:tc>
        <w:tc>
          <w:tcPr>
            <w:tcW w:w="8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2023年05月29日</w:t>
            </w: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151,202</w:t>
            </w:r>
          </w:p>
        </w:tc>
        <w:tc>
          <w:tcPr>
            <w:tcW w:w="87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920" w:type="dxa"/>
            <w:gridSpan w:val="2"/>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FE5DAA">
        <w:trPr>
          <w:trHeight w:val="240"/>
        </w:trPr>
        <w:tc>
          <w:tcPr>
            <w:tcW w:w="87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深圳市华孚进出口有限公司</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2023年04月29日</w:t>
            </w:r>
          </w:p>
        </w:tc>
        <w:tc>
          <w:tcPr>
            <w:tcW w:w="90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w:t>
            </w:r>
          </w:p>
        </w:tc>
        <w:tc>
          <w:tcPr>
            <w:tcW w:w="8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2023年08月09日</w:t>
            </w: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11,000</w:t>
            </w:r>
          </w:p>
        </w:tc>
        <w:tc>
          <w:tcPr>
            <w:tcW w:w="87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920" w:type="dxa"/>
            <w:gridSpan w:val="2"/>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一年</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FE5DAA">
        <w:trPr>
          <w:trHeight w:val="240"/>
        </w:trPr>
        <w:tc>
          <w:tcPr>
            <w:tcW w:w="87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浙江华孚色纺有限公司</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2022年04月28日</w:t>
            </w:r>
          </w:p>
        </w:tc>
        <w:tc>
          <w:tcPr>
            <w:tcW w:w="90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63,000</w:t>
            </w:r>
          </w:p>
        </w:tc>
        <w:tc>
          <w:tcPr>
            <w:tcW w:w="8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2023年03月24日</w:t>
            </w: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6,800</w:t>
            </w:r>
          </w:p>
        </w:tc>
        <w:tc>
          <w:tcPr>
            <w:tcW w:w="87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920" w:type="dxa"/>
            <w:gridSpan w:val="2"/>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FE5DAA">
        <w:trPr>
          <w:trHeight w:val="240"/>
        </w:trPr>
        <w:tc>
          <w:tcPr>
            <w:tcW w:w="87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浙江华孚色纺有限公司</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2023年04月29日</w:t>
            </w:r>
          </w:p>
        </w:tc>
        <w:tc>
          <w:tcPr>
            <w:tcW w:w="90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80,000</w:t>
            </w:r>
          </w:p>
        </w:tc>
        <w:tc>
          <w:tcPr>
            <w:tcW w:w="8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2023年06月08日</w:t>
            </w: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27,100</w:t>
            </w:r>
          </w:p>
        </w:tc>
        <w:tc>
          <w:tcPr>
            <w:tcW w:w="87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920" w:type="dxa"/>
            <w:gridSpan w:val="2"/>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FE5DAA">
        <w:trPr>
          <w:trHeight w:val="240"/>
        </w:trPr>
        <w:tc>
          <w:tcPr>
            <w:tcW w:w="87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新疆六孚纺织工业</w:t>
            </w:r>
            <w:proofErr w:type="gramEnd"/>
            <w:r>
              <w:rPr>
                <w:rFonts w:ascii="宋体" w:eastAsia="宋体" w:hAnsi="宋体" w:cs="宋体"/>
                <w:sz w:val="18"/>
                <w:szCs w:val="18"/>
              </w:rPr>
              <w:t>园有限公司</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2022年04月28日</w:t>
            </w:r>
          </w:p>
        </w:tc>
        <w:tc>
          <w:tcPr>
            <w:tcW w:w="90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30,000</w:t>
            </w:r>
          </w:p>
        </w:tc>
        <w:tc>
          <w:tcPr>
            <w:tcW w:w="8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2023年03月12日</w:t>
            </w: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11,000</w:t>
            </w:r>
          </w:p>
        </w:tc>
        <w:tc>
          <w:tcPr>
            <w:tcW w:w="87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920" w:type="dxa"/>
            <w:gridSpan w:val="2"/>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FE5DAA">
        <w:trPr>
          <w:trHeight w:val="240"/>
        </w:trPr>
        <w:tc>
          <w:tcPr>
            <w:tcW w:w="87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阿克苏华孚色纺有限公司</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2019年04月25日</w:t>
            </w:r>
          </w:p>
        </w:tc>
        <w:tc>
          <w:tcPr>
            <w:tcW w:w="90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120,000</w:t>
            </w:r>
          </w:p>
        </w:tc>
        <w:tc>
          <w:tcPr>
            <w:tcW w:w="8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2019年07月30日</w:t>
            </w: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30,481</w:t>
            </w:r>
          </w:p>
        </w:tc>
        <w:tc>
          <w:tcPr>
            <w:tcW w:w="87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920" w:type="dxa"/>
            <w:gridSpan w:val="2"/>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FE5DAA">
        <w:trPr>
          <w:trHeight w:val="240"/>
        </w:trPr>
        <w:tc>
          <w:tcPr>
            <w:tcW w:w="87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阿克苏华孚色纺有限</w:t>
            </w:r>
            <w:r>
              <w:rPr>
                <w:rFonts w:ascii="宋体" w:eastAsia="宋体" w:hAnsi="宋体" w:cs="宋体"/>
                <w:sz w:val="18"/>
                <w:szCs w:val="18"/>
              </w:rPr>
              <w:lastRenderedPageBreak/>
              <w:t>公司</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2021年04月28日</w:t>
            </w:r>
          </w:p>
        </w:tc>
        <w:tc>
          <w:tcPr>
            <w:tcW w:w="90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307,000</w:t>
            </w:r>
          </w:p>
        </w:tc>
        <w:tc>
          <w:tcPr>
            <w:tcW w:w="8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2021年08月31日</w:t>
            </w: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23,600</w:t>
            </w:r>
          </w:p>
        </w:tc>
        <w:tc>
          <w:tcPr>
            <w:tcW w:w="87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920" w:type="dxa"/>
            <w:gridSpan w:val="2"/>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FE5DAA">
        <w:trPr>
          <w:trHeight w:val="240"/>
        </w:trPr>
        <w:tc>
          <w:tcPr>
            <w:tcW w:w="87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阿克苏华孚色纺有限公司</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2022年04月28日</w:t>
            </w:r>
          </w:p>
        </w:tc>
        <w:tc>
          <w:tcPr>
            <w:tcW w:w="90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327,000</w:t>
            </w:r>
          </w:p>
        </w:tc>
        <w:tc>
          <w:tcPr>
            <w:tcW w:w="8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2023年03月30日</w:t>
            </w: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12,000</w:t>
            </w:r>
          </w:p>
        </w:tc>
        <w:tc>
          <w:tcPr>
            <w:tcW w:w="87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920" w:type="dxa"/>
            <w:gridSpan w:val="2"/>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FE5DAA">
        <w:trPr>
          <w:trHeight w:val="240"/>
        </w:trPr>
        <w:tc>
          <w:tcPr>
            <w:tcW w:w="87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阿克苏华孚色纺有限公司</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2023年04月29日</w:t>
            </w:r>
          </w:p>
        </w:tc>
        <w:tc>
          <w:tcPr>
            <w:tcW w:w="90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8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2023年05月25日</w:t>
            </w: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138,000</w:t>
            </w:r>
          </w:p>
        </w:tc>
        <w:tc>
          <w:tcPr>
            <w:tcW w:w="87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920" w:type="dxa"/>
            <w:gridSpan w:val="2"/>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FE5DAA">
        <w:trPr>
          <w:trHeight w:val="240"/>
        </w:trPr>
        <w:tc>
          <w:tcPr>
            <w:tcW w:w="87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新疆华孚棉业集团有限公司</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2022年04月28日</w:t>
            </w:r>
          </w:p>
        </w:tc>
        <w:tc>
          <w:tcPr>
            <w:tcW w:w="90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150,000</w:t>
            </w:r>
          </w:p>
        </w:tc>
        <w:tc>
          <w:tcPr>
            <w:tcW w:w="849"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2023年01月16日</w:t>
            </w:r>
          </w:p>
        </w:tc>
        <w:tc>
          <w:tcPr>
            <w:tcW w:w="8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920" w:type="dxa"/>
            <w:gridSpan w:val="2"/>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83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rsidTr="00FE5DAA">
        <w:trPr>
          <w:trHeight w:val="240"/>
        </w:trPr>
        <w:tc>
          <w:tcPr>
            <w:tcW w:w="2656"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报告期内审批对子公司担保额度合计（B1）</w:t>
            </w:r>
          </w:p>
        </w:tc>
        <w:tc>
          <w:tcPr>
            <w:tcW w:w="1700"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1,100,000</w:t>
            </w:r>
          </w:p>
        </w:tc>
        <w:tc>
          <w:tcPr>
            <w:tcW w:w="2698"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报告期内对子公司担保实际发生额合计（B2）</w:t>
            </w:r>
          </w:p>
        </w:tc>
        <w:tc>
          <w:tcPr>
            <w:tcW w:w="2585"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367,102</w:t>
            </w:r>
          </w:p>
        </w:tc>
      </w:tr>
      <w:tr w:rsidR="000D58D8" w:rsidTr="00FE5DAA">
        <w:trPr>
          <w:trHeight w:val="240"/>
        </w:trPr>
        <w:tc>
          <w:tcPr>
            <w:tcW w:w="2656"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报告</w:t>
            </w:r>
            <w:proofErr w:type="gramStart"/>
            <w:r>
              <w:rPr>
                <w:rFonts w:ascii="宋体" w:eastAsia="宋体" w:hAnsi="宋体" w:cs="宋体"/>
                <w:sz w:val="18"/>
                <w:szCs w:val="18"/>
              </w:rPr>
              <w:t>期末已</w:t>
            </w:r>
            <w:proofErr w:type="gramEnd"/>
            <w:r>
              <w:rPr>
                <w:rFonts w:ascii="宋体" w:eastAsia="宋体" w:hAnsi="宋体" w:cs="宋体"/>
                <w:sz w:val="18"/>
                <w:szCs w:val="18"/>
              </w:rPr>
              <w:t>审批的对子公司担保额度合计（B3）</w:t>
            </w:r>
          </w:p>
        </w:tc>
        <w:tc>
          <w:tcPr>
            <w:tcW w:w="1700"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1,100,000</w:t>
            </w:r>
          </w:p>
        </w:tc>
        <w:tc>
          <w:tcPr>
            <w:tcW w:w="2698"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报告</w:t>
            </w:r>
            <w:proofErr w:type="gramStart"/>
            <w:r>
              <w:rPr>
                <w:rFonts w:ascii="宋体" w:eastAsia="宋体" w:hAnsi="宋体" w:cs="宋体"/>
                <w:sz w:val="18"/>
                <w:szCs w:val="18"/>
              </w:rPr>
              <w:t>期末对</w:t>
            </w:r>
            <w:proofErr w:type="gramEnd"/>
            <w:r>
              <w:rPr>
                <w:rFonts w:ascii="宋体" w:eastAsia="宋体" w:hAnsi="宋体" w:cs="宋体"/>
                <w:sz w:val="18"/>
                <w:szCs w:val="18"/>
              </w:rPr>
              <w:t>子公司实际担保余额合计（B4）</w:t>
            </w:r>
          </w:p>
        </w:tc>
        <w:tc>
          <w:tcPr>
            <w:tcW w:w="2585"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486,817.6</w:t>
            </w:r>
          </w:p>
        </w:tc>
      </w:tr>
      <w:tr w:rsidR="000D58D8">
        <w:trPr>
          <w:trHeight w:val="240"/>
        </w:trPr>
        <w:tc>
          <w:tcPr>
            <w:tcW w:w="9639"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子公司对子公司的担保情况</w:t>
            </w:r>
          </w:p>
        </w:tc>
      </w:tr>
      <w:tr w:rsidR="000D58D8" w:rsidTr="00FE5DAA">
        <w:trPr>
          <w:trHeight w:val="240"/>
        </w:trPr>
        <w:tc>
          <w:tcPr>
            <w:tcW w:w="87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8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3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92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0D58D8">
        <w:trPr>
          <w:trHeight w:val="240"/>
        </w:trPr>
        <w:tc>
          <w:tcPr>
            <w:tcW w:w="9639"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公司担保总额（即前三大项的合计）</w:t>
            </w:r>
          </w:p>
        </w:tc>
      </w:tr>
      <w:tr w:rsidR="000D58D8" w:rsidTr="00FE5DAA">
        <w:trPr>
          <w:trHeight w:val="240"/>
        </w:trPr>
        <w:tc>
          <w:tcPr>
            <w:tcW w:w="3505"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报告期内审批担保额度合计（A1+B1+C1）</w:t>
            </w:r>
          </w:p>
        </w:tc>
        <w:tc>
          <w:tcPr>
            <w:tcW w:w="1706"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1,100,000</w:t>
            </w:r>
          </w:p>
        </w:tc>
        <w:tc>
          <w:tcPr>
            <w:tcW w:w="1843"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报告期内担保实际发生额合计（A2+B2+C2）</w:t>
            </w:r>
          </w:p>
        </w:tc>
        <w:tc>
          <w:tcPr>
            <w:tcW w:w="2585"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367,102</w:t>
            </w:r>
          </w:p>
        </w:tc>
      </w:tr>
      <w:tr w:rsidR="000D58D8" w:rsidTr="00FE5DAA">
        <w:trPr>
          <w:trHeight w:val="240"/>
        </w:trPr>
        <w:tc>
          <w:tcPr>
            <w:tcW w:w="3505"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报告</w:t>
            </w:r>
            <w:proofErr w:type="gramStart"/>
            <w:r>
              <w:rPr>
                <w:rFonts w:ascii="宋体" w:eastAsia="宋体" w:hAnsi="宋体" w:cs="宋体"/>
                <w:sz w:val="18"/>
                <w:szCs w:val="18"/>
              </w:rPr>
              <w:t>期末已</w:t>
            </w:r>
            <w:proofErr w:type="gramEnd"/>
            <w:r>
              <w:rPr>
                <w:rFonts w:ascii="宋体" w:eastAsia="宋体" w:hAnsi="宋体" w:cs="宋体"/>
                <w:sz w:val="18"/>
                <w:szCs w:val="18"/>
              </w:rPr>
              <w:t>审批的担保额度合计（A3+B3+C3）</w:t>
            </w:r>
          </w:p>
        </w:tc>
        <w:tc>
          <w:tcPr>
            <w:tcW w:w="1706"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1,100,000</w:t>
            </w:r>
          </w:p>
        </w:tc>
        <w:tc>
          <w:tcPr>
            <w:tcW w:w="1843"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报告期末实际担保余额合计（A4+B4+C4）</w:t>
            </w:r>
          </w:p>
        </w:tc>
        <w:tc>
          <w:tcPr>
            <w:tcW w:w="2585"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486,817.6</w:t>
            </w:r>
          </w:p>
        </w:tc>
      </w:tr>
      <w:tr w:rsidR="000D58D8" w:rsidTr="00FE5DAA">
        <w:trPr>
          <w:trHeight w:val="240"/>
        </w:trPr>
        <w:tc>
          <w:tcPr>
            <w:tcW w:w="5211"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实际担保总额（即A4+B4+C4）占公司净资产的比例</w:t>
            </w:r>
          </w:p>
        </w:tc>
        <w:tc>
          <w:tcPr>
            <w:tcW w:w="4428"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79.07%</w:t>
            </w:r>
          </w:p>
        </w:tc>
      </w:tr>
      <w:tr w:rsidR="000D58D8">
        <w:trPr>
          <w:trHeight w:val="240"/>
        </w:trPr>
        <w:tc>
          <w:tcPr>
            <w:tcW w:w="9639"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其中：</w:t>
            </w:r>
          </w:p>
        </w:tc>
      </w:tr>
      <w:tr w:rsidR="000D58D8" w:rsidTr="00FE5DAA">
        <w:trPr>
          <w:trHeight w:val="240"/>
        </w:trPr>
        <w:tc>
          <w:tcPr>
            <w:tcW w:w="5211"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为股东、实际控制人及其关联方提供担保的余额（D）</w:t>
            </w:r>
          </w:p>
        </w:tc>
        <w:tc>
          <w:tcPr>
            <w:tcW w:w="4428"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rsidTr="00FE5DAA">
        <w:trPr>
          <w:trHeight w:val="240"/>
        </w:trPr>
        <w:tc>
          <w:tcPr>
            <w:tcW w:w="5211"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直接或间接为资产负债率超过70%的被担保对象提供的债务担保余额（E）</w:t>
            </w:r>
          </w:p>
        </w:tc>
        <w:tc>
          <w:tcPr>
            <w:tcW w:w="4428"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rsidTr="00FE5DAA">
        <w:trPr>
          <w:trHeight w:val="240"/>
        </w:trPr>
        <w:tc>
          <w:tcPr>
            <w:tcW w:w="5211"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担保总额超过净资产50%部分的金额（F）</w:t>
            </w:r>
          </w:p>
        </w:tc>
        <w:tc>
          <w:tcPr>
            <w:tcW w:w="4428"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178,989.33</w:t>
            </w:r>
          </w:p>
        </w:tc>
      </w:tr>
      <w:tr w:rsidR="000D58D8" w:rsidTr="00FE5DAA">
        <w:trPr>
          <w:trHeight w:val="240"/>
        </w:trPr>
        <w:tc>
          <w:tcPr>
            <w:tcW w:w="5211"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上述三项担保金额合计（D+E+F）</w:t>
            </w:r>
          </w:p>
        </w:tc>
        <w:tc>
          <w:tcPr>
            <w:tcW w:w="4428"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178,989.33</w:t>
            </w:r>
          </w:p>
        </w:tc>
      </w:tr>
      <w:tr w:rsidR="000D58D8" w:rsidTr="00FE5DAA">
        <w:trPr>
          <w:trHeight w:val="240"/>
        </w:trPr>
        <w:tc>
          <w:tcPr>
            <w:tcW w:w="5211"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对未到期担保合同，报告期内发生担保责任或有证据表明有可能承担连带清偿责任的情况说明（如有）</w:t>
            </w:r>
          </w:p>
        </w:tc>
        <w:tc>
          <w:tcPr>
            <w:tcW w:w="4428"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rsidP="00FE5DAA">
            <w:pPr>
              <w:spacing w:line="240" w:lineRule="exact"/>
              <w:jc w:val="right"/>
              <w:rPr>
                <w:rFonts w:ascii="宋体" w:eastAsia="宋体" w:hAnsi="宋体" w:cs="宋体"/>
                <w:sz w:val="18"/>
                <w:szCs w:val="18"/>
              </w:rPr>
            </w:pPr>
            <w:r>
              <w:rPr>
                <w:rFonts w:ascii="宋体" w:eastAsia="宋体" w:hAnsi="宋体" w:cs="宋体"/>
                <w:sz w:val="18"/>
                <w:szCs w:val="18"/>
              </w:rPr>
              <w:t>无</w:t>
            </w:r>
          </w:p>
        </w:tc>
      </w:tr>
      <w:tr w:rsidR="000D58D8" w:rsidTr="00FE5DAA">
        <w:trPr>
          <w:trHeight w:val="240"/>
        </w:trPr>
        <w:tc>
          <w:tcPr>
            <w:tcW w:w="5211"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违反规定程序对外提供担保的说明（如有）</w:t>
            </w:r>
          </w:p>
        </w:tc>
        <w:tc>
          <w:tcPr>
            <w:tcW w:w="4428"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rsidP="00FE5DAA">
            <w:pPr>
              <w:spacing w:line="240" w:lineRule="exact"/>
              <w:jc w:val="right"/>
              <w:rPr>
                <w:rFonts w:ascii="宋体" w:eastAsia="宋体" w:hAnsi="宋体" w:cs="宋体"/>
                <w:sz w:val="18"/>
                <w:szCs w:val="18"/>
              </w:rPr>
            </w:pPr>
            <w:r>
              <w:rPr>
                <w:rFonts w:ascii="宋体" w:eastAsia="宋体" w:hAnsi="宋体" w:cs="宋体"/>
                <w:sz w:val="18"/>
                <w:szCs w:val="18"/>
              </w:rPr>
              <w:t>无</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采用复合方式担保的具体情况说明</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公司需遵守《深圳证券交易所上市公司自律监管指引第3号——行业信息披露》中纺织服装相关业的披露要求</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公司是否存在为经销商提供担保或财务资助</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pStyle w:val="3"/>
        <w:spacing w:line="280" w:lineRule="exact"/>
        <w:jc w:val="left"/>
        <w:rPr>
          <w:rFonts w:ascii="宋体" w:hAnsi="宋体" w:cs="宋体"/>
          <w:b/>
          <w:bCs/>
        </w:rPr>
      </w:pPr>
      <w:bookmarkStart w:id="137" w:name="_Toc989025"/>
      <w:r>
        <w:rPr>
          <w:rFonts w:ascii="宋体" w:hAnsi="宋体" w:cs="宋体"/>
          <w:b/>
          <w:bCs/>
        </w:rPr>
        <w:t>3、委托他人进行现金资产管理情况</w:t>
      </w:r>
      <w:bookmarkEnd w:id="137"/>
    </w:p>
    <w:p w:rsidR="000D58D8" w:rsidRDefault="000F627F">
      <w:pPr>
        <w:keepNext/>
        <w:keepLines/>
        <w:spacing w:before="300" w:after="300" w:line="280" w:lineRule="exact"/>
        <w:outlineLvl w:val="3"/>
        <w:rPr>
          <w:rFonts w:ascii="宋体" w:eastAsia="宋体" w:hAnsi="宋体" w:cs="宋体"/>
          <w:b/>
          <w:bCs/>
          <w:sz w:val="18"/>
          <w:szCs w:val="18"/>
        </w:rPr>
      </w:pPr>
      <w:bookmarkStart w:id="138" w:name="_Toc989026"/>
      <w:r>
        <w:rPr>
          <w:rFonts w:ascii="宋体" w:eastAsia="宋体" w:hAnsi="宋体" w:cs="宋体"/>
          <w:b/>
          <w:bCs/>
          <w:sz w:val="18"/>
          <w:szCs w:val="18"/>
        </w:rPr>
        <w:t>（1） 委托理财情况</w:t>
      </w:r>
      <w:bookmarkEnd w:id="138"/>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报告期内委托理财概况</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lastRenderedPageBreak/>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7"/>
        <w:gridCol w:w="1608"/>
        <w:gridCol w:w="1606"/>
        <w:gridCol w:w="1606"/>
        <w:gridCol w:w="1606"/>
        <w:gridCol w:w="1606"/>
      </w:tblGrid>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具体类型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委托理财的资金来源</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委托理财发生额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未到期余额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逾期未收回的金额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逾期未收回理财已计提减值金额</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银行理财产品</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自有资金</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1,494,071.57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5,959.27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trPr>
          <w:trHeight w:val="240"/>
        </w:trPr>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1,494,071.57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5,959.27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单项金额重大或安全性较低、流动性较差的高风险委托理财具体情况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委托理财出现预期无法收回本金或存在其他可能导致减值的情形</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 w:val="18"/>
          <w:szCs w:val="18"/>
        </w:rPr>
      </w:pPr>
      <w:bookmarkStart w:id="139" w:name="_Toc989027"/>
      <w:r>
        <w:rPr>
          <w:rFonts w:ascii="宋体" w:eastAsia="宋体" w:hAnsi="宋体" w:cs="宋体"/>
          <w:b/>
          <w:bCs/>
          <w:sz w:val="18"/>
          <w:szCs w:val="18"/>
        </w:rPr>
        <w:t>（2） 委托贷款情况</w:t>
      </w:r>
      <w:bookmarkEnd w:id="13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公司报告期不存在委托贷款。</w:t>
      </w:r>
    </w:p>
    <w:p w:rsidR="000D58D8" w:rsidRDefault="000F627F">
      <w:pPr>
        <w:pStyle w:val="3"/>
        <w:spacing w:line="280" w:lineRule="exact"/>
        <w:jc w:val="left"/>
        <w:rPr>
          <w:rFonts w:ascii="宋体" w:hAnsi="宋体" w:cs="宋体"/>
          <w:b/>
          <w:bCs/>
        </w:rPr>
      </w:pPr>
      <w:bookmarkStart w:id="140" w:name="_Toc989028"/>
      <w:r>
        <w:rPr>
          <w:rFonts w:ascii="宋体" w:hAnsi="宋体" w:cs="宋体"/>
          <w:b/>
          <w:bCs/>
        </w:rPr>
        <w:t>4、其他重大合同</w:t>
      </w:r>
      <w:bookmarkEnd w:id="14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公司报告期不存在其他重大合同。</w:t>
      </w:r>
    </w:p>
    <w:p w:rsidR="000D58D8" w:rsidRDefault="000F627F">
      <w:pPr>
        <w:pStyle w:val="2"/>
        <w:spacing w:before="300" w:after="300" w:line="320" w:lineRule="exact"/>
        <w:rPr>
          <w:rFonts w:ascii="宋体" w:eastAsia="宋体" w:hAnsi="宋体" w:cs="宋体"/>
          <w:b/>
          <w:bCs/>
          <w:sz w:val="24"/>
          <w:szCs w:val="24"/>
        </w:rPr>
      </w:pPr>
      <w:bookmarkStart w:id="141" w:name="_Toc989029"/>
      <w:r>
        <w:rPr>
          <w:rFonts w:ascii="宋体" w:eastAsia="宋体" w:hAnsi="宋体" w:cs="宋体"/>
          <w:b/>
          <w:bCs/>
          <w:sz w:val="24"/>
          <w:szCs w:val="24"/>
        </w:rPr>
        <w:t>十六、其他重大事项的说明</w:t>
      </w:r>
      <w:bookmarkEnd w:id="14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公司报告期不存在需要说明的其他重大事项。</w:t>
      </w:r>
    </w:p>
    <w:p w:rsidR="000D58D8" w:rsidRDefault="000F627F">
      <w:pPr>
        <w:pStyle w:val="2"/>
        <w:spacing w:before="300" w:after="300" w:line="320" w:lineRule="exact"/>
        <w:rPr>
          <w:rFonts w:ascii="宋体" w:eastAsia="宋体" w:hAnsi="宋体" w:cs="宋体"/>
          <w:b/>
          <w:bCs/>
          <w:sz w:val="24"/>
          <w:szCs w:val="24"/>
        </w:rPr>
      </w:pPr>
      <w:bookmarkStart w:id="142" w:name="_Toc989030"/>
      <w:r>
        <w:rPr>
          <w:rFonts w:ascii="宋体" w:eastAsia="宋体" w:hAnsi="宋体" w:cs="宋体"/>
          <w:b/>
          <w:bCs/>
          <w:sz w:val="24"/>
          <w:szCs w:val="24"/>
        </w:rPr>
        <w:t>十七、公司子公司重大事项</w:t>
      </w:r>
      <w:bookmarkEnd w:id="14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r>
        <w:br w:type="page"/>
      </w:r>
    </w:p>
    <w:p w:rsidR="000D58D8" w:rsidRDefault="000F627F">
      <w:pPr>
        <w:pStyle w:val="headingh1"/>
        <w:spacing w:before="340" w:after="330" w:line="773" w:lineRule="exact"/>
        <w:jc w:val="center"/>
        <w:rPr>
          <w:rFonts w:ascii="宋体" w:eastAsia="宋体" w:hAnsi="宋体" w:cs="宋体"/>
          <w:b/>
          <w:bCs/>
          <w:sz w:val="32"/>
          <w:szCs w:val="32"/>
        </w:rPr>
      </w:pPr>
      <w:bookmarkStart w:id="143" w:name="_Toc989031"/>
      <w:r>
        <w:rPr>
          <w:rFonts w:ascii="宋体" w:eastAsia="宋体" w:hAnsi="宋体" w:cs="宋体"/>
          <w:b/>
          <w:bCs/>
          <w:sz w:val="32"/>
          <w:szCs w:val="32"/>
        </w:rPr>
        <w:lastRenderedPageBreak/>
        <w:t>第七节 股份变动及股东情况</w:t>
      </w:r>
      <w:bookmarkEnd w:id="143"/>
    </w:p>
    <w:p w:rsidR="000D58D8" w:rsidRDefault="000F627F">
      <w:pPr>
        <w:pStyle w:val="2"/>
        <w:spacing w:before="300" w:after="300" w:line="320" w:lineRule="exact"/>
        <w:rPr>
          <w:rFonts w:ascii="宋体" w:eastAsia="宋体" w:hAnsi="宋体" w:cs="宋体"/>
          <w:b/>
          <w:bCs/>
          <w:sz w:val="24"/>
          <w:szCs w:val="24"/>
        </w:rPr>
      </w:pPr>
      <w:bookmarkStart w:id="144" w:name="_Toc989032"/>
      <w:r>
        <w:rPr>
          <w:rFonts w:ascii="宋体" w:eastAsia="宋体" w:hAnsi="宋体" w:cs="宋体"/>
          <w:b/>
          <w:bCs/>
          <w:sz w:val="24"/>
          <w:szCs w:val="24"/>
        </w:rPr>
        <w:t>一、股份变动情况</w:t>
      </w:r>
      <w:bookmarkEnd w:id="144"/>
    </w:p>
    <w:p w:rsidR="000D58D8" w:rsidRDefault="000F627F">
      <w:pPr>
        <w:pStyle w:val="3"/>
        <w:spacing w:line="280" w:lineRule="exact"/>
        <w:jc w:val="left"/>
        <w:rPr>
          <w:rFonts w:ascii="宋体" w:hAnsi="宋体" w:cs="宋体"/>
          <w:b/>
          <w:bCs/>
        </w:rPr>
      </w:pPr>
      <w:bookmarkStart w:id="145" w:name="_Toc989033"/>
      <w:r>
        <w:rPr>
          <w:rFonts w:ascii="宋体" w:hAnsi="宋体" w:cs="宋体"/>
          <w:b/>
          <w:bCs/>
        </w:rPr>
        <w:t>1、股份变动情况</w:t>
      </w:r>
      <w:bookmarkEnd w:id="145"/>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526"/>
        <w:gridCol w:w="1417"/>
        <w:gridCol w:w="851"/>
        <w:gridCol w:w="1276"/>
        <w:gridCol w:w="425"/>
        <w:gridCol w:w="850"/>
        <w:gridCol w:w="426"/>
        <w:gridCol w:w="567"/>
        <w:gridCol w:w="1417"/>
        <w:gridCol w:w="884"/>
      </w:tblGrid>
      <w:tr w:rsidR="000D58D8" w:rsidTr="00FE5DAA">
        <w:trPr>
          <w:trHeight w:val="240"/>
        </w:trPr>
        <w:tc>
          <w:tcPr>
            <w:tcW w:w="152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26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本次变动前</w:t>
            </w:r>
          </w:p>
        </w:tc>
        <w:tc>
          <w:tcPr>
            <w:tcW w:w="3544"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2301"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本次变动后</w:t>
            </w:r>
          </w:p>
        </w:tc>
      </w:tr>
      <w:tr w:rsidR="000D58D8" w:rsidTr="00FE5DAA">
        <w:trPr>
          <w:trHeight w:val="240"/>
        </w:trPr>
        <w:tc>
          <w:tcPr>
            <w:tcW w:w="152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42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4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6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88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0D58D8" w:rsidTr="00FE5DAA">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一、有限</w:t>
            </w:r>
            <w:proofErr w:type="gramStart"/>
            <w:r>
              <w:rPr>
                <w:rFonts w:ascii="宋体" w:eastAsia="宋体" w:hAnsi="宋体" w:cs="宋体"/>
                <w:sz w:val="18"/>
                <w:szCs w:val="18"/>
              </w:rPr>
              <w:t>售条件</w:t>
            </w:r>
            <w:proofErr w:type="gramEnd"/>
            <w:r>
              <w:rPr>
                <w:rFonts w:ascii="宋体" w:eastAsia="宋体" w:hAnsi="宋体" w:cs="宋体"/>
                <w:sz w:val="18"/>
                <w:szCs w:val="18"/>
              </w:rPr>
              <w:t>股份</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0D58D8" w:rsidTr="00FE5DAA">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1、国家持股</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FE5DAA">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2、国有法人持股</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FE5DAA">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3、其他内资持股</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FE5DAA">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其中：境内法人持股</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FE5DAA">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境内自然人持股</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FE5DAA">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4、外资持股</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FE5DAA">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其中：境外法人持股</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FE5DAA">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境外自然人持股</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FE5DAA">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二、无限</w:t>
            </w:r>
            <w:proofErr w:type="gramStart"/>
            <w:r>
              <w:rPr>
                <w:rFonts w:ascii="宋体" w:eastAsia="宋体" w:hAnsi="宋体" w:cs="宋体"/>
                <w:sz w:val="18"/>
                <w:szCs w:val="18"/>
              </w:rPr>
              <w:t>售条件</w:t>
            </w:r>
            <w:proofErr w:type="gramEnd"/>
            <w:r>
              <w:rPr>
                <w:rFonts w:ascii="宋体" w:eastAsia="宋体" w:hAnsi="宋体" w:cs="宋体"/>
                <w:sz w:val="18"/>
                <w:szCs w:val="18"/>
              </w:rPr>
              <w:t>股份</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w:t>
            </w: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w:t>
            </w: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0D58D8" w:rsidTr="00FE5DAA">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1、人民币普通股</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w:t>
            </w: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w:t>
            </w: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0D58D8" w:rsidTr="00FE5DAA">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2、境内上市的外资股</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FE5DAA">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3、境外上市的外资股</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FE5DAA">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4、其他</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FE5DAA">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三、股份总数</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w:t>
            </w:r>
          </w:p>
        </w:tc>
        <w:tc>
          <w:tcPr>
            <w:tcW w:w="8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w:t>
            </w:r>
          </w:p>
        </w:tc>
        <w:tc>
          <w:tcPr>
            <w:tcW w:w="8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股份变动的原因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股份变动的批准情况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股份变动的过户情况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股份变动对最近一年和最近一期基本每股收益和稀释每股收益、归属于公司普通股股东的每股净资产等财务指标的影响</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公司认为必要或证券监管机构要求披露的其他内容</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146" w:name="_Toc989034"/>
      <w:r>
        <w:rPr>
          <w:rFonts w:ascii="宋体" w:hAnsi="宋体" w:cs="宋体"/>
          <w:b/>
          <w:bCs/>
        </w:rPr>
        <w:t>2、限售股份变动情况</w:t>
      </w:r>
      <w:bookmarkEnd w:id="14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2"/>
        <w:spacing w:before="300" w:after="300" w:line="320" w:lineRule="exact"/>
        <w:rPr>
          <w:rFonts w:ascii="宋体" w:eastAsia="宋体" w:hAnsi="宋体" w:cs="宋体"/>
          <w:b/>
          <w:bCs/>
          <w:sz w:val="24"/>
          <w:szCs w:val="24"/>
        </w:rPr>
      </w:pPr>
      <w:bookmarkStart w:id="147" w:name="_Toc989035"/>
      <w:r>
        <w:rPr>
          <w:rFonts w:ascii="宋体" w:eastAsia="宋体" w:hAnsi="宋体" w:cs="宋体"/>
          <w:b/>
          <w:bCs/>
          <w:sz w:val="24"/>
          <w:szCs w:val="24"/>
        </w:rPr>
        <w:t>二、证券发行与上市情况</w:t>
      </w:r>
      <w:bookmarkEnd w:id="147"/>
    </w:p>
    <w:p w:rsidR="000D58D8" w:rsidRDefault="000F627F">
      <w:pPr>
        <w:pStyle w:val="3"/>
        <w:spacing w:line="280" w:lineRule="exact"/>
        <w:jc w:val="left"/>
        <w:rPr>
          <w:rFonts w:ascii="宋体" w:hAnsi="宋体" w:cs="宋体"/>
          <w:b/>
          <w:bCs/>
        </w:rPr>
      </w:pPr>
      <w:bookmarkStart w:id="148" w:name="_Toc989036"/>
      <w:r>
        <w:rPr>
          <w:rFonts w:ascii="宋体" w:hAnsi="宋体" w:cs="宋体"/>
          <w:b/>
          <w:bCs/>
        </w:rPr>
        <w:t>1、报告期内证券发行（不含优先股）情况</w:t>
      </w:r>
      <w:bookmarkEnd w:id="148"/>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149" w:name="_Toc989037"/>
      <w:r>
        <w:rPr>
          <w:rFonts w:ascii="宋体" w:hAnsi="宋体" w:cs="宋体"/>
          <w:b/>
          <w:bCs/>
        </w:rPr>
        <w:t>2、公司股份总数及股东结构的变动、公司资产和负债结构的变动情况说明</w:t>
      </w:r>
      <w:bookmarkEnd w:id="14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150" w:name="_Toc989038"/>
      <w:r>
        <w:rPr>
          <w:rFonts w:ascii="宋体" w:hAnsi="宋体" w:cs="宋体"/>
          <w:b/>
          <w:bCs/>
        </w:rPr>
        <w:t>3、现存的内部职工股情况</w:t>
      </w:r>
      <w:bookmarkEnd w:id="15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2"/>
        <w:spacing w:before="300" w:after="300" w:line="320" w:lineRule="exact"/>
        <w:rPr>
          <w:rFonts w:ascii="宋体" w:eastAsia="宋体" w:hAnsi="宋体" w:cs="宋体"/>
          <w:b/>
          <w:bCs/>
          <w:sz w:val="24"/>
          <w:szCs w:val="24"/>
        </w:rPr>
      </w:pPr>
      <w:bookmarkStart w:id="151" w:name="_Toc989039"/>
      <w:r>
        <w:rPr>
          <w:rFonts w:ascii="宋体" w:eastAsia="宋体" w:hAnsi="宋体" w:cs="宋体"/>
          <w:b/>
          <w:bCs/>
          <w:sz w:val="24"/>
          <w:szCs w:val="24"/>
        </w:rPr>
        <w:t>三、股东和实际控制人情况</w:t>
      </w:r>
      <w:bookmarkEnd w:id="151"/>
    </w:p>
    <w:p w:rsidR="000D58D8" w:rsidRDefault="000F627F">
      <w:pPr>
        <w:pStyle w:val="3"/>
        <w:spacing w:line="280" w:lineRule="exact"/>
        <w:jc w:val="left"/>
        <w:rPr>
          <w:rFonts w:ascii="宋体" w:hAnsi="宋体" w:cs="宋体"/>
          <w:b/>
          <w:bCs/>
        </w:rPr>
      </w:pPr>
      <w:bookmarkStart w:id="152" w:name="_Toc989040"/>
      <w:r>
        <w:rPr>
          <w:rFonts w:ascii="宋体" w:hAnsi="宋体" w:cs="宋体"/>
          <w:b/>
          <w:bCs/>
        </w:rPr>
        <w:t>1、公司股东数量及持股情况</w:t>
      </w:r>
      <w:bookmarkEnd w:id="152"/>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22"/>
        <w:gridCol w:w="49"/>
        <w:gridCol w:w="801"/>
        <w:gridCol w:w="270"/>
        <w:gridCol w:w="1071"/>
        <w:gridCol w:w="644"/>
        <w:gridCol w:w="427"/>
        <w:gridCol w:w="140"/>
        <w:gridCol w:w="931"/>
        <w:gridCol w:w="61"/>
        <w:gridCol w:w="142"/>
        <w:gridCol w:w="1134"/>
        <w:gridCol w:w="425"/>
        <w:gridCol w:w="284"/>
        <w:gridCol w:w="96"/>
        <w:gridCol w:w="1071"/>
      </w:tblGrid>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18,869</w:t>
            </w:r>
          </w:p>
        </w:tc>
        <w:tc>
          <w:tcPr>
            <w:tcW w:w="1071"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年度报告披露日前上一月末普通股股东总数</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38,260</w:t>
            </w:r>
          </w:p>
        </w:tc>
        <w:tc>
          <w:tcPr>
            <w:tcW w:w="1071"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报告期末表决权恢复的优先股股东总数（如有）（参见注8）</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2142"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年度报告披露日前上一月末表决权恢复的优先股股东总数（如有）（参见注8）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trPr>
          <w:trHeight w:val="240"/>
        </w:trPr>
        <w:tc>
          <w:tcPr>
            <w:tcW w:w="9639" w:type="dxa"/>
            <w:gridSpan w:val="17"/>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持股5%以上的股东或前10名股东持股情况（不含通过转融通出借股份）</w:t>
            </w:r>
          </w:p>
        </w:tc>
      </w:tr>
      <w:tr w:rsidR="000D58D8" w:rsidTr="00FE5DAA">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02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850"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341"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报告期末持股数量</w:t>
            </w:r>
          </w:p>
        </w:tc>
        <w:tc>
          <w:tcPr>
            <w:tcW w:w="1211"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报告期内增减变动情况</w:t>
            </w:r>
          </w:p>
        </w:tc>
        <w:tc>
          <w:tcPr>
            <w:tcW w:w="99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持有有限</w:t>
            </w:r>
            <w:proofErr w:type="gramStart"/>
            <w:r>
              <w:rPr>
                <w:rFonts w:ascii="宋体" w:eastAsia="宋体" w:hAnsi="宋体" w:cs="宋体"/>
                <w:sz w:val="18"/>
                <w:szCs w:val="18"/>
              </w:rPr>
              <w:t>售条件</w:t>
            </w:r>
            <w:proofErr w:type="gramEnd"/>
            <w:r>
              <w:rPr>
                <w:rFonts w:ascii="宋体" w:eastAsia="宋体" w:hAnsi="宋体" w:cs="宋体"/>
                <w:sz w:val="18"/>
                <w:szCs w:val="18"/>
              </w:rPr>
              <w:t>的股份数量</w:t>
            </w:r>
          </w:p>
        </w:tc>
        <w:tc>
          <w:tcPr>
            <w:tcW w:w="1276"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持有无限</w:t>
            </w:r>
            <w:proofErr w:type="gramStart"/>
            <w:r>
              <w:rPr>
                <w:rFonts w:ascii="宋体" w:eastAsia="宋体" w:hAnsi="宋体" w:cs="宋体"/>
                <w:sz w:val="18"/>
                <w:szCs w:val="18"/>
              </w:rPr>
              <w:t>售条件</w:t>
            </w:r>
            <w:proofErr w:type="gramEnd"/>
            <w:r>
              <w:rPr>
                <w:rFonts w:ascii="宋体" w:eastAsia="宋体" w:hAnsi="宋体" w:cs="宋体"/>
                <w:sz w:val="18"/>
                <w:szCs w:val="18"/>
              </w:rPr>
              <w:t>的股份数量</w:t>
            </w:r>
          </w:p>
        </w:tc>
        <w:tc>
          <w:tcPr>
            <w:tcW w:w="1876"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0D58D8" w:rsidTr="00FE5DAA">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2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50"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41"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211" w:type="dxa"/>
            <w:gridSpan w:val="3"/>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99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276"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0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16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0D58D8" w:rsidTr="00FE5DA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02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29.50%</w:t>
            </w:r>
          </w:p>
        </w:tc>
        <w:tc>
          <w:tcPr>
            <w:tcW w:w="1341"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501,655,862</w:t>
            </w:r>
          </w:p>
        </w:tc>
        <w:tc>
          <w:tcPr>
            <w:tcW w:w="121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-19,050,088</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501,655,862</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rsidTr="00FE5DA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安徽飞亚纺织有限公司</w:t>
            </w:r>
          </w:p>
        </w:tc>
        <w:tc>
          <w:tcPr>
            <w:tcW w:w="102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7.59%</w:t>
            </w:r>
          </w:p>
        </w:tc>
        <w:tc>
          <w:tcPr>
            <w:tcW w:w="1341"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129,058,312</w:t>
            </w:r>
          </w:p>
        </w:tc>
        <w:tc>
          <w:tcPr>
            <w:tcW w:w="121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129,058,312</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rsidTr="00FE5DA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深圳市华人投资有限公司</w:t>
            </w:r>
          </w:p>
        </w:tc>
        <w:tc>
          <w:tcPr>
            <w:tcW w:w="102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4.82%</w:t>
            </w:r>
          </w:p>
        </w:tc>
        <w:tc>
          <w:tcPr>
            <w:tcW w:w="1341"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81,973,588</w:t>
            </w:r>
          </w:p>
        </w:tc>
        <w:tc>
          <w:tcPr>
            <w:tcW w:w="121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19,050,088</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81,973,588</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rsidTr="00FE5DA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广西</w:t>
            </w:r>
            <w:proofErr w:type="gramStart"/>
            <w:r>
              <w:rPr>
                <w:rFonts w:ascii="宋体" w:eastAsia="宋体" w:hAnsi="宋体" w:cs="宋体"/>
                <w:sz w:val="18"/>
                <w:szCs w:val="18"/>
              </w:rPr>
              <w:t>沣盛供应</w:t>
            </w:r>
            <w:proofErr w:type="gramEnd"/>
            <w:r>
              <w:rPr>
                <w:rFonts w:ascii="宋体" w:eastAsia="宋体" w:hAnsi="宋体" w:cs="宋体"/>
                <w:sz w:val="18"/>
                <w:szCs w:val="18"/>
              </w:rPr>
              <w:t>链管理有限公司</w:t>
            </w:r>
          </w:p>
        </w:tc>
        <w:tc>
          <w:tcPr>
            <w:tcW w:w="102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2.66%</w:t>
            </w:r>
          </w:p>
        </w:tc>
        <w:tc>
          <w:tcPr>
            <w:tcW w:w="1341"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45,283,102</w:t>
            </w:r>
          </w:p>
        </w:tc>
        <w:tc>
          <w:tcPr>
            <w:tcW w:w="121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45,283,102</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质押</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45,166,402</w:t>
            </w:r>
          </w:p>
        </w:tc>
      </w:tr>
      <w:tr w:rsidR="000D58D8" w:rsidTr="00FE5DA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金鹰基金</w:t>
            </w:r>
            <w:r>
              <w:rPr>
                <w:rFonts w:ascii="宋体" w:eastAsia="宋体" w:hAnsi="宋体" w:cs="宋体"/>
                <w:sz w:val="18"/>
                <w:szCs w:val="18"/>
              </w:rPr>
              <w:lastRenderedPageBreak/>
              <w:t>－工商银行－万向信托－万向信托－星辰39号事务管理类单一资金信托</w:t>
            </w:r>
          </w:p>
        </w:tc>
        <w:tc>
          <w:tcPr>
            <w:tcW w:w="102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其他</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2.42%</w:t>
            </w:r>
          </w:p>
        </w:tc>
        <w:tc>
          <w:tcPr>
            <w:tcW w:w="1341"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41,148,461</w:t>
            </w:r>
          </w:p>
        </w:tc>
        <w:tc>
          <w:tcPr>
            <w:tcW w:w="121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-5,051,400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41,148,461</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w:t>
            </w:r>
            <w:r>
              <w:rPr>
                <w:rFonts w:ascii="宋体" w:eastAsia="宋体" w:hAnsi="宋体" w:cs="宋体"/>
                <w:sz w:val="18"/>
                <w:szCs w:val="18"/>
              </w:rPr>
              <w:lastRenderedPageBreak/>
              <w:t>用</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0</w:t>
            </w:r>
          </w:p>
        </w:tc>
      </w:tr>
      <w:tr w:rsidR="000D58D8" w:rsidTr="00FE5DA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金元顺安基金－兴业银行－上海爱建信托－爱建信托欣欣7号定向增发事务管理类单一资金信托</w:t>
            </w:r>
          </w:p>
        </w:tc>
        <w:tc>
          <w:tcPr>
            <w:tcW w:w="102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2.19%</w:t>
            </w:r>
          </w:p>
        </w:tc>
        <w:tc>
          <w:tcPr>
            <w:tcW w:w="1341"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37,256,004</w:t>
            </w:r>
          </w:p>
        </w:tc>
        <w:tc>
          <w:tcPr>
            <w:tcW w:w="121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-4,525,000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37,256,004</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rsidTr="00FE5DA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102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境外法人</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1.93%</w:t>
            </w:r>
          </w:p>
        </w:tc>
        <w:tc>
          <w:tcPr>
            <w:tcW w:w="1341"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32,833,548</w:t>
            </w:r>
          </w:p>
        </w:tc>
        <w:tc>
          <w:tcPr>
            <w:tcW w:w="121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6,998,766</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32,833,548</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rsidTr="00FE5DA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杨三宝</w:t>
            </w:r>
          </w:p>
        </w:tc>
        <w:tc>
          <w:tcPr>
            <w:tcW w:w="102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1.59%</w:t>
            </w:r>
          </w:p>
        </w:tc>
        <w:tc>
          <w:tcPr>
            <w:tcW w:w="1341"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27,000,000</w:t>
            </w:r>
          </w:p>
        </w:tc>
        <w:tc>
          <w:tcPr>
            <w:tcW w:w="121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-13,552,500</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27,000,000</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rsidTr="00FE5DA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安徽省农业产业化发展基金有限公司</w:t>
            </w:r>
          </w:p>
        </w:tc>
        <w:tc>
          <w:tcPr>
            <w:tcW w:w="102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国有法人</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1.33%</w:t>
            </w:r>
          </w:p>
        </w:tc>
        <w:tc>
          <w:tcPr>
            <w:tcW w:w="1341"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22,600,000</w:t>
            </w:r>
          </w:p>
        </w:tc>
        <w:tc>
          <w:tcPr>
            <w:tcW w:w="121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-1,438,461</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22,600,000</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rsidTr="00FE5DA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徐国新</w:t>
            </w:r>
          </w:p>
        </w:tc>
        <w:tc>
          <w:tcPr>
            <w:tcW w:w="102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0.82%</w:t>
            </w:r>
          </w:p>
        </w:tc>
        <w:tc>
          <w:tcPr>
            <w:tcW w:w="1341"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13,939,061</w:t>
            </w:r>
          </w:p>
        </w:tc>
        <w:tc>
          <w:tcPr>
            <w:tcW w:w="121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13,939,061</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13,939,061</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D58D8" w:rsidTr="00FE5DAA">
        <w:trPr>
          <w:trHeight w:val="240"/>
        </w:trPr>
        <w:tc>
          <w:tcPr>
            <w:tcW w:w="2943"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战略投资者或一般法人因配售新股成为前10名股东的情况（如有）（参见注3）</w:t>
            </w:r>
          </w:p>
        </w:tc>
        <w:tc>
          <w:tcPr>
            <w:tcW w:w="6696" w:type="dxa"/>
            <w:gridSpan w:val="1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r w:rsidR="000D58D8" w:rsidTr="00FE5DAA">
        <w:trPr>
          <w:trHeight w:val="240"/>
        </w:trPr>
        <w:tc>
          <w:tcPr>
            <w:tcW w:w="2943"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6696" w:type="dxa"/>
            <w:gridSpan w:val="1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上述股东中华</w:t>
            </w:r>
            <w:proofErr w:type="gramStart"/>
            <w:r>
              <w:rPr>
                <w:rFonts w:ascii="宋体" w:eastAsia="宋体" w:hAnsi="宋体" w:cs="宋体"/>
                <w:sz w:val="18"/>
                <w:szCs w:val="18"/>
              </w:rPr>
              <w:t>孚</w:t>
            </w:r>
            <w:proofErr w:type="gramEnd"/>
            <w:r>
              <w:rPr>
                <w:rFonts w:ascii="宋体" w:eastAsia="宋体" w:hAnsi="宋体" w:cs="宋体"/>
                <w:sz w:val="18"/>
                <w:szCs w:val="18"/>
              </w:rPr>
              <w:t>控股有限公司、安徽飞亚纺织有限公司、深圳市华人投资有限公司为公司控股股东</w:t>
            </w:r>
            <w:proofErr w:type="gramStart"/>
            <w:r>
              <w:rPr>
                <w:rFonts w:ascii="宋体" w:eastAsia="宋体" w:hAnsi="宋体" w:cs="宋体"/>
                <w:sz w:val="18"/>
                <w:szCs w:val="18"/>
              </w:rPr>
              <w:t>及一致</w:t>
            </w:r>
            <w:proofErr w:type="gramEnd"/>
            <w:r>
              <w:rPr>
                <w:rFonts w:ascii="宋体" w:eastAsia="宋体" w:hAnsi="宋体" w:cs="宋体"/>
                <w:sz w:val="18"/>
                <w:szCs w:val="18"/>
              </w:rPr>
              <w:t>行动人，其余流通股东与控股股东之间不存在关联关系，也不属于一致行动人。未知其余流通股股东之间是否存在关联关系或是否属于一致行动人。</w:t>
            </w:r>
          </w:p>
        </w:tc>
      </w:tr>
      <w:tr w:rsidR="000D58D8" w:rsidTr="00FE5DAA">
        <w:trPr>
          <w:trHeight w:val="240"/>
        </w:trPr>
        <w:tc>
          <w:tcPr>
            <w:tcW w:w="2943"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上述股东涉及委托/受托表决权、放弃表决权情况的说明</w:t>
            </w:r>
          </w:p>
        </w:tc>
        <w:tc>
          <w:tcPr>
            <w:tcW w:w="6696" w:type="dxa"/>
            <w:gridSpan w:val="1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r w:rsidR="000D58D8" w:rsidTr="00FE5DAA">
        <w:trPr>
          <w:trHeight w:val="240"/>
        </w:trPr>
        <w:tc>
          <w:tcPr>
            <w:tcW w:w="2943"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前10名股东中存在回购专户的特别说明（如有）（参见注10）</w:t>
            </w:r>
          </w:p>
        </w:tc>
        <w:tc>
          <w:tcPr>
            <w:tcW w:w="6696" w:type="dxa"/>
            <w:gridSpan w:val="1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前十名股东中存在回购专户，截止12月31日，回购专</w:t>
            </w:r>
            <w:proofErr w:type="gramStart"/>
            <w:r>
              <w:rPr>
                <w:rFonts w:ascii="宋体" w:eastAsia="宋体" w:hAnsi="宋体" w:cs="宋体"/>
                <w:sz w:val="18"/>
                <w:szCs w:val="18"/>
              </w:rPr>
              <w:t>户股份</w:t>
            </w:r>
            <w:proofErr w:type="gramEnd"/>
            <w:r>
              <w:rPr>
                <w:rFonts w:ascii="宋体" w:eastAsia="宋体" w:hAnsi="宋体" w:cs="宋体"/>
                <w:sz w:val="18"/>
                <w:szCs w:val="18"/>
              </w:rPr>
              <w:t>数量为61,075,314股，占比3.59%</w:t>
            </w:r>
          </w:p>
        </w:tc>
      </w:tr>
      <w:tr w:rsidR="000D58D8">
        <w:trPr>
          <w:trHeight w:val="240"/>
        </w:trPr>
        <w:tc>
          <w:tcPr>
            <w:tcW w:w="9639" w:type="dxa"/>
            <w:gridSpan w:val="17"/>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前10名无限</w:t>
            </w:r>
            <w:proofErr w:type="gramStart"/>
            <w:r>
              <w:rPr>
                <w:rFonts w:ascii="宋体" w:eastAsia="宋体" w:hAnsi="宋体" w:cs="宋体"/>
                <w:sz w:val="18"/>
                <w:szCs w:val="18"/>
              </w:rPr>
              <w:t>售条件</w:t>
            </w:r>
            <w:proofErr w:type="gramEnd"/>
            <w:r>
              <w:rPr>
                <w:rFonts w:ascii="宋体" w:eastAsia="宋体" w:hAnsi="宋体" w:cs="宋体"/>
                <w:sz w:val="18"/>
                <w:szCs w:val="18"/>
              </w:rPr>
              <w:t>股东持股情况</w:t>
            </w:r>
          </w:p>
        </w:tc>
      </w:tr>
      <w:tr w:rsidR="000D58D8" w:rsidTr="00FE5DAA">
        <w:trPr>
          <w:trHeight w:val="240"/>
        </w:trPr>
        <w:tc>
          <w:tcPr>
            <w:tcW w:w="4928" w:type="dxa"/>
            <w:gridSpan w:val="7"/>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701" w:type="dxa"/>
            <w:gridSpan w:val="5"/>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报告期末持有无限</w:t>
            </w:r>
            <w:proofErr w:type="gramStart"/>
            <w:r>
              <w:rPr>
                <w:rFonts w:ascii="宋体" w:eastAsia="宋体" w:hAnsi="宋体" w:cs="宋体"/>
                <w:sz w:val="18"/>
                <w:szCs w:val="18"/>
              </w:rPr>
              <w:t>售条件</w:t>
            </w:r>
            <w:proofErr w:type="gramEnd"/>
            <w:r>
              <w:rPr>
                <w:rFonts w:ascii="宋体" w:eastAsia="宋体" w:hAnsi="宋体" w:cs="宋体"/>
                <w:sz w:val="18"/>
                <w:szCs w:val="18"/>
              </w:rPr>
              <w:t>股份数量</w:t>
            </w:r>
          </w:p>
        </w:tc>
        <w:tc>
          <w:tcPr>
            <w:tcW w:w="301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股份种类</w:t>
            </w:r>
          </w:p>
        </w:tc>
      </w:tr>
      <w:tr w:rsidR="000D58D8" w:rsidTr="00FE5DAA">
        <w:trPr>
          <w:trHeight w:val="240"/>
        </w:trPr>
        <w:tc>
          <w:tcPr>
            <w:tcW w:w="4928" w:type="dxa"/>
            <w:gridSpan w:val="7"/>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701" w:type="dxa"/>
            <w:gridSpan w:val="5"/>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55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45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0D58D8" w:rsidTr="00FE5DAA">
        <w:trPr>
          <w:trHeight w:val="240"/>
        </w:trPr>
        <w:tc>
          <w:tcPr>
            <w:tcW w:w="4928"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701" w:type="dxa"/>
            <w:gridSpan w:val="5"/>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501,655,862</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501,655,862</w:t>
            </w:r>
          </w:p>
        </w:tc>
      </w:tr>
      <w:tr w:rsidR="000D58D8" w:rsidTr="00FE5DAA">
        <w:trPr>
          <w:trHeight w:val="240"/>
        </w:trPr>
        <w:tc>
          <w:tcPr>
            <w:tcW w:w="4928"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安徽飞亚纺织有限公司</w:t>
            </w:r>
          </w:p>
        </w:tc>
        <w:tc>
          <w:tcPr>
            <w:tcW w:w="1701" w:type="dxa"/>
            <w:gridSpan w:val="5"/>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129,058,312</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129,058,312</w:t>
            </w:r>
          </w:p>
        </w:tc>
      </w:tr>
      <w:tr w:rsidR="000D58D8" w:rsidTr="00FE5DAA">
        <w:trPr>
          <w:trHeight w:val="240"/>
        </w:trPr>
        <w:tc>
          <w:tcPr>
            <w:tcW w:w="4928"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深圳市华人投资有限公司</w:t>
            </w:r>
          </w:p>
        </w:tc>
        <w:tc>
          <w:tcPr>
            <w:tcW w:w="1701" w:type="dxa"/>
            <w:gridSpan w:val="5"/>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81,973,588</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81,973,588</w:t>
            </w:r>
          </w:p>
        </w:tc>
      </w:tr>
      <w:tr w:rsidR="000D58D8" w:rsidTr="00FE5DAA">
        <w:trPr>
          <w:trHeight w:val="240"/>
        </w:trPr>
        <w:tc>
          <w:tcPr>
            <w:tcW w:w="4928"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广西</w:t>
            </w:r>
            <w:proofErr w:type="gramStart"/>
            <w:r>
              <w:rPr>
                <w:rFonts w:ascii="宋体" w:eastAsia="宋体" w:hAnsi="宋体" w:cs="宋体"/>
                <w:sz w:val="18"/>
                <w:szCs w:val="18"/>
              </w:rPr>
              <w:t>沣盛供应</w:t>
            </w:r>
            <w:proofErr w:type="gramEnd"/>
            <w:r>
              <w:rPr>
                <w:rFonts w:ascii="宋体" w:eastAsia="宋体" w:hAnsi="宋体" w:cs="宋体"/>
                <w:sz w:val="18"/>
                <w:szCs w:val="18"/>
              </w:rPr>
              <w:t>链管理有限公司</w:t>
            </w:r>
          </w:p>
        </w:tc>
        <w:tc>
          <w:tcPr>
            <w:tcW w:w="1701" w:type="dxa"/>
            <w:gridSpan w:val="5"/>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45,283,102</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45,283,102</w:t>
            </w:r>
          </w:p>
        </w:tc>
      </w:tr>
      <w:tr w:rsidR="000D58D8" w:rsidTr="00FE5DAA">
        <w:trPr>
          <w:trHeight w:val="240"/>
        </w:trPr>
        <w:tc>
          <w:tcPr>
            <w:tcW w:w="4928"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金鹰基金－工商银行－万向信托－万向信托－星辰39号事务管理类单一资金信托</w:t>
            </w:r>
          </w:p>
        </w:tc>
        <w:tc>
          <w:tcPr>
            <w:tcW w:w="1701" w:type="dxa"/>
            <w:gridSpan w:val="5"/>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41,148,461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41,148,461</w:t>
            </w:r>
          </w:p>
        </w:tc>
      </w:tr>
      <w:tr w:rsidR="000D58D8" w:rsidTr="00FE5DAA">
        <w:trPr>
          <w:trHeight w:val="240"/>
        </w:trPr>
        <w:tc>
          <w:tcPr>
            <w:tcW w:w="4928"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金元顺安基金－兴业银行－上海爱建信托－爱建信托欣欣7号定向增发事务管理类单一资金信托</w:t>
            </w:r>
          </w:p>
        </w:tc>
        <w:tc>
          <w:tcPr>
            <w:tcW w:w="1701" w:type="dxa"/>
            <w:gridSpan w:val="5"/>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37,256,004</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37,256,004</w:t>
            </w:r>
          </w:p>
        </w:tc>
      </w:tr>
      <w:tr w:rsidR="000D58D8" w:rsidTr="00FE5DAA">
        <w:trPr>
          <w:trHeight w:val="240"/>
        </w:trPr>
        <w:tc>
          <w:tcPr>
            <w:tcW w:w="4928"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1701" w:type="dxa"/>
            <w:gridSpan w:val="5"/>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32,833,548</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32,833,548</w:t>
            </w:r>
          </w:p>
        </w:tc>
      </w:tr>
      <w:tr w:rsidR="000D58D8" w:rsidTr="00FE5DAA">
        <w:trPr>
          <w:trHeight w:val="240"/>
        </w:trPr>
        <w:tc>
          <w:tcPr>
            <w:tcW w:w="4928"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杨三宝</w:t>
            </w:r>
          </w:p>
        </w:tc>
        <w:tc>
          <w:tcPr>
            <w:tcW w:w="1701" w:type="dxa"/>
            <w:gridSpan w:val="5"/>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27,000,000</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27,000,000</w:t>
            </w:r>
          </w:p>
        </w:tc>
      </w:tr>
      <w:tr w:rsidR="000D58D8" w:rsidTr="00FE5DAA">
        <w:trPr>
          <w:trHeight w:val="240"/>
        </w:trPr>
        <w:tc>
          <w:tcPr>
            <w:tcW w:w="4928"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安徽省农业产业化发展基金有限公司</w:t>
            </w:r>
          </w:p>
        </w:tc>
        <w:tc>
          <w:tcPr>
            <w:tcW w:w="1701" w:type="dxa"/>
            <w:gridSpan w:val="5"/>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22,600,000</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22,600,000</w:t>
            </w:r>
          </w:p>
        </w:tc>
      </w:tr>
      <w:tr w:rsidR="000D58D8" w:rsidTr="00FE5DAA">
        <w:trPr>
          <w:trHeight w:val="240"/>
        </w:trPr>
        <w:tc>
          <w:tcPr>
            <w:tcW w:w="4928" w:type="dxa"/>
            <w:gridSpan w:val="7"/>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徐国新</w:t>
            </w:r>
          </w:p>
        </w:tc>
        <w:tc>
          <w:tcPr>
            <w:tcW w:w="1701" w:type="dxa"/>
            <w:gridSpan w:val="5"/>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13,939,061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13,939,061</w:t>
            </w:r>
          </w:p>
        </w:tc>
      </w:tr>
      <w:tr w:rsidR="000D58D8" w:rsidTr="00FE5DAA">
        <w:trPr>
          <w:trHeight w:val="240"/>
        </w:trPr>
        <w:tc>
          <w:tcPr>
            <w:tcW w:w="4928"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前10名无限</w:t>
            </w:r>
            <w:proofErr w:type="gramStart"/>
            <w:r>
              <w:rPr>
                <w:rFonts w:ascii="宋体" w:eastAsia="宋体" w:hAnsi="宋体" w:cs="宋体"/>
                <w:sz w:val="18"/>
                <w:szCs w:val="18"/>
              </w:rPr>
              <w:t>售流通</w:t>
            </w:r>
            <w:proofErr w:type="gramEnd"/>
            <w:r>
              <w:rPr>
                <w:rFonts w:ascii="宋体" w:eastAsia="宋体" w:hAnsi="宋体" w:cs="宋体"/>
                <w:sz w:val="18"/>
                <w:szCs w:val="18"/>
              </w:rPr>
              <w:t>股股东之间，以及前10名无限</w:t>
            </w:r>
            <w:proofErr w:type="gramStart"/>
            <w:r>
              <w:rPr>
                <w:rFonts w:ascii="宋体" w:eastAsia="宋体" w:hAnsi="宋体" w:cs="宋体"/>
                <w:sz w:val="18"/>
                <w:szCs w:val="18"/>
              </w:rPr>
              <w:t>售流通</w:t>
            </w:r>
            <w:proofErr w:type="gramEnd"/>
            <w:r>
              <w:rPr>
                <w:rFonts w:ascii="宋体" w:eastAsia="宋体" w:hAnsi="宋体" w:cs="宋体"/>
                <w:sz w:val="18"/>
                <w:szCs w:val="18"/>
              </w:rPr>
              <w:t>股股东和前10名股东之间关联关系或一致行动的说明</w:t>
            </w:r>
          </w:p>
        </w:tc>
        <w:tc>
          <w:tcPr>
            <w:tcW w:w="4711" w:type="dxa"/>
            <w:gridSpan w:val="10"/>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前10名无限</w:t>
            </w:r>
            <w:proofErr w:type="gramStart"/>
            <w:r>
              <w:rPr>
                <w:rFonts w:ascii="宋体" w:eastAsia="宋体" w:hAnsi="宋体" w:cs="宋体"/>
                <w:sz w:val="18"/>
                <w:szCs w:val="18"/>
              </w:rPr>
              <w:t>售流通</w:t>
            </w:r>
            <w:proofErr w:type="gramEnd"/>
            <w:r>
              <w:rPr>
                <w:rFonts w:ascii="宋体" w:eastAsia="宋体" w:hAnsi="宋体" w:cs="宋体"/>
                <w:sz w:val="18"/>
                <w:szCs w:val="18"/>
              </w:rPr>
              <w:t>股股东中华</w:t>
            </w:r>
            <w:proofErr w:type="gramStart"/>
            <w:r>
              <w:rPr>
                <w:rFonts w:ascii="宋体" w:eastAsia="宋体" w:hAnsi="宋体" w:cs="宋体"/>
                <w:sz w:val="18"/>
                <w:szCs w:val="18"/>
              </w:rPr>
              <w:t>孚</w:t>
            </w:r>
            <w:proofErr w:type="gramEnd"/>
            <w:r>
              <w:rPr>
                <w:rFonts w:ascii="宋体" w:eastAsia="宋体" w:hAnsi="宋体" w:cs="宋体"/>
                <w:sz w:val="18"/>
                <w:szCs w:val="18"/>
              </w:rPr>
              <w:t>控股有限公司、安徽飞亚纺织有限公司、深圳市华人投资有限公司为公司控股股东</w:t>
            </w:r>
            <w:proofErr w:type="gramStart"/>
            <w:r>
              <w:rPr>
                <w:rFonts w:ascii="宋体" w:eastAsia="宋体" w:hAnsi="宋体" w:cs="宋体"/>
                <w:sz w:val="18"/>
                <w:szCs w:val="18"/>
              </w:rPr>
              <w:t>及一致</w:t>
            </w:r>
            <w:proofErr w:type="gramEnd"/>
            <w:r>
              <w:rPr>
                <w:rFonts w:ascii="宋体" w:eastAsia="宋体" w:hAnsi="宋体" w:cs="宋体"/>
                <w:sz w:val="18"/>
                <w:szCs w:val="18"/>
              </w:rPr>
              <w:t>行动人，其余流通股东与控股股东之间不存在关联关系，也不属于一致行动人。未知其余流通股股东之间是否存在关联关系或是否属于一致行动人。</w:t>
            </w:r>
          </w:p>
        </w:tc>
      </w:tr>
      <w:tr w:rsidR="000D58D8" w:rsidTr="00FE5DAA">
        <w:trPr>
          <w:trHeight w:val="240"/>
        </w:trPr>
        <w:tc>
          <w:tcPr>
            <w:tcW w:w="4928"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前10名普通股股东参与融资融券业务情况说明（如有）（参见注4）</w:t>
            </w:r>
          </w:p>
        </w:tc>
        <w:tc>
          <w:tcPr>
            <w:tcW w:w="4711" w:type="dxa"/>
            <w:gridSpan w:val="10"/>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不适用。</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前十名股东参与转融通业务出借股份情况</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前十名股东较上期发生变化</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6"/>
        <w:gridCol w:w="1608"/>
      </w:tblGrid>
      <w:tr w:rsidR="000D58D8">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前十名股东较上期末发生变化情况</w:t>
            </w:r>
          </w:p>
        </w:tc>
      </w:tr>
      <w:tr w:rsidR="000D58D8">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股东名称（全称）</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本报告期新增/退出</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期末转融通出借股份且尚未归还数量</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期末股东普通账户、信用账户持股及转融通出借股份且尚未归还的股份数量</w:t>
            </w:r>
          </w:p>
        </w:tc>
      </w:tr>
      <w:tr w:rsidR="000D58D8">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数量合计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占总股本的比例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数量合计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占总股本的比例</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郭</w:t>
            </w:r>
            <w:proofErr w:type="gramEnd"/>
            <w:r>
              <w:rPr>
                <w:rFonts w:ascii="宋体" w:eastAsia="宋体" w:hAnsi="宋体" w:cs="宋体"/>
                <w:sz w:val="18"/>
                <w:szCs w:val="18"/>
              </w:rPr>
              <w:t>红松</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退出</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8,700,000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0.51%</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徐国新</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新增</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13,939,061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0.82%</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公司前10名普通股股东、前10名无限</w:t>
      </w:r>
      <w:proofErr w:type="gramStart"/>
      <w:r>
        <w:rPr>
          <w:rFonts w:ascii="宋体" w:eastAsia="宋体" w:hAnsi="宋体" w:cs="宋体"/>
          <w:sz w:val="18"/>
          <w:szCs w:val="18"/>
        </w:rPr>
        <w:t>售条件</w:t>
      </w:r>
      <w:proofErr w:type="gramEnd"/>
      <w:r>
        <w:rPr>
          <w:rFonts w:ascii="宋体" w:eastAsia="宋体" w:hAnsi="宋体" w:cs="宋体"/>
          <w:sz w:val="18"/>
          <w:szCs w:val="18"/>
        </w:rPr>
        <w:t>普通股股东在报告期内是否进行约定购回交易</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公司前10名普通股股东、前10名无限</w:t>
      </w:r>
      <w:proofErr w:type="gramStart"/>
      <w:r>
        <w:rPr>
          <w:rFonts w:ascii="宋体" w:eastAsia="宋体" w:hAnsi="宋体" w:cs="宋体"/>
          <w:sz w:val="18"/>
          <w:szCs w:val="18"/>
        </w:rPr>
        <w:t>售条件</w:t>
      </w:r>
      <w:proofErr w:type="gramEnd"/>
      <w:r>
        <w:rPr>
          <w:rFonts w:ascii="宋体" w:eastAsia="宋体" w:hAnsi="宋体" w:cs="宋体"/>
          <w:sz w:val="18"/>
          <w:szCs w:val="18"/>
        </w:rPr>
        <w:t>普通股股东在报告期内未进行约定购回交易。</w:t>
      </w:r>
    </w:p>
    <w:p w:rsidR="000D58D8" w:rsidRDefault="000F627F">
      <w:pPr>
        <w:pStyle w:val="3"/>
        <w:spacing w:line="280" w:lineRule="exact"/>
        <w:jc w:val="left"/>
        <w:rPr>
          <w:rFonts w:ascii="宋体" w:hAnsi="宋体" w:cs="宋体"/>
          <w:b/>
          <w:bCs/>
        </w:rPr>
      </w:pPr>
      <w:bookmarkStart w:id="153" w:name="_Toc989041"/>
      <w:r>
        <w:rPr>
          <w:rFonts w:ascii="宋体" w:hAnsi="宋体" w:cs="宋体"/>
          <w:b/>
          <w:bCs/>
        </w:rPr>
        <w:t>2、公司控股股东情况</w:t>
      </w:r>
      <w:bookmarkEnd w:id="15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控股股东性质：自然人控股</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控股股东类型：法人</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300"/>
        <w:gridCol w:w="1276"/>
        <w:gridCol w:w="1275"/>
        <w:gridCol w:w="3861"/>
      </w:tblGrid>
      <w:tr w:rsidR="000D58D8" w:rsidTr="00FE5DAA">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控股股东名称</w:t>
            </w:r>
          </w:p>
        </w:tc>
        <w:tc>
          <w:tcPr>
            <w:tcW w:w="130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法定代表人/单位负责人</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成立日期</w:t>
            </w:r>
          </w:p>
        </w:tc>
        <w:tc>
          <w:tcPr>
            <w:tcW w:w="127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组织机构代码</w:t>
            </w:r>
          </w:p>
        </w:tc>
        <w:tc>
          <w:tcPr>
            <w:tcW w:w="386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主要经营业务</w:t>
            </w:r>
          </w:p>
        </w:tc>
      </w:tr>
      <w:tr w:rsidR="000D58D8" w:rsidTr="00FE5DA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30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孙伟挺</w:t>
            </w:r>
          </w:p>
        </w:tc>
        <w:tc>
          <w:tcPr>
            <w:tcW w:w="12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2002年09月23日</w:t>
            </w:r>
          </w:p>
        </w:tc>
        <w:tc>
          <w:tcPr>
            <w:tcW w:w="127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91440300743219206L</w:t>
            </w:r>
          </w:p>
        </w:tc>
        <w:tc>
          <w:tcPr>
            <w:tcW w:w="386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投资兴办实业（具体项目另行申报）；服装经营；纺织原材料的销售（不含专营、专控、专卖商品）；纺织设备进出口业务；在合法取得土地使用权范围内从事房地产开发、经营；计算机应用、软件开发。</w:t>
            </w:r>
          </w:p>
        </w:tc>
      </w:tr>
      <w:tr w:rsidR="000D58D8" w:rsidTr="00FE5DAA">
        <w:trPr>
          <w:trHeight w:val="240"/>
        </w:trPr>
        <w:tc>
          <w:tcPr>
            <w:tcW w:w="4503"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控股股东报告期内控股和参股的其他境内外上市公司的股权情况</w:t>
            </w:r>
          </w:p>
        </w:tc>
        <w:tc>
          <w:tcPr>
            <w:tcW w:w="5136"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控股股东报告期内变更</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公司报告期控股股东未发生变更。</w:t>
      </w:r>
    </w:p>
    <w:p w:rsidR="000D58D8" w:rsidRDefault="000F627F">
      <w:pPr>
        <w:pStyle w:val="3"/>
        <w:spacing w:line="280" w:lineRule="exact"/>
        <w:jc w:val="left"/>
        <w:rPr>
          <w:rFonts w:ascii="宋体" w:hAnsi="宋体" w:cs="宋体"/>
          <w:b/>
          <w:bCs/>
        </w:rPr>
      </w:pPr>
      <w:bookmarkStart w:id="154" w:name="_Toc989042"/>
      <w:r>
        <w:rPr>
          <w:rFonts w:ascii="宋体" w:hAnsi="宋体" w:cs="宋体"/>
          <w:b/>
          <w:bCs/>
        </w:rPr>
        <w:t>3、公司实际控制人及其一致行动人</w:t>
      </w:r>
      <w:bookmarkEnd w:id="154"/>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实际控制人性质：境内自然人</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实际控制人类型：自然人</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实际控制人姓名</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与实际控制人关系</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国籍</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是否取得其他国家或地区居留权</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孙伟挺</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本人</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中国</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陈玲芬</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本人</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中国</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主要职业及职务</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孙伟挺先生于1993年创办华孚，任华孚控股有限公司董事长；2008年2月起，担任安徽飞亚纺织发展股份有限公司董事；2008年12月至今，任本公司董事长。陈玲芬女士于1993年创办华孚，担任副董事长、总裁等职务。2008年2月起任安徽飞亚纺织发展股份有限公司董事。2009年5月至今，任公司董事、副董事长、总裁。</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过去10年曾控股的境内外上市公司情况</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实际控制人报告期内变更</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公司报告期实际控制人未发生变更。</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公司与实际控制人之间的产权及控制关系的方框图</w:t>
      </w:r>
    </w:p>
    <w:p w:rsidR="000D58D8" w:rsidRDefault="000F627F">
      <w:pPr>
        <w:spacing w:before="40" w:after="40" w:line="0" w:lineRule="atLeast"/>
        <w:jc w:val="center"/>
        <w:rPr>
          <w:rFonts w:ascii="Times New Roman" w:eastAsia="宋体" w:hAnsi="Times New Roman" w:cs="Times New Roman"/>
        </w:rPr>
      </w:pPr>
      <w:r>
        <w:rPr>
          <w:rFonts w:ascii="Times New Roman" w:eastAsia="宋体" w:hAnsi="Times New Roman" w:cs="Times New Roman"/>
          <w:noProof/>
        </w:rPr>
        <w:drawing>
          <wp:inline distT="0" distB="0" distL="0" distR="0">
            <wp:extent cx="4162397" cy="212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extLst/>
                    </a:blip>
                    <a:stretch>
                      <a:fillRect/>
                    </a:stretch>
                  </pic:blipFill>
                  <pic:spPr>
                    <a:xfrm>
                      <a:off x="0" y="0"/>
                      <a:ext cx="4170639" cy="2128281"/>
                    </a:xfrm>
                    <a:prstGeom prst="rect">
                      <a:avLst/>
                    </a:prstGeom>
                  </pic:spPr>
                </pic:pic>
              </a:graphicData>
            </a:graphic>
          </wp:inline>
        </w:drawing>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实际控制人通过信托或其他资产管理方式控制公司</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155" w:name="_Toc989043"/>
      <w:r>
        <w:rPr>
          <w:rFonts w:ascii="宋体" w:hAnsi="宋体" w:cs="宋体"/>
          <w:b/>
          <w:bCs/>
        </w:rPr>
        <w:t>4、公司控股股东或第一大股东及其一致行动人累计质押股份数量占其所持公司股份数量比例达到80%</w:t>
      </w:r>
      <w:bookmarkEnd w:id="155"/>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156" w:name="_Toc989044"/>
      <w:r>
        <w:rPr>
          <w:rFonts w:ascii="宋体" w:hAnsi="宋体" w:cs="宋体"/>
          <w:b/>
          <w:bCs/>
        </w:rPr>
        <w:t>5、其他持股在10%以上的法人股东</w:t>
      </w:r>
      <w:bookmarkEnd w:id="15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157" w:name="_Toc989045"/>
      <w:r>
        <w:rPr>
          <w:rFonts w:ascii="宋体" w:hAnsi="宋体" w:cs="宋体"/>
          <w:b/>
          <w:bCs/>
        </w:rPr>
        <w:t>6、控股股东、实际控制人、重组方及其他承诺主体股份限制减持情况</w:t>
      </w:r>
      <w:bookmarkEnd w:id="157"/>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2"/>
        <w:spacing w:before="300" w:after="300" w:line="320" w:lineRule="exact"/>
        <w:rPr>
          <w:rFonts w:ascii="宋体" w:eastAsia="宋体" w:hAnsi="宋体" w:cs="宋体"/>
          <w:b/>
          <w:bCs/>
          <w:sz w:val="24"/>
          <w:szCs w:val="24"/>
        </w:rPr>
      </w:pPr>
      <w:bookmarkStart w:id="158" w:name="_Toc989046"/>
      <w:r>
        <w:rPr>
          <w:rFonts w:ascii="宋体" w:eastAsia="宋体" w:hAnsi="宋体" w:cs="宋体"/>
          <w:b/>
          <w:bCs/>
          <w:sz w:val="24"/>
          <w:szCs w:val="24"/>
        </w:rPr>
        <w:t>四、股份回购在报告期的具体实施情况</w:t>
      </w:r>
      <w:bookmarkEnd w:id="158"/>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股份回购的实施进展情况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205"/>
        <w:gridCol w:w="1205"/>
        <w:gridCol w:w="1205"/>
        <w:gridCol w:w="1205"/>
        <w:gridCol w:w="1205"/>
        <w:gridCol w:w="1205"/>
        <w:gridCol w:w="1205"/>
      </w:tblGrid>
      <w:tr w:rsidR="000D58D8">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方案披露时间</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拟回购股</w:t>
            </w:r>
            <w:proofErr w:type="gramEnd"/>
            <w:r>
              <w:rPr>
                <w:rFonts w:ascii="宋体" w:eastAsia="宋体" w:hAnsi="宋体" w:cs="宋体"/>
                <w:sz w:val="18"/>
                <w:szCs w:val="18"/>
              </w:rPr>
              <w:t>份数量（股）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占总股本的比例</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拟回购金额（万元）</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拟回购期间</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回购用途</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已回购数量（股）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已回购数量占股权激励计划所涉及的标的股票的比例（如</w:t>
            </w:r>
            <w:r>
              <w:rPr>
                <w:rFonts w:ascii="宋体" w:eastAsia="宋体" w:hAnsi="宋体" w:cs="宋体"/>
                <w:sz w:val="18"/>
                <w:szCs w:val="18"/>
              </w:rPr>
              <w:lastRenderedPageBreak/>
              <w:t>有）</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2022年03月22日</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7,692,307-15,384,614</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0.45%-0.90%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5,000-10,000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自董事会审议通过本次回购股</w:t>
            </w:r>
            <w:proofErr w:type="gramStart"/>
            <w:r>
              <w:rPr>
                <w:rFonts w:ascii="宋体" w:eastAsia="宋体" w:hAnsi="宋体" w:cs="宋体"/>
                <w:sz w:val="18"/>
                <w:szCs w:val="18"/>
              </w:rPr>
              <w:t>份方案</w:t>
            </w:r>
            <w:proofErr w:type="gramEnd"/>
            <w:r>
              <w:rPr>
                <w:rFonts w:ascii="宋体" w:eastAsia="宋体" w:hAnsi="宋体" w:cs="宋体"/>
                <w:sz w:val="18"/>
                <w:szCs w:val="18"/>
              </w:rPr>
              <w:t>之日起不超过十二个月</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用于公司后续员工持股计划或者股权激励</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29,800,000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2023年03月18日</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21,739,130-43,478,260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1.28%-2.56%</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10,000-20,000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自董事会审议通过本次回购股</w:t>
            </w:r>
            <w:proofErr w:type="gramStart"/>
            <w:r>
              <w:rPr>
                <w:rFonts w:ascii="宋体" w:eastAsia="宋体" w:hAnsi="宋体" w:cs="宋体"/>
                <w:sz w:val="18"/>
                <w:szCs w:val="18"/>
              </w:rPr>
              <w:t>份方案</w:t>
            </w:r>
            <w:proofErr w:type="gramEnd"/>
            <w:r>
              <w:rPr>
                <w:rFonts w:ascii="宋体" w:eastAsia="宋体" w:hAnsi="宋体" w:cs="宋体"/>
                <w:sz w:val="18"/>
                <w:szCs w:val="18"/>
              </w:rPr>
              <w:t>之日起不超过三个月</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用于维护公司价值及股东权益所必需</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31,275,314</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采用集中竞价交易方式减持回购股份的实施进展情况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r>
        <w:br w:type="page"/>
      </w:r>
    </w:p>
    <w:p w:rsidR="000D58D8" w:rsidRDefault="000F627F">
      <w:pPr>
        <w:pStyle w:val="headingh1"/>
        <w:spacing w:before="340" w:after="330" w:line="773" w:lineRule="exact"/>
        <w:jc w:val="center"/>
        <w:rPr>
          <w:rFonts w:ascii="宋体" w:eastAsia="宋体" w:hAnsi="宋体" w:cs="宋体"/>
          <w:b/>
          <w:bCs/>
          <w:sz w:val="32"/>
          <w:szCs w:val="32"/>
        </w:rPr>
      </w:pPr>
      <w:bookmarkStart w:id="159" w:name="_Toc989047"/>
      <w:r>
        <w:rPr>
          <w:rFonts w:ascii="宋体" w:eastAsia="宋体" w:hAnsi="宋体" w:cs="宋体"/>
          <w:b/>
          <w:bCs/>
          <w:sz w:val="32"/>
          <w:szCs w:val="32"/>
        </w:rPr>
        <w:lastRenderedPageBreak/>
        <w:t>第八节 优先股相关情况</w:t>
      </w:r>
      <w:bookmarkEnd w:id="15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报告期公司不存在优先股。</w:t>
      </w:r>
    </w:p>
    <w:p w:rsidR="000D58D8" w:rsidRDefault="000F627F">
      <w:r>
        <w:br w:type="page"/>
      </w:r>
    </w:p>
    <w:p w:rsidR="000D58D8" w:rsidRDefault="000F627F">
      <w:pPr>
        <w:pStyle w:val="headingh1"/>
        <w:spacing w:before="340" w:after="330" w:line="773" w:lineRule="exact"/>
        <w:jc w:val="center"/>
        <w:rPr>
          <w:rFonts w:ascii="宋体" w:eastAsia="宋体" w:hAnsi="宋体" w:cs="宋体"/>
          <w:b/>
          <w:bCs/>
          <w:sz w:val="32"/>
          <w:szCs w:val="32"/>
        </w:rPr>
      </w:pPr>
      <w:bookmarkStart w:id="160" w:name="_Toc989048"/>
      <w:r>
        <w:rPr>
          <w:rFonts w:ascii="宋体" w:eastAsia="宋体" w:hAnsi="宋体" w:cs="宋体"/>
          <w:b/>
          <w:bCs/>
          <w:sz w:val="32"/>
          <w:szCs w:val="32"/>
        </w:rPr>
        <w:lastRenderedPageBreak/>
        <w:t>第九节 债券相关情况</w:t>
      </w:r>
      <w:bookmarkEnd w:id="16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r>
        <w:br w:type="page"/>
      </w:r>
    </w:p>
    <w:p w:rsidR="000D58D8" w:rsidRDefault="000F627F">
      <w:pPr>
        <w:pStyle w:val="headingh1"/>
        <w:spacing w:before="340" w:after="330" w:line="773" w:lineRule="exact"/>
        <w:jc w:val="center"/>
        <w:rPr>
          <w:rFonts w:ascii="宋体" w:eastAsia="宋体" w:hAnsi="宋体" w:cs="宋体"/>
          <w:b/>
          <w:bCs/>
          <w:sz w:val="32"/>
          <w:szCs w:val="32"/>
        </w:rPr>
      </w:pPr>
      <w:bookmarkStart w:id="161" w:name="_Toc989049"/>
      <w:r>
        <w:rPr>
          <w:rFonts w:ascii="宋体" w:eastAsia="宋体" w:hAnsi="宋体" w:cs="宋体"/>
          <w:b/>
          <w:bCs/>
          <w:sz w:val="32"/>
          <w:szCs w:val="32"/>
        </w:rPr>
        <w:lastRenderedPageBreak/>
        <w:t>第十节 财务报告</w:t>
      </w:r>
      <w:bookmarkEnd w:id="161"/>
    </w:p>
    <w:p w:rsidR="000D58D8" w:rsidRDefault="000F627F">
      <w:pPr>
        <w:pStyle w:val="2"/>
        <w:spacing w:before="300" w:after="300" w:line="320" w:lineRule="exact"/>
        <w:rPr>
          <w:rFonts w:ascii="宋体" w:eastAsia="宋体" w:hAnsi="宋体" w:cs="宋体"/>
          <w:b/>
          <w:bCs/>
          <w:sz w:val="24"/>
          <w:szCs w:val="24"/>
        </w:rPr>
      </w:pPr>
      <w:bookmarkStart w:id="162" w:name="_Toc989050"/>
      <w:r>
        <w:rPr>
          <w:rFonts w:ascii="宋体" w:eastAsia="宋体" w:hAnsi="宋体" w:cs="宋体"/>
          <w:b/>
          <w:bCs/>
          <w:sz w:val="24"/>
          <w:szCs w:val="24"/>
        </w:rPr>
        <w:t>一、审计报告</w:t>
      </w:r>
      <w:bookmarkEnd w:id="16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审计意见类型</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标准的无保留意见</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审计报告签署日期</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2024年04月27日</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审计机构名称</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深圳大华国际会计师事务所（特殊普通合伙）</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审计报告文号</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2400380</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注册会计师姓名</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陈磊、张吉宝</w:t>
            </w:r>
          </w:p>
        </w:tc>
      </w:tr>
    </w:tbl>
    <w:p w:rsidR="000D58D8" w:rsidRDefault="000F627F">
      <w:pPr>
        <w:spacing w:before="100" w:after="100" w:line="240" w:lineRule="exact"/>
        <w:jc w:val="center"/>
        <w:rPr>
          <w:rFonts w:ascii="宋体" w:eastAsia="宋体" w:hAnsi="宋体" w:cs="宋体"/>
          <w:sz w:val="18"/>
          <w:szCs w:val="18"/>
        </w:rPr>
      </w:pPr>
      <w:r>
        <w:rPr>
          <w:rFonts w:ascii="宋体" w:eastAsia="宋体" w:hAnsi="宋体" w:cs="宋体"/>
          <w:sz w:val="18"/>
          <w:szCs w:val="18"/>
        </w:rPr>
        <w:t>审计报告正文</w:t>
      </w:r>
    </w:p>
    <w:p w:rsidR="000F627F" w:rsidRDefault="000F627F">
      <w:pPr>
        <w:pStyle w:val="a3"/>
        <w:spacing w:before="0" w:beforeAutospacing="0" w:after="0" w:afterAutospacing="0" w:line="360" w:lineRule="auto"/>
        <w:divId w:val="1718897113"/>
        <w:rPr>
          <w:sz w:val="21"/>
          <w:szCs w:val="21"/>
        </w:rPr>
      </w:pPr>
      <w:r>
        <w:rPr>
          <w:rStyle w:val="a5"/>
          <w:rFonts w:hint="eastAsia"/>
          <w:sz w:val="18"/>
          <w:szCs w:val="18"/>
        </w:rPr>
        <w:t>华孚时尚股份有限公司全体股东：</w:t>
      </w:r>
    </w:p>
    <w:p w:rsidR="000F627F" w:rsidRDefault="000F627F" w:rsidP="00F71806">
      <w:pPr>
        <w:pStyle w:val="a3"/>
        <w:spacing w:line="360" w:lineRule="auto"/>
        <w:ind w:firstLineChars="235" w:firstLine="425"/>
        <w:jc w:val="both"/>
        <w:divId w:val="1718897113"/>
      </w:pPr>
      <w:r>
        <w:rPr>
          <w:rStyle w:val="a5"/>
          <w:rFonts w:hint="eastAsia"/>
          <w:sz w:val="18"/>
          <w:szCs w:val="18"/>
        </w:rPr>
        <w:t>一、审计意见</w:t>
      </w:r>
    </w:p>
    <w:p w:rsidR="000F627F" w:rsidRDefault="000F627F" w:rsidP="00F71806">
      <w:pPr>
        <w:pStyle w:val="a3"/>
        <w:spacing w:before="0" w:beforeAutospacing="0" w:after="0" w:afterAutospacing="0" w:line="360" w:lineRule="auto"/>
        <w:ind w:firstLine="426"/>
        <w:jc w:val="both"/>
        <w:divId w:val="1718897113"/>
        <w:rPr>
          <w:rFonts w:ascii="Times New Roman" w:hAnsi="Times New Roman" w:cs="Times New Roman"/>
          <w:sz w:val="21"/>
          <w:szCs w:val="21"/>
        </w:rPr>
      </w:pPr>
      <w:r>
        <w:rPr>
          <w:rFonts w:cs="Times New Roman" w:hint="eastAsia"/>
          <w:sz w:val="18"/>
          <w:szCs w:val="18"/>
        </w:rPr>
        <w:t>我们审计了华孚时尚股份有限公司(以下简称华孚时尚公司)财务报表，包括2023年12月31日的合并及母公司资产负债表，2023年度的合并及母公司利润表、合并及母公司现金流量表、合并及母公司股东权益变动表以及相关财务报表附注。</w:t>
      </w:r>
    </w:p>
    <w:p w:rsidR="000F627F" w:rsidRDefault="000F627F" w:rsidP="00F71806">
      <w:pPr>
        <w:pStyle w:val="a3"/>
        <w:spacing w:before="0" w:beforeAutospacing="0" w:after="0" w:afterAutospacing="0" w:line="360" w:lineRule="auto"/>
        <w:ind w:firstLine="426"/>
        <w:jc w:val="both"/>
        <w:divId w:val="1718897113"/>
        <w:rPr>
          <w:rFonts w:ascii="Times New Roman" w:hAnsi="Times New Roman" w:cs="Times New Roman"/>
          <w:sz w:val="21"/>
          <w:szCs w:val="21"/>
        </w:rPr>
      </w:pPr>
      <w:r>
        <w:rPr>
          <w:rFonts w:cs="Times New Roman" w:hint="eastAsia"/>
          <w:sz w:val="18"/>
          <w:szCs w:val="18"/>
        </w:rPr>
        <w:t>我们认为，后附的财务报表在所有重大方面按照企业会计准则的规定编制，公允反映了华孚时尚公司2023年12月31日的合并及母公司财务状况以及2023年度的合并及母公司经营成果和现金流量。</w:t>
      </w:r>
    </w:p>
    <w:p w:rsidR="000F627F" w:rsidRPr="00F71806" w:rsidRDefault="000F627F" w:rsidP="00F71806">
      <w:pPr>
        <w:pStyle w:val="a3"/>
        <w:spacing w:line="360" w:lineRule="auto"/>
        <w:ind w:firstLineChars="235" w:firstLine="425"/>
        <w:jc w:val="both"/>
        <w:divId w:val="1718897113"/>
        <w:rPr>
          <w:rStyle w:val="a5"/>
          <w:sz w:val="18"/>
          <w:szCs w:val="18"/>
        </w:rPr>
      </w:pPr>
      <w:r>
        <w:rPr>
          <w:rStyle w:val="a5"/>
          <w:rFonts w:hint="eastAsia"/>
          <w:sz w:val="18"/>
          <w:szCs w:val="18"/>
        </w:rPr>
        <w:t>二、形成审计意见的基础</w:t>
      </w:r>
    </w:p>
    <w:p w:rsidR="000F627F" w:rsidRDefault="000F627F" w:rsidP="00F71806">
      <w:pPr>
        <w:pStyle w:val="a3"/>
        <w:spacing w:before="0" w:beforeAutospacing="0" w:after="0" w:afterAutospacing="0" w:line="360" w:lineRule="auto"/>
        <w:ind w:firstLineChars="236" w:firstLine="425"/>
        <w:jc w:val="both"/>
        <w:divId w:val="1718897113"/>
        <w:rPr>
          <w:rFonts w:ascii="Times New Roman" w:hAnsi="Times New Roman" w:cs="Times New Roman"/>
          <w:sz w:val="21"/>
          <w:szCs w:val="21"/>
        </w:rPr>
      </w:pPr>
      <w:r>
        <w:rPr>
          <w:rFonts w:cs="Times New Roman" w:hint="eastAsia"/>
          <w:sz w:val="18"/>
          <w:szCs w:val="18"/>
        </w:rPr>
        <w:t>我们按照中国注册会计师审计准则的规定执行了审计工作。审计报告的“注册会计师对财务报表审计的责任”部分进一步阐述了我们在这些准则下的责任。按照中国注册会计师职业道德守则，我们独立于华孚时尚公司，并履行了职业道德方面的其他责任。我们相信，我们获取的审计证据是充分、适当的，为发表审计意见提供了基础。</w:t>
      </w:r>
    </w:p>
    <w:p w:rsidR="000F627F" w:rsidRPr="00F71806" w:rsidRDefault="000F627F" w:rsidP="00F71806">
      <w:pPr>
        <w:pStyle w:val="a3"/>
        <w:spacing w:line="360" w:lineRule="auto"/>
        <w:ind w:firstLineChars="235" w:firstLine="425"/>
        <w:jc w:val="both"/>
        <w:divId w:val="1718897113"/>
        <w:rPr>
          <w:rStyle w:val="a5"/>
          <w:sz w:val="18"/>
          <w:szCs w:val="18"/>
        </w:rPr>
      </w:pPr>
      <w:r>
        <w:rPr>
          <w:rStyle w:val="a5"/>
          <w:rFonts w:hint="eastAsia"/>
          <w:sz w:val="18"/>
          <w:szCs w:val="18"/>
        </w:rPr>
        <w:t>三、关键审计事项</w:t>
      </w:r>
    </w:p>
    <w:p w:rsidR="000F627F" w:rsidRDefault="000F627F" w:rsidP="00F71806">
      <w:pPr>
        <w:pStyle w:val="a3"/>
        <w:spacing w:before="0" w:beforeAutospacing="0" w:after="0" w:afterAutospacing="0" w:line="360" w:lineRule="auto"/>
        <w:ind w:firstLineChars="200" w:firstLine="360"/>
        <w:jc w:val="both"/>
        <w:divId w:val="1718897113"/>
        <w:rPr>
          <w:rFonts w:ascii="Times New Roman" w:hAnsi="Times New Roman" w:cs="Times New Roman"/>
          <w:sz w:val="21"/>
          <w:szCs w:val="21"/>
        </w:rPr>
      </w:pPr>
      <w:r>
        <w:rPr>
          <w:rFonts w:cs="Times New Roman" w:hint="eastAsia"/>
          <w:sz w:val="18"/>
          <w:szCs w:val="18"/>
        </w:rPr>
        <w:t>关键审计事项是我们根据职业判断，认为对本期财务报表审计最为重要的事项。这些事项的应对以对财务报表整体进行审计并形成审计意见为背景，我们不对这些事项单独发表意见。</w:t>
      </w:r>
    </w:p>
    <w:p w:rsidR="000F627F" w:rsidRDefault="000F627F" w:rsidP="00F71806">
      <w:pPr>
        <w:pStyle w:val="a3"/>
        <w:spacing w:before="0" w:beforeAutospacing="0" w:after="0" w:afterAutospacing="0" w:line="360" w:lineRule="auto"/>
        <w:ind w:firstLineChars="200" w:firstLine="360"/>
        <w:jc w:val="both"/>
        <w:divId w:val="1718897113"/>
        <w:rPr>
          <w:rFonts w:ascii="Times New Roman" w:hAnsi="Times New Roman" w:cs="Times New Roman"/>
          <w:sz w:val="21"/>
          <w:szCs w:val="21"/>
        </w:rPr>
      </w:pPr>
      <w:r>
        <w:rPr>
          <w:rFonts w:cs="Times New Roman" w:hint="eastAsia"/>
          <w:sz w:val="18"/>
          <w:szCs w:val="18"/>
        </w:rPr>
        <w:t>我们确定下列事项是需要在审计报告中沟通的关键审计事项。</w:t>
      </w:r>
    </w:p>
    <w:p w:rsidR="000F627F" w:rsidRDefault="000F627F">
      <w:pPr>
        <w:widowControl/>
        <w:numPr>
          <w:ilvl w:val="0"/>
          <w:numId w:val="1"/>
        </w:numPr>
        <w:spacing w:before="100" w:beforeAutospacing="1" w:after="100" w:afterAutospacing="1"/>
        <w:divId w:val="1718897113"/>
        <w:rPr>
          <w:rFonts w:ascii="宋体" w:hAnsi="宋体" w:cs="宋体"/>
          <w:sz w:val="18"/>
          <w:szCs w:val="18"/>
        </w:rPr>
      </w:pPr>
      <w:r>
        <w:rPr>
          <w:rFonts w:hint="eastAsia"/>
          <w:sz w:val="18"/>
          <w:szCs w:val="18"/>
        </w:rPr>
        <w:t>收入的确认</w:t>
      </w:r>
    </w:p>
    <w:p w:rsidR="000F627F" w:rsidRDefault="000F627F">
      <w:pPr>
        <w:widowControl/>
        <w:numPr>
          <w:ilvl w:val="0"/>
          <w:numId w:val="1"/>
        </w:numPr>
        <w:spacing w:before="100" w:beforeAutospacing="1" w:after="100" w:afterAutospacing="1"/>
        <w:divId w:val="1718897113"/>
        <w:rPr>
          <w:sz w:val="18"/>
          <w:szCs w:val="18"/>
        </w:rPr>
      </w:pPr>
      <w:r>
        <w:rPr>
          <w:rFonts w:hint="eastAsia"/>
          <w:sz w:val="18"/>
          <w:szCs w:val="18"/>
        </w:rPr>
        <w:t>政府补助</w:t>
      </w:r>
    </w:p>
    <w:p w:rsidR="000F627F" w:rsidRDefault="000F627F">
      <w:pPr>
        <w:pStyle w:val="a3"/>
        <w:spacing w:before="0" w:beforeAutospacing="0" w:after="0" w:afterAutospacing="0" w:line="360" w:lineRule="auto"/>
        <w:jc w:val="both"/>
        <w:divId w:val="1718897113"/>
        <w:rPr>
          <w:rFonts w:ascii="Times New Roman" w:hAnsi="Times New Roman" w:cs="Times New Roman"/>
          <w:sz w:val="21"/>
          <w:szCs w:val="21"/>
        </w:rPr>
      </w:pPr>
      <w:r>
        <w:rPr>
          <w:rFonts w:cs="Times New Roman" w:hint="eastAsia"/>
          <w:sz w:val="18"/>
          <w:szCs w:val="18"/>
        </w:rPr>
        <w:lastRenderedPageBreak/>
        <w:t>（一）收入的确认事项</w:t>
      </w:r>
    </w:p>
    <w:p w:rsidR="000F627F" w:rsidRDefault="000F627F">
      <w:pPr>
        <w:widowControl/>
        <w:numPr>
          <w:ilvl w:val="0"/>
          <w:numId w:val="2"/>
        </w:numPr>
        <w:spacing w:before="100" w:beforeAutospacing="1" w:after="100" w:afterAutospacing="1"/>
        <w:divId w:val="1718897113"/>
        <w:rPr>
          <w:rFonts w:ascii="宋体" w:hAnsi="宋体" w:cs="宋体"/>
          <w:sz w:val="18"/>
          <w:szCs w:val="18"/>
        </w:rPr>
      </w:pPr>
      <w:r>
        <w:rPr>
          <w:rFonts w:hint="eastAsia"/>
          <w:sz w:val="18"/>
          <w:szCs w:val="18"/>
        </w:rPr>
        <w:t>事项描述</w:t>
      </w:r>
    </w:p>
    <w:p w:rsidR="000F627F" w:rsidRDefault="000F627F">
      <w:pPr>
        <w:pStyle w:val="a3"/>
        <w:spacing w:before="0" w:beforeAutospacing="0" w:after="0" w:afterAutospacing="0" w:line="324" w:lineRule="auto"/>
        <w:ind w:firstLine="567"/>
        <w:jc w:val="both"/>
        <w:divId w:val="1718897113"/>
        <w:rPr>
          <w:rFonts w:ascii="Times New Roman" w:hAnsi="Times New Roman" w:cs="Times New Roman"/>
          <w:sz w:val="21"/>
          <w:szCs w:val="21"/>
        </w:rPr>
      </w:pPr>
      <w:r>
        <w:rPr>
          <w:rFonts w:cs="Times New Roman" w:hint="eastAsia"/>
          <w:sz w:val="18"/>
          <w:szCs w:val="18"/>
        </w:rPr>
        <w:t>2023年度，华孚时尚公司收入136.63亿元，比2022年度收入144.60亿元减少7.97亿元，减少比例5.51%。收入详细信息请参阅合并财务报表附注三、(三十五)及附注五、注释44。由于收入的确认存在比较高的固有风险，收入确认是否真实、完整可能存在潜在错报，收入对于华孚时尚公司的财务报表具有重要性，因此我们将收入的确认认定为关键审计事项。</w:t>
      </w:r>
    </w:p>
    <w:p w:rsidR="000F627F" w:rsidRDefault="000F627F">
      <w:pPr>
        <w:widowControl/>
        <w:numPr>
          <w:ilvl w:val="0"/>
          <w:numId w:val="3"/>
        </w:numPr>
        <w:spacing w:before="100" w:beforeAutospacing="1" w:after="100" w:afterAutospacing="1"/>
        <w:divId w:val="1718897113"/>
        <w:rPr>
          <w:rFonts w:ascii="宋体" w:hAnsi="宋体" w:cs="宋体"/>
          <w:sz w:val="18"/>
          <w:szCs w:val="18"/>
        </w:rPr>
      </w:pPr>
      <w:r>
        <w:rPr>
          <w:rFonts w:hint="eastAsia"/>
          <w:sz w:val="18"/>
          <w:szCs w:val="18"/>
        </w:rPr>
        <w:t>审计应对</w:t>
      </w:r>
    </w:p>
    <w:p w:rsidR="000F627F" w:rsidRDefault="000F627F">
      <w:pPr>
        <w:pStyle w:val="a3"/>
        <w:spacing w:before="0" w:beforeAutospacing="0" w:after="0" w:afterAutospacing="0" w:line="360" w:lineRule="auto"/>
        <w:ind w:firstLine="567"/>
        <w:jc w:val="both"/>
        <w:divId w:val="1718897113"/>
        <w:rPr>
          <w:rFonts w:ascii="Times New Roman" w:hAnsi="Times New Roman" w:cs="Times New Roman"/>
          <w:sz w:val="21"/>
          <w:szCs w:val="21"/>
        </w:rPr>
      </w:pPr>
      <w:r>
        <w:rPr>
          <w:rFonts w:cs="Times New Roman" w:hint="eastAsia"/>
          <w:sz w:val="18"/>
          <w:szCs w:val="18"/>
        </w:rPr>
        <w:t>我们对于收入所实施的重要审计程序包括：</w:t>
      </w:r>
    </w:p>
    <w:p w:rsidR="000F627F" w:rsidRDefault="000F627F">
      <w:pPr>
        <w:pStyle w:val="a3"/>
        <w:spacing w:before="0" w:beforeAutospacing="0" w:after="0" w:afterAutospacing="0" w:line="324" w:lineRule="auto"/>
        <w:ind w:firstLine="567"/>
        <w:jc w:val="both"/>
        <w:divId w:val="1718897113"/>
        <w:rPr>
          <w:rFonts w:ascii="Times New Roman" w:hAnsi="Times New Roman" w:cs="Times New Roman"/>
          <w:sz w:val="21"/>
          <w:szCs w:val="21"/>
        </w:rPr>
      </w:pPr>
      <w:r>
        <w:rPr>
          <w:rFonts w:cs="Times New Roman" w:hint="eastAsia"/>
          <w:sz w:val="18"/>
          <w:szCs w:val="18"/>
        </w:rPr>
        <w:t>（1）了解与收入确认相关的关键内部控制，评价这些控制的设计，确定其是否得到执行，并测试相关内部控制的运行有效性；</w:t>
      </w:r>
    </w:p>
    <w:p w:rsidR="000F627F" w:rsidRDefault="000F627F">
      <w:pPr>
        <w:pStyle w:val="a3"/>
        <w:spacing w:before="0" w:beforeAutospacing="0" w:after="0" w:afterAutospacing="0" w:line="324" w:lineRule="auto"/>
        <w:ind w:firstLine="567"/>
        <w:jc w:val="both"/>
        <w:divId w:val="1718897113"/>
        <w:rPr>
          <w:rFonts w:ascii="Times New Roman" w:hAnsi="Times New Roman" w:cs="Times New Roman"/>
          <w:sz w:val="21"/>
          <w:szCs w:val="21"/>
        </w:rPr>
      </w:pPr>
      <w:r>
        <w:rPr>
          <w:rFonts w:cs="Times New Roman" w:hint="eastAsia"/>
          <w:sz w:val="18"/>
          <w:szCs w:val="18"/>
        </w:rPr>
        <w:t>（2）检查销售合同，了解主要合同条款或条件，评价收入确认方法是否适当；</w:t>
      </w:r>
    </w:p>
    <w:p w:rsidR="000F627F" w:rsidRDefault="000F627F">
      <w:pPr>
        <w:pStyle w:val="a3"/>
        <w:spacing w:before="0" w:beforeAutospacing="0" w:after="0" w:afterAutospacing="0" w:line="324" w:lineRule="auto"/>
        <w:ind w:firstLine="567"/>
        <w:jc w:val="both"/>
        <w:divId w:val="1718897113"/>
        <w:rPr>
          <w:rFonts w:ascii="Times New Roman" w:hAnsi="Times New Roman" w:cs="Times New Roman"/>
          <w:sz w:val="21"/>
          <w:szCs w:val="21"/>
        </w:rPr>
      </w:pPr>
      <w:r>
        <w:rPr>
          <w:rFonts w:cs="Times New Roman" w:hint="eastAsia"/>
          <w:sz w:val="18"/>
          <w:szCs w:val="18"/>
        </w:rPr>
        <w:t>（3）对收入和成本执行分析程序，包括：对本期各月度收入、成本、毛利波动分析，识别是否存在重大或异常波动，并查明波动原因；</w:t>
      </w:r>
    </w:p>
    <w:p w:rsidR="000F627F" w:rsidRDefault="000F627F">
      <w:pPr>
        <w:pStyle w:val="a3"/>
        <w:spacing w:before="0" w:beforeAutospacing="0" w:after="0" w:afterAutospacing="0" w:line="324" w:lineRule="auto"/>
        <w:ind w:firstLine="567"/>
        <w:jc w:val="both"/>
        <w:divId w:val="1718897113"/>
        <w:rPr>
          <w:rFonts w:ascii="Times New Roman" w:hAnsi="Times New Roman" w:cs="Times New Roman"/>
          <w:sz w:val="21"/>
          <w:szCs w:val="21"/>
        </w:rPr>
      </w:pPr>
      <w:r>
        <w:rPr>
          <w:rFonts w:cs="Times New Roman" w:hint="eastAsia"/>
          <w:sz w:val="18"/>
          <w:szCs w:val="18"/>
        </w:rPr>
        <w:t>（4）获取公司与客户签订的协议，对合同关键条款进行核实，如发货及验收、付款及结算、换货及退货政策等；查询客户的工商资料，询问公司相关人员，以确认客户与公司是否存在关联关系；</w:t>
      </w:r>
    </w:p>
    <w:p w:rsidR="000F627F" w:rsidRDefault="000F627F">
      <w:pPr>
        <w:pStyle w:val="a3"/>
        <w:spacing w:before="0" w:beforeAutospacing="0" w:after="0" w:afterAutospacing="0" w:line="324" w:lineRule="auto"/>
        <w:ind w:firstLine="567"/>
        <w:jc w:val="both"/>
        <w:divId w:val="1718897113"/>
        <w:rPr>
          <w:rFonts w:ascii="Times New Roman" w:hAnsi="Times New Roman" w:cs="Times New Roman"/>
          <w:sz w:val="21"/>
          <w:szCs w:val="21"/>
        </w:rPr>
      </w:pPr>
      <w:r>
        <w:rPr>
          <w:rFonts w:cs="Times New Roman" w:hint="eastAsia"/>
          <w:sz w:val="18"/>
          <w:szCs w:val="18"/>
        </w:rPr>
        <w:t>（5）对于内销收入，以抽样方式检查与收入确认相关的支持性文件，包括销售合同、订单、销售发票、出库单、发货单、签收单、</w:t>
      </w:r>
      <w:proofErr w:type="gramStart"/>
      <w:r>
        <w:rPr>
          <w:rFonts w:cs="Times New Roman" w:hint="eastAsia"/>
          <w:sz w:val="18"/>
          <w:szCs w:val="18"/>
        </w:rPr>
        <w:t>货转凭证</w:t>
      </w:r>
      <w:proofErr w:type="gramEnd"/>
      <w:r>
        <w:rPr>
          <w:rFonts w:cs="Times New Roman" w:hint="eastAsia"/>
          <w:sz w:val="18"/>
          <w:szCs w:val="18"/>
        </w:rPr>
        <w:t>等；对于出口收入，以抽样方式检查销售合同、出口报关单、货运提单、销售发票等支持性文件；</w:t>
      </w:r>
    </w:p>
    <w:p w:rsidR="000F627F" w:rsidRDefault="000F627F">
      <w:pPr>
        <w:pStyle w:val="a3"/>
        <w:spacing w:before="0" w:beforeAutospacing="0" w:after="0" w:afterAutospacing="0" w:line="324" w:lineRule="auto"/>
        <w:ind w:firstLine="567"/>
        <w:jc w:val="both"/>
        <w:divId w:val="1718897113"/>
        <w:rPr>
          <w:rFonts w:ascii="Times New Roman" w:hAnsi="Times New Roman" w:cs="Times New Roman"/>
          <w:sz w:val="21"/>
          <w:szCs w:val="21"/>
        </w:rPr>
      </w:pPr>
      <w:r>
        <w:rPr>
          <w:rFonts w:cs="Times New Roman" w:hint="eastAsia"/>
          <w:sz w:val="18"/>
          <w:szCs w:val="18"/>
        </w:rPr>
        <w:t>（5）根据客户的交易金额和应收账款期末余额选取样本</w:t>
      </w:r>
      <w:proofErr w:type="gramStart"/>
      <w:r>
        <w:rPr>
          <w:rFonts w:cs="Times New Roman" w:hint="eastAsia"/>
          <w:sz w:val="18"/>
          <w:szCs w:val="18"/>
        </w:rPr>
        <w:t>执行函证程序</w:t>
      </w:r>
      <w:proofErr w:type="gramEnd"/>
      <w:r>
        <w:rPr>
          <w:rFonts w:cs="Times New Roman" w:hint="eastAsia"/>
          <w:sz w:val="18"/>
          <w:szCs w:val="18"/>
        </w:rPr>
        <w:t xml:space="preserve">，以确认销售额和应收账款期末余额； </w:t>
      </w:r>
    </w:p>
    <w:p w:rsidR="000F627F" w:rsidRDefault="000F627F">
      <w:pPr>
        <w:pStyle w:val="a3"/>
        <w:spacing w:before="0" w:beforeAutospacing="0" w:after="0" w:afterAutospacing="0" w:line="324" w:lineRule="auto"/>
        <w:ind w:firstLine="567"/>
        <w:jc w:val="both"/>
        <w:divId w:val="1718897113"/>
        <w:rPr>
          <w:rFonts w:ascii="Times New Roman" w:hAnsi="Times New Roman" w:cs="Times New Roman"/>
          <w:sz w:val="21"/>
          <w:szCs w:val="21"/>
        </w:rPr>
      </w:pPr>
      <w:r>
        <w:rPr>
          <w:rFonts w:cs="Times New Roman" w:hint="eastAsia"/>
          <w:sz w:val="18"/>
          <w:szCs w:val="18"/>
        </w:rPr>
        <w:t>（6）对客户回款情况，包括期后回款情况进行检查，以确认销售收入和应收账款期末余额的真实性；</w:t>
      </w:r>
    </w:p>
    <w:p w:rsidR="000F627F" w:rsidRDefault="000F627F">
      <w:pPr>
        <w:pStyle w:val="a3"/>
        <w:spacing w:before="0" w:beforeAutospacing="0" w:after="0" w:afterAutospacing="0" w:line="360" w:lineRule="auto"/>
        <w:ind w:firstLine="560"/>
        <w:jc w:val="both"/>
        <w:divId w:val="1718897113"/>
      </w:pPr>
      <w:r>
        <w:rPr>
          <w:rFonts w:hint="eastAsia"/>
          <w:sz w:val="18"/>
          <w:szCs w:val="18"/>
        </w:rPr>
        <w:t>（7）针对资产负债表日前后确认的销售收入执行抽样测试，核对至领用并确认接收的单证，以评估销售收入是否在恰当的期间确认。</w:t>
      </w:r>
    </w:p>
    <w:p w:rsidR="000F627F" w:rsidRDefault="000F627F">
      <w:pPr>
        <w:pStyle w:val="a3"/>
        <w:spacing w:before="0" w:beforeAutospacing="0" w:after="0" w:afterAutospacing="0" w:line="360" w:lineRule="auto"/>
        <w:ind w:firstLine="560"/>
        <w:jc w:val="both"/>
        <w:divId w:val="1718897113"/>
      </w:pPr>
      <w:r>
        <w:rPr>
          <w:rFonts w:hint="eastAsia"/>
          <w:sz w:val="18"/>
          <w:szCs w:val="18"/>
        </w:rPr>
        <w:t>基于已执行的审计工作，我们认为，管理层在收入确认中采用的假设和方法是可接受的、管理层对收入的总体评估是可以接受的、管理层对收入的相关判断及估计是合理的。</w:t>
      </w:r>
    </w:p>
    <w:p w:rsidR="000F627F" w:rsidRDefault="000F627F">
      <w:pPr>
        <w:pStyle w:val="a3"/>
        <w:spacing w:before="0" w:beforeAutospacing="0" w:after="0" w:afterAutospacing="0" w:line="360" w:lineRule="auto"/>
        <w:jc w:val="both"/>
        <w:divId w:val="1718897113"/>
        <w:rPr>
          <w:rFonts w:ascii="Times New Roman" w:hAnsi="Times New Roman" w:cs="Times New Roman"/>
          <w:sz w:val="21"/>
          <w:szCs w:val="21"/>
        </w:rPr>
      </w:pPr>
      <w:r>
        <w:rPr>
          <w:rFonts w:cs="Times New Roman" w:hint="eastAsia"/>
          <w:sz w:val="18"/>
          <w:szCs w:val="18"/>
        </w:rPr>
        <w:t>（二）政府补助</w:t>
      </w:r>
    </w:p>
    <w:p w:rsidR="000F627F" w:rsidRDefault="000F627F">
      <w:pPr>
        <w:pStyle w:val="a3"/>
        <w:spacing w:before="0" w:beforeAutospacing="0" w:after="0" w:afterAutospacing="0" w:line="360" w:lineRule="auto"/>
        <w:ind w:firstLine="560"/>
        <w:jc w:val="both"/>
        <w:divId w:val="1718897113"/>
      </w:pPr>
      <w:r>
        <w:rPr>
          <w:rFonts w:hint="eastAsia"/>
          <w:sz w:val="18"/>
          <w:szCs w:val="18"/>
        </w:rPr>
        <w:t>1．事项描述</w:t>
      </w:r>
    </w:p>
    <w:p w:rsidR="000F627F" w:rsidRDefault="000F627F">
      <w:pPr>
        <w:pStyle w:val="a3"/>
        <w:spacing w:before="0" w:beforeAutospacing="0" w:after="0" w:afterAutospacing="0" w:line="360" w:lineRule="auto"/>
        <w:ind w:firstLine="560"/>
        <w:jc w:val="both"/>
        <w:divId w:val="1718897113"/>
      </w:pPr>
      <w:r>
        <w:rPr>
          <w:rFonts w:hint="eastAsia"/>
          <w:sz w:val="18"/>
          <w:szCs w:val="18"/>
        </w:rPr>
        <w:t>本年度华孚时尚公司政府补助会计政策及账面金额信息请参阅合并财务报表附注三、注释(三十七)及附注八。2023年度，华孚时尚公司计入当期损益的政府补助322,774,248.70元（包括从递延收益分摊转入的48,888,049.35元）。由于政府补助对于华孚时尚公司财务报表的重要性，因此我们将政府补助的确认认定为关键审计事项。</w:t>
      </w:r>
    </w:p>
    <w:p w:rsidR="000F627F" w:rsidRDefault="000F627F">
      <w:pPr>
        <w:pStyle w:val="a3"/>
        <w:spacing w:before="0" w:beforeAutospacing="0" w:after="0" w:afterAutospacing="0" w:line="360" w:lineRule="auto"/>
        <w:ind w:firstLine="560"/>
        <w:jc w:val="both"/>
        <w:divId w:val="1718897113"/>
      </w:pPr>
      <w:r>
        <w:rPr>
          <w:rFonts w:hint="eastAsia"/>
          <w:sz w:val="18"/>
          <w:szCs w:val="18"/>
        </w:rPr>
        <w:lastRenderedPageBreak/>
        <w:t>2．审计应对</w:t>
      </w:r>
    </w:p>
    <w:p w:rsidR="000F627F" w:rsidRDefault="000F627F">
      <w:pPr>
        <w:pStyle w:val="a3"/>
        <w:spacing w:before="0" w:beforeAutospacing="0" w:after="0" w:afterAutospacing="0" w:line="360" w:lineRule="auto"/>
        <w:ind w:firstLine="560"/>
        <w:jc w:val="both"/>
        <w:divId w:val="1718897113"/>
      </w:pPr>
      <w:r>
        <w:rPr>
          <w:rFonts w:hint="eastAsia"/>
          <w:sz w:val="18"/>
          <w:szCs w:val="18"/>
        </w:rPr>
        <w:t>我们针对政府补助所实施的重要审计程序包括：</w:t>
      </w:r>
    </w:p>
    <w:p w:rsidR="000F627F" w:rsidRDefault="000F627F">
      <w:pPr>
        <w:pStyle w:val="a3"/>
        <w:spacing w:before="0" w:beforeAutospacing="0" w:after="0" w:afterAutospacing="0" w:line="360" w:lineRule="auto"/>
        <w:ind w:firstLine="560"/>
        <w:jc w:val="both"/>
        <w:divId w:val="1718897113"/>
      </w:pPr>
      <w:r>
        <w:rPr>
          <w:rFonts w:hint="eastAsia"/>
          <w:sz w:val="18"/>
          <w:szCs w:val="18"/>
        </w:rPr>
        <w:t>(1)我们对华孚时尚公司政府补助的获取、使用、记录等关键内部控制设计和执行进行了解和测试，评价其内部控制是否有效。</w:t>
      </w:r>
    </w:p>
    <w:p w:rsidR="000F627F" w:rsidRDefault="000F627F">
      <w:pPr>
        <w:pStyle w:val="a3"/>
        <w:spacing w:before="0" w:beforeAutospacing="0" w:after="0" w:afterAutospacing="0" w:line="360" w:lineRule="auto"/>
        <w:ind w:firstLine="560"/>
        <w:jc w:val="both"/>
        <w:divId w:val="1718897113"/>
      </w:pPr>
      <w:r>
        <w:rPr>
          <w:rFonts w:hint="eastAsia"/>
          <w:sz w:val="18"/>
          <w:szCs w:val="18"/>
        </w:rPr>
        <w:t>(2)我们评估了华孚时尚公司对于政府补助确认和计量的相关会计政策。</w:t>
      </w:r>
    </w:p>
    <w:p w:rsidR="000F627F" w:rsidRDefault="000F627F">
      <w:pPr>
        <w:pStyle w:val="a3"/>
        <w:spacing w:before="0" w:beforeAutospacing="0" w:after="0" w:afterAutospacing="0" w:line="360" w:lineRule="auto"/>
        <w:ind w:firstLine="560"/>
        <w:jc w:val="both"/>
        <w:divId w:val="1718897113"/>
      </w:pPr>
      <w:r>
        <w:rPr>
          <w:rFonts w:hint="eastAsia"/>
          <w:sz w:val="18"/>
          <w:szCs w:val="18"/>
        </w:rPr>
        <w:t>(3)我们检查了华孚时尚公司2023年度与重大政府补助有关的收款情况及相关补助文件，根据相关文件内容，逐项判断其是与资产相关还是与收益相关，以及是否满足政府补助所附条件。</w:t>
      </w:r>
    </w:p>
    <w:p w:rsidR="000F627F" w:rsidRDefault="000F627F">
      <w:pPr>
        <w:pStyle w:val="a3"/>
        <w:spacing w:before="0" w:beforeAutospacing="0" w:after="0" w:afterAutospacing="0" w:line="360" w:lineRule="auto"/>
        <w:ind w:firstLine="560"/>
        <w:jc w:val="both"/>
        <w:divId w:val="1718897113"/>
      </w:pPr>
      <w:r>
        <w:rPr>
          <w:rFonts w:hint="eastAsia"/>
          <w:sz w:val="18"/>
          <w:szCs w:val="18"/>
        </w:rPr>
        <w:t>(4)对于与收益相关的政府补助，我们检查了作为补助对象的相关费用性支出的发生和计入损益的情况，据此检查了相关政府补助结转损益是否与对应支出相配比。</w:t>
      </w:r>
    </w:p>
    <w:p w:rsidR="000F627F" w:rsidRDefault="000F627F">
      <w:pPr>
        <w:pStyle w:val="a3"/>
        <w:spacing w:before="0" w:beforeAutospacing="0" w:after="0" w:afterAutospacing="0" w:line="360" w:lineRule="auto"/>
        <w:ind w:firstLine="560"/>
        <w:jc w:val="both"/>
        <w:divId w:val="1718897113"/>
      </w:pPr>
      <w:r>
        <w:rPr>
          <w:rFonts w:hint="eastAsia"/>
          <w:sz w:val="18"/>
          <w:szCs w:val="18"/>
        </w:rPr>
        <w:t>(5)对于与资产相关的政府补助，我们核对了对应资产购建的资本性支出的总金额，核实了补助与资产项目之间的对应关系；对于相应资产已达到预定可使用状态的情形，我们检查了由此类政府补助所形成的递延收益结转损益的金额，并确定该等递延收益系在相关资产的使用寿命内平均分配计入当期损益。</w:t>
      </w:r>
    </w:p>
    <w:p w:rsidR="000F627F" w:rsidRDefault="000F627F">
      <w:pPr>
        <w:pStyle w:val="a3"/>
        <w:spacing w:before="0" w:beforeAutospacing="0" w:after="0" w:afterAutospacing="0" w:line="360" w:lineRule="auto"/>
        <w:ind w:firstLine="560"/>
        <w:jc w:val="both"/>
        <w:divId w:val="1718897113"/>
        <w:rPr>
          <w:rFonts w:ascii="Times New Roman" w:hAnsi="Times New Roman" w:cs="Times New Roman"/>
          <w:sz w:val="21"/>
          <w:szCs w:val="21"/>
        </w:rPr>
      </w:pPr>
      <w:r>
        <w:rPr>
          <w:rFonts w:cs="Times New Roman" w:hint="eastAsia"/>
          <w:sz w:val="18"/>
          <w:szCs w:val="18"/>
        </w:rPr>
        <w:t>基于已执行的审计工作，我们认为，华孚时尚公司对政府补助的列报与披露是合理。</w:t>
      </w:r>
    </w:p>
    <w:p w:rsidR="000F627F" w:rsidRDefault="000F627F">
      <w:pPr>
        <w:widowControl/>
        <w:numPr>
          <w:ilvl w:val="0"/>
          <w:numId w:val="4"/>
        </w:numPr>
        <w:spacing w:before="100" w:beforeAutospacing="1" w:after="100" w:afterAutospacing="1"/>
        <w:divId w:val="1718897113"/>
        <w:rPr>
          <w:rFonts w:ascii="宋体" w:hAnsi="宋体" w:cs="宋体"/>
          <w:sz w:val="18"/>
          <w:szCs w:val="18"/>
        </w:rPr>
      </w:pPr>
      <w:r>
        <w:rPr>
          <w:rStyle w:val="a5"/>
          <w:rFonts w:hint="eastAsia"/>
          <w:sz w:val="18"/>
          <w:szCs w:val="18"/>
        </w:rPr>
        <w:t>其他信息</w:t>
      </w:r>
    </w:p>
    <w:p w:rsidR="000F627F" w:rsidRDefault="000F627F">
      <w:pPr>
        <w:pStyle w:val="a3"/>
        <w:spacing w:before="0" w:beforeAutospacing="0" w:after="0" w:afterAutospacing="0" w:line="360" w:lineRule="auto"/>
        <w:ind w:firstLine="420"/>
        <w:jc w:val="both"/>
        <w:divId w:val="1718897113"/>
        <w:rPr>
          <w:rFonts w:ascii="Times New Roman" w:hAnsi="Times New Roman" w:cs="Times New Roman"/>
          <w:sz w:val="21"/>
          <w:szCs w:val="21"/>
        </w:rPr>
      </w:pPr>
      <w:r>
        <w:rPr>
          <w:rFonts w:cs="Times New Roman" w:hint="eastAsia"/>
          <w:sz w:val="18"/>
          <w:szCs w:val="18"/>
        </w:rPr>
        <w:t>华孚时尚公司管理层对其他信息负责。其他信息包括2023年年度报告中涵盖的信息，但不包括财务报表和我们的审计报告。</w:t>
      </w:r>
    </w:p>
    <w:p w:rsidR="000F627F" w:rsidRDefault="000F627F">
      <w:pPr>
        <w:pStyle w:val="a3"/>
        <w:spacing w:before="0" w:beforeAutospacing="0" w:after="0" w:afterAutospacing="0" w:line="360" w:lineRule="auto"/>
        <w:ind w:firstLine="560"/>
        <w:jc w:val="both"/>
        <w:divId w:val="1718897113"/>
        <w:rPr>
          <w:rFonts w:ascii="Times New Roman" w:hAnsi="Times New Roman" w:cs="Times New Roman"/>
          <w:sz w:val="21"/>
          <w:szCs w:val="21"/>
        </w:rPr>
      </w:pPr>
      <w:r>
        <w:rPr>
          <w:rFonts w:cs="Times New Roman" w:hint="eastAsia"/>
          <w:sz w:val="18"/>
          <w:szCs w:val="18"/>
        </w:rPr>
        <w:t>我们对财务报表发表的审计意见</w:t>
      </w:r>
      <w:proofErr w:type="gramStart"/>
      <w:r>
        <w:rPr>
          <w:rFonts w:cs="Times New Roman" w:hint="eastAsia"/>
          <w:sz w:val="18"/>
          <w:szCs w:val="18"/>
        </w:rPr>
        <w:t>不</w:t>
      </w:r>
      <w:proofErr w:type="gramEnd"/>
      <w:r>
        <w:rPr>
          <w:rFonts w:cs="Times New Roman" w:hint="eastAsia"/>
          <w:sz w:val="18"/>
          <w:szCs w:val="18"/>
        </w:rPr>
        <w:t>涵盖其他信息，我们也不对其他信息发表任何形式的</w:t>
      </w:r>
      <w:proofErr w:type="gramStart"/>
      <w:r>
        <w:rPr>
          <w:rFonts w:cs="Times New Roman" w:hint="eastAsia"/>
          <w:sz w:val="18"/>
          <w:szCs w:val="18"/>
        </w:rPr>
        <w:t>鉴证</w:t>
      </w:r>
      <w:proofErr w:type="gramEnd"/>
      <w:r>
        <w:rPr>
          <w:rFonts w:cs="Times New Roman" w:hint="eastAsia"/>
          <w:sz w:val="18"/>
          <w:szCs w:val="18"/>
        </w:rPr>
        <w:t>结论。</w:t>
      </w:r>
    </w:p>
    <w:p w:rsidR="000F627F" w:rsidRDefault="000F627F">
      <w:pPr>
        <w:pStyle w:val="a3"/>
        <w:spacing w:before="0" w:beforeAutospacing="0" w:after="0" w:afterAutospacing="0" w:line="360" w:lineRule="auto"/>
        <w:ind w:firstLine="560"/>
        <w:jc w:val="both"/>
        <w:divId w:val="1718897113"/>
        <w:rPr>
          <w:rFonts w:ascii="Times New Roman" w:hAnsi="Times New Roman" w:cs="Times New Roman"/>
          <w:sz w:val="21"/>
          <w:szCs w:val="21"/>
        </w:rPr>
      </w:pPr>
      <w:r>
        <w:rPr>
          <w:rFonts w:cs="Times New Roman" w:hint="eastAsia"/>
          <w:sz w:val="18"/>
          <w:szCs w:val="18"/>
        </w:rPr>
        <w:t>结合我们对财务报表的审计，我们的责任是阅读其他信息，在此过程中，考虑其他信息是否与财务报表或我们在审计过程中了解的情况存在重大不一致或者似乎存在重大错报。</w:t>
      </w:r>
    </w:p>
    <w:p w:rsidR="000F627F" w:rsidRDefault="000F627F">
      <w:pPr>
        <w:pStyle w:val="a3"/>
        <w:spacing w:before="0" w:beforeAutospacing="0" w:after="0" w:afterAutospacing="0" w:line="360" w:lineRule="auto"/>
        <w:ind w:firstLine="560"/>
        <w:jc w:val="both"/>
        <w:divId w:val="1718897113"/>
        <w:rPr>
          <w:rFonts w:ascii="Times New Roman" w:hAnsi="Times New Roman" w:cs="Times New Roman"/>
          <w:sz w:val="21"/>
          <w:szCs w:val="21"/>
        </w:rPr>
      </w:pPr>
      <w:r>
        <w:rPr>
          <w:rFonts w:cs="Times New Roman" w:hint="eastAsia"/>
          <w:sz w:val="18"/>
          <w:szCs w:val="18"/>
        </w:rPr>
        <w:t>基于我们已执行的工作，如果我们确定其他信息存在重大错报，我们应当报告该事实。在这方面，我们无任何事项需要报告。</w:t>
      </w:r>
    </w:p>
    <w:p w:rsidR="000F627F" w:rsidRDefault="000F627F">
      <w:pPr>
        <w:widowControl/>
        <w:numPr>
          <w:ilvl w:val="0"/>
          <w:numId w:val="5"/>
        </w:numPr>
        <w:spacing w:before="100" w:beforeAutospacing="1" w:after="100" w:afterAutospacing="1"/>
        <w:divId w:val="1718897113"/>
        <w:rPr>
          <w:rFonts w:ascii="宋体" w:hAnsi="宋体" w:cs="宋体"/>
          <w:sz w:val="18"/>
          <w:szCs w:val="18"/>
        </w:rPr>
      </w:pPr>
      <w:r>
        <w:rPr>
          <w:rStyle w:val="a5"/>
          <w:rFonts w:hint="eastAsia"/>
          <w:sz w:val="18"/>
          <w:szCs w:val="18"/>
        </w:rPr>
        <w:t>管理层和治理层对财务报表的责任</w:t>
      </w:r>
    </w:p>
    <w:p w:rsidR="000F627F" w:rsidRDefault="000F627F">
      <w:pPr>
        <w:pStyle w:val="a3"/>
        <w:spacing w:before="0" w:beforeAutospacing="0" w:after="0" w:afterAutospacing="0" w:line="360" w:lineRule="auto"/>
        <w:ind w:firstLine="420"/>
        <w:jc w:val="both"/>
        <w:divId w:val="1718897113"/>
        <w:rPr>
          <w:rFonts w:ascii="Times New Roman" w:hAnsi="Times New Roman" w:cs="Times New Roman"/>
          <w:sz w:val="21"/>
          <w:szCs w:val="21"/>
        </w:rPr>
      </w:pPr>
      <w:r>
        <w:rPr>
          <w:rFonts w:cs="Times New Roman" w:hint="eastAsia"/>
          <w:sz w:val="18"/>
          <w:szCs w:val="18"/>
        </w:rPr>
        <w:t>华孚时尚公司管理</w:t>
      </w:r>
      <w:proofErr w:type="gramStart"/>
      <w:r>
        <w:rPr>
          <w:rFonts w:cs="Times New Roman" w:hint="eastAsia"/>
          <w:sz w:val="18"/>
          <w:szCs w:val="18"/>
        </w:rPr>
        <w:t>层负责</w:t>
      </w:r>
      <w:proofErr w:type="gramEnd"/>
      <w:r>
        <w:rPr>
          <w:rFonts w:cs="Times New Roman" w:hint="eastAsia"/>
          <w:sz w:val="18"/>
          <w:szCs w:val="18"/>
        </w:rPr>
        <w:t>按照企业会计准则的规定编制财务报表，使其实现公允反映，并设计、执行和维护必要的内部控制，以使财务报表不存在由于舞弊或错误导致的重大错报。</w:t>
      </w:r>
    </w:p>
    <w:p w:rsidR="000F627F" w:rsidRDefault="000F627F">
      <w:pPr>
        <w:pStyle w:val="a3"/>
        <w:spacing w:before="0" w:beforeAutospacing="0" w:after="0" w:afterAutospacing="0" w:line="360" w:lineRule="auto"/>
        <w:ind w:firstLine="560"/>
        <w:jc w:val="both"/>
        <w:divId w:val="1718897113"/>
        <w:rPr>
          <w:rFonts w:ascii="Times New Roman" w:hAnsi="Times New Roman" w:cs="Times New Roman"/>
          <w:sz w:val="21"/>
          <w:szCs w:val="21"/>
        </w:rPr>
      </w:pPr>
      <w:r>
        <w:rPr>
          <w:rFonts w:cs="Times New Roman" w:hint="eastAsia"/>
          <w:sz w:val="18"/>
          <w:szCs w:val="18"/>
        </w:rPr>
        <w:t>在编制财务报表时，华孚时尚公司管理</w:t>
      </w:r>
      <w:proofErr w:type="gramStart"/>
      <w:r>
        <w:rPr>
          <w:rFonts w:cs="Times New Roman" w:hint="eastAsia"/>
          <w:sz w:val="18"/>
          <w:szCs w:val="18"/>
        </w:rPr>
        <w:t>层负责</w:t>
      </w:r>
      <w:proofErr w:type="gramEnd"/>
      <w:r>
        <w:rPr>
          <w:rFonts w:cs="Times New Roman" w:hint="eastAsia"/>
          <w:sz w:val="18"/>
          <w:szCs w:val="18"/>
        </w:rPr>
        <w:t>评估华孚时尚公司的持续经营能力，披露与持续经营相关的事项（如适用），并运用持续经营假设，除非管理</w:t>
      </w:r>
      <w:proofErr w:type="gramStart"/>
      <w:r>
        <w:rPr>
          <w:rFonts w:cs="Times New Roman" w:hint="eastAsia"/>
          <w:sz w:val="18"/>
          <w:szCs w:val="18"/>
        </w:rPr>
        <w:t>层计划</w:t>
      </w:r>
      <w:proofErr w:type="gramEnd"/>
      <w:r>
        <w:rPr>
          <w:rFonts w:cs="Times New Roman" w:hint="eastAsia"/>
          <w:sz w:val="18"/>
          <w:szCs w:val="18"/>
        </w:rPr>
        <w:t>清算华孚时尚公司、终止运营或别无其他现实的选择。</w:t>
      </w:r>
    </w:p>
    <w:p w:rsidR="000F627F" w:rsidRDefault="000F627F">
      <w:pPr>
        <w:pStyle w:val="a3"/>
        <w:spacing w:before="0" w:beforeAutospacing="0" w:after="0" w:afterAutospacing="0" w:line="360" w:lineRule="auto"/>
        <w:ind w:firstLine="560"/>
        <w:jc w:val="both"/>
        <w:divId w:val="1718897113"/>
        <w:rPr>
          <w:rFonts w:ascii="Times New Roman" w:hAnsi="Times New Roman" w:cs="Times New Roman"/>
          <w:sz w:val="21"/>
          <w:szCs w:val="21"/>
        </w:rPr>
      </w:pPr>
      <w:r>
        <w:rPr>
          <w:rFonts w:cs="Times New Roman" w:hint="eastAsia"/>
          <w:sz w:val="18"/>
          <w:szCs w:val="18"/>
        </w:rPr>
        <w:t>治理</w:t>
      </w:r>
      <w:proofErr w:type="gramStart"/>
      <w:r>
        <w:rPr>
          <w:rFonts w:cs="Times New Roman" w:hint="eastAsia"/>
          <w:sz w:val="18"/>
          <w:szCs w:val="18"/>
        </w:rPr>
        <w:t>层负责</w:t>
      </w:r>
      <w:proofErr w:type="gramEnd"/>
      <w:r>
        <w:rPr>
          <w:rFonts w:cs="Times New Roman" w:hint="eastAsia"/>
          <w:sz w:val="18"/>
          <w:szCs w:val="18"/>
        </w:rPr>
        <w:t>监督华孚时尚公司的财务报告过程。</w:t>
      </w:r>
    </w:p>
    <w:p w:rsidR="000F627F" w:rsidRDefault="000F627F">
      <w:pPr>
        <w:widowControl/>
        <w:numPr>
          <w:ilvl w:val="0"/>
          <w:numId w:val="6"/>
        </w:numPr>
        <w:spacing w:before="100" w:beforeAutospacing="1" w:after="100" w:afterAutospacing="1"/>
        <w:divId w:val="1718897113"/>
        <w:rPr>
          <w:rFonts w:ascii="宋体" w:hAnsi="宋体" w:cs="宋体"/>
          <w:sz w:val="18"/>
          <w:szCs w:val="18"/>
        </w:rPr>
      </w:pPr>
      <w:r>
        <w:rPr>
          <w:rStyle w:val="a5"/>
          <w:rFonts w:hint="eastAsia"/>
          <w:sz w:val="18"/>
          <w:szCs w:val="18"/>
        </w:rPr>
        <w:lastRenderedPageBreak/>
        <w:t>注册会计师对财务报表审计的责任</w:t>
      </w:r>
    </w:p>
    <w:p w:rsidR="000F627F" w:rsidRDefault="000F627F">
      <w:pPr>
        <w:pStyle w:val="a3"/>
        <w:spacing w:before="0" w:beforeAutospacing="0" w:after="0" w:afterAutospacing="0" w:line="360" w:lineRule="auto"/>
        <w:ind w:firstLine="560"/>
        <w:jc w:val="both"/>
        <w:divId w:val="1718897113"/>
        <w:rPr>
          <w:rFonts w:ascii="Times New Roman" w:hAnsi="Times New Roman" w:cs="Times New Roman"/>
          <w:sz w:val="21"/>
          <w:szCs w:val="21"/>
        </w:rPr>
      </w:pPr>
      <w:r>
        <w:rPr>
          <w:rFonts w:cs="Times New Roman" w:hint="eastAsia"/>
          <w:sz w:val="18"/>
          <w:szCs w:val="18"/>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Pr>
          <w:rFonts w:cs="Times New Roman" w:hint="eastAsia"/>
          <w:sz w:val="18"/>
          <w:szCs w:val="18"/>
        </w:rPr>
        <w:t>报存在</w:t>
      </w:r>
      <w:proofErr w:type="gramEnd"/>
      <w:r>
        <w:rPr>
          <w:rFonts w:cs="Times New Roman" w:hint="eastAsia"/>
          <w:sz w:val="18"/>
          <w:szCs w:val="18"/>
        </w:rPr>
        <w:t>时总能发现。错报可能由于舞弊或错误导致，如果合理预期错报单独或汇总起来可能影响财务报表使用者依据财务报表</w:t>
      </w:r>
      <w:proofErr w:type="gramStart"/>
      <w:r>
        <w:rPr>
          <w:rFonts w:cs="Times New Roman" w:hint="eastAsia"/>
          <w:sz w:val="18"/>
          <w:szCs w:val="18"/>
        </w:rPr>
        <w:t>作出</w:t>
      </w:r>
      <w:proofErr w:type="gramEnd"/>
      <w:r>
        <w:rPr>
          <w:rFonts w:cs="Times New Roman" w:hint="eastAsia"/>
          <w:sz w:val="18"/>
          <w:szCs w:val="18"/>
        </w:rPr>
        <w:t>的经济决策，则通常认为错报是重大的。</w:t>
      </w:r>
    </w:p>
    <w:p w:rsidR="000F627F" w:rsidRPr="007814F1" w:rsidRDefault="000F627F" w:rsidP="007814F1">
      <w:pPr>
        <w:pStyle w:val="a3"/>
        <w:spacing w:before="0" w:beforeAutospacing="0" w:after="0" w:afterAutospacing="0" w:line="360" w:lineRule="auto"/>
        <w:ind w:firstLine="560"/>
        <w:jc w:val="both"/>
        <w:divId w:val="1718897113"/>
        <w:rPr>
          <w:sz w:val="18"/>
          <w:szCs w:val="18"/>
        </w:rPr>
      </w:pPr>
      <w:r w:rsidRPr="007814F1">
        <w:rPr>
          <w:rFonts w:hint="eastAsia"/>
          <w:sz w:val="18"/>
          <w:szCs w:val="18"/>
        </w:rPr>
        <w:t>在按照审计准则执行审计工作的过程中，我们运用职业判断，并保持职业怀疑。同时，我们也执行以下工作：</w:t>
      </w:r>
    </w:p>
    <w:p w:rsidR="000F627F" w:rsidRPr="007814F1" w:rsidRDefault="000F627F" w:rsidP="007814F1">
      <w:pPr>
        <w:widowControl/>
        <w:numPr>
          <w:ilvl w:val="0"/>
          <w:numId w:val="7"/>
        </w:numPr>
        <w:spacing w:line="360" w:lineRule="auto"/>
        <w:ind w:left="714" w:hanging="357"/>
        <w:divId w:val="1718897113"/>
        <w:rPr>
          <w:rFonts w:ascii="宋体" w:eastAsia="宋体" w:hAnsi="宋体" w:cs="宋体"/>
          <w:kern w:val="0"/>
          <w:sz w:val="18"/>
          <w:szCs w:val="18"/>
        </w:rPr>
      </w:pPr>
      <w:r w:rsidRPr="007814F1">
        <w:rPr>
          <w:rFonts w:ascii="宋体" w:eastAsia="宋体" w:hAnsi="宋体" w:cs="宋体" w:hint="eastAsia"/>
          <w:kern w:val="0"/>
          <w:sz w:val="18"/>
          <w:szCs w:val="18"/>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F627F" w:rsidRPr="007814F1" w:rsidRDefault="000F627F" w:rsidP="007814F1">
      <w:pPr>
        <w:widowControl/>
        <w:numPr>
          <w:ilvl w:val="0"/>
          <w:numId w:val="7"/>
        </w:numPr>
        <w:spacing w:line="360" w:lineRule="auto"/>
        <w:divId w:val="1718897113"/>
        <w:rPr>
          <w:rFonts w:ascii="宋体" w:eastAsia="宋体" w:hAnsi="宋体" w:cs="宋体"/>
          <w:kern w:val="0"/>
          <w:sz w:val="18"/>
          <w:szCs w:val="18"/>
        </w:rPr>
      </w:pPr>
      <w:r w:rsidRPr="007814F1">
        <w:rPr>
          <w:rFonts w:ascii="宋体" w:eastAsia="宋体" w:hAnsi="宋体" w:cs="宋体" w:hint="eastAsia"/>
          <w:kern w:val="0"/>
          <w:sz w:val="18"/>
          <w:szCs w:val="18"/>
        </w:rPr>
        <w:t>了解与审计相关的内部控制，以设计恰当的审计程序。</w:t>
      </w:r>
    </w:p>
    <w:p w:rsidR="000F627F" w:rsidRPr="007814F1" w:rsidRDefault="000F627F" w:rsidP="007814F1">
      <w:pPr>
        <w:widowControl/>
        <w:numPr>
          <w:ilvl w:val="0"/>
          <w:numId w:val="7"/>
        </w:numPr>
        <w:spacing w:line="360" w:lineRule="auto"/>
        <w:divId w:val="1718897113"/>
        <w:rPr>
          <w:rFonts w:ascii="宋体" w:eastAsia="宋体" w:hAnsi="宋体" w:cs="宋体"/>
          <w:kern w:val="0"/>
          <w:sz w:val="18"/>
          <w:szCs w:val="18"/>
        </w:rPr>
      </w:pPr>
      <w:r w:rsidRPr="007814F1">
        <w:rPr>
          <w:rFonts w:ascii="宋体" w:eastAsia="宋体" w:hAnsi="宋体" w:cs="宋体" w:hint="eastAsia"/>
          <w:kern w:val="0"/>
          <w:sz w:val="18"/>
          <w:szCs w:val="18"/>
        </w:rPr>
        <w:t>评价管理层选用会计政策的恰当性和</w:t>
      </w:r>
      <w:proofErr w:type="gramStart"/>
      <w:r w:rsidRPr="007814F1">
        <w:rPr>
          <w:rFonts w:ascii="宋体" w:eastAsia="宋体" w:hAnsi="宋体" w:cs="宋体" w:hint="eastAsia"/>
          <w:kern w:val="0"/>
          <w:sz w:val="18"/>
          <w:szCs w:val="18"/>
        </w:rPr>
        <w:t>作出</w:t>
      </w:r>
      <w:proofErr w:type="gramEnd"/>
      <w:r w:rsidRPr="007814F1">
        <w:rPr>
          <w:rFonts w:ascii="宋体" w:eastAsia="宋体" w:hAnsi="宋体" w:cs="宋体" w:hint="eastAsia"/>
          <w:kern w:val="0"/>
          <w:sz w:val="18"/>
          <w:szCs w:val="18"/>
        </w:rPr>
        <w:t>会计估计及相关披露的合理性。</w:t>
      </w:r>
    </w:p>
    <w:p w:rsidR="000F627F" w:rsidRPr="007814F1" w:rsidRDefault="000F627F" w:rsidP="007814F1">
      <w:pPr>
        <w:widowControl/>
        <w:numPr>
          <w:ilvl w:val="0"/>
          <w:numId w:val="7"/>
        </w:numPr>
        <w:spacing w:line="360" w:lineRule="auto"/>
        <w:divId w:val="1718897113"/>
        <w:rPr>
          <w:rFonts w:ascii="宋体" w:eastAsia="宋体" w:hAnsi="宋体" w:cs="宋体"/>
          <w:kern w:val="0"/>
          <w:sz w:val="18"/>
          <w:szCs w:val="18"/>
        </w:rPr>
      </w:pPr>
      <w:r w:rsidRPr="007814F1">
        <w:rPr>
          <w:rFonts w:ascii="宋体" w:eastAsia="宋体" w:hAnsi="宋体" w:cs="宋体" w:hint="eastAsia"/>
          <w:kern w:val="0"/>
          <w:sz w:val="18"/>
          <w:szCs w:val="18"/>
        </w:rPr>
        <w:t>对管理层使用持续经营假设的恰当性得出结论。同时，根据获取的审计证据，就可能导致对华孚时尚公司持续经营能力产生重大疑虑的事项或情况是否存在重大不确定性得出结论。如果我们得出结论认为存在重大不确定性，审计准则要求我们在审计报告中提请报告使用者注意财务报表中的相关披露；如果披露不充分，我们应当发表非无保留意见。我们的结论基于截至审计报告日可获得的信息。然而，未来的事项或情况可能导致华孚时尚公司不能持续经营。</w:t>
      </w:r>
    </w:p>
    <w:p w:rsidR="000F627F" w:rsidRPr="007814F1" w:rsidRDefault="000F627F" w:rsidP="007814F1">
      <w:pPr>
        <w:widowControl/>
        <w:numPr>
          <w:ilvl w:val="0"/>
          <w:numId w:val="7"/>
        </w:numPr>
        <w:spacing w:line="360" w:lineRule="auto"/>
        <w:divId w:val="1718897113"/>
        <w:rPr>
          <w:rFonts w:ascii="宋体" w:eastAsia="宋体" w:hAnsi="宋体" w:cs="宋体"/>
          <w:kern w:val="0"/>
          <w:sz w:val="18"/>
          <w:szCs w:val="18"/>
        </w:rPr>
      </w:pPr>
      <w:r w:rsidRPr="007814F1">
        <w:rPr>
          <w:rFonts w:ascii="宋体" w:eastAsia="宋体" w:hAnsi="宋体" w:cs="宋体" w:hint="eastAsia"/>
          <w:kern w:val="0"/>
          <w:sz w:val="18"/>
          <w:szCs w:val="18"/>
        </w:rPr>
        <w:t>评价财务报表的总</w:t>
      </w:r>
      <w:proofErr w:type="gramStart"/>
      <w:r w:rsidRPr="007814F1">
        <w:rPr>
          <w:rFonts w:ascii="宋体" w:eastAsia="宋体" w:hAnsi="宋体" w:cs="宋体" w:hint="eastAsia"/>
          <w:kern w:val="0"/>
          <w:sz w:val="18"/>
          <w:szCs w:val="18"/>
        </w:rPr>
        <w:t>体列</w:t>
      </w:r>
      <w:proofErr w:type="gramEnd"/>
      <w:r w:rsidRPr="007814F1">
        <w:rPr>
          <w:rFonts w:ascii="宋体" w:eastAsia="宋体" w:hAnsi="宋体" w:cs="宋体" w:hint="eastAsia"/>
          <w:kern w:val="0"/>
          <w:sz w:val="18"/>
          <w:szCs w:val="18"/>
        </w:rPr>
        <w:t>报、结构和内容，并评价财务报表是否公允反映相关交易和事项。</w:t>
      </w:r>
    </w:p>
    <w:p w:rsidR="000F627F" w:rsidRPr="007814F1" w:rsidRDefault="000F627F" w:rsidP="007814F1">
      <w:pPr>
        <w:widowControl/>
        <w:numPr>
          <w:ilvl w:val="0"/>
          <w:numId w:val="7"/>
        </w:numPr>
        <w:spacing w:line="360" w:lineRule="auto"/>
        <w:divId w:val="1718897113"/>
        <w:rPr>
          <w:rFonts w:ascii="宋体" w:eastAsia="宋体" w:hAnsi="宋体" w:cs="宋体"/>
          <w:kern w:val="0"/>
          <w:sz w:val="18"/>
          <w:szCs w:val="18"/>
        </w:rPr>
      </w:pPr>
      <w:r w:rsidRPr="007814F1">
        <w:rPr>
          <w:rFonts w:ascii="宋体" w:eastAsia="宋体" w:hAnsi="宋体" w:cs="宋体" w:hint="eastAsia"/>
          <w:kern w:val="0"/>
          <w:sz w:val="18"/>
          <w:szCs w:val="18"/>
        </w:rPr>
        <w:t>就华孚时尚公司中实体或业务活动的财务信息获取充分、适当的审计证据，以对财务报表发表意见。我们负责指导、监督和执行集团审计，并对审计意见承担全部责任。</w:t>
      </w:r>
    </w:p>
    <w:p w:rsidR="000F627F" w:rsidRDefault="000F627F">
      <w:pPr>
        <w:pStyle w:val="a3"/>
        <w:spacing w:before="0" w:beforeAutospacing="0" w:after="0" w:afterAutospacing="0" w:line="360" w:lineRule="auto"/>
        <w:ind w:firstLine="560"/>
        <w:jc w:val="both"/>
        <w:divId w:val="1718897113"/>
        <w:rPr>
          <w:rFonts w:ascii="Times New Roman" w:hAnsi="Times New Roman" w:cs="Times New Roman"/>
          <w:sz w:val="21"/>
          <w:szCs w:val="21"/>
        </w:rPr>
      </w:pPr>
      <w:r>
        <w:rPr>
          <w:rFonts w:cs="Times New Roman" w:hint="eastAsia"/>
          <w:sz w:val="18"/>
          <w:szCs w:val="18"/>
        </w:rPr>
        <w:t>我们与治理层就计划的审计范围、时间安排和重大审计发现等事项进行沟通，包括沟通我们在审计中识别出的值得关注的内部控制缺陷。</w:t>
      </w:r>
    </w:p>
    <w:p w:rsidR="000F627F" w:rsidRDefault="000F627F">
      <w:pPr>
        <w:pStyle w:val="a3"/>
        <w:spacing w:before="0" w:beforeAutospacing="0" w:after="0" w:afterAutospacing="0" w:line="360" w:lineRule="auto"/>
        <w:ind w:firstLine="560"/>
        <w:jc w:val="both"/>
        <w:divId w:val="1718897113"/>
        <w:rPr>
          <w:rFonts w:ascii="Times New Roman" w:hAnsi="Times New Roman" w:cs="Times New Roman"/>
          <w:sz w:val="21"/>
          <w:szCs w:val="21"/>
        </w:rPr>
      </w:pPr>
      <w:r>
        <w:rPr>
          <w:rFonts w:cs="Times New Roman" w:hint="eastAsia"/>
          <w:sz w:val="18"/>
          <w:szCs w:val="18"/>
        </w:rPr>
        <w:t>我们还就已遵守与独立性相关的职业道德要求向治理层提供声明，并与治理层沟通可能被</w:t>
      </w:r>
      <w:proofErr w:type="gramStart"/>
      <w:r>
        <w:rPr>
          <w:rFonts w:cs="Times New Roman" w:hint="eastAsia"/>
          <w:sz w:val="18"/>
          <w:szCs w:val="18"/>
        </w:rPr>
        <w:t>合理认为</w:t>
      </w:r>
      <w:proofErr w:type="gramEnd"/>
      <w:r>
        <w:rPr>
          <w:rFonts w:cs="Times New Roman" w:hint="eastAsia"/>
          <w:sz w:val="18"/>
          <w:szCs w:val="18"/>
        </w:rPr>
        <w:t>影响我们独立性的所有关系和其他事项，以及相关的防范措施（如适用）。</w:t>
      </w:r>
    </w:p>
    <w:p w:rsidR="000F627F" w:rsidRDefault="000F627F">
      <w:pPr>
        <w:pStyle w:val="a3"/>
        <w:spacing w:before="0" w:beforeAutospacing="0" w:after="0" w:afterAutospacing="0" w:line="360" w:lineRule="auto"/>
        <w:ind w:firstLine="560"/>
        <w:jc w:val="both"/>
        <w:divId w:val="1718897113"/>
        <w:rPr>
          <w:rFonts w:ascii="Times New Roman" w:hAnsi="Times New Roman" w:cs="Times New Roman"/>
          <w:sz w:val="21"/>
          <w:szCs w:val="21"/>
        </w:rPr>
      </w:pPr>
      <w:r>
        <w:rPr>
          <w:rFonts w:cs="Times New Roman" w:hint="eastAsia"/>
          <w:sz w:val="18"/>
          <w:szCs w:val="18"/>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tbl>
      <w:tblPr>
        <w:tblW w:w="4569" w:type="pct"/>
        <w:jc w:val="center"/>
        <w:tblCellMar>
          <w:left w:w="0" w:type="dxa"/>
          <w:right w:w="0" w:type="dxa"/>
        </w:tblCellMar>
        <w:tblLook w:val="04A0" w:firstRow="1" w:lastRow="0" w:firstColumn="1" w:lastColumn="0" w:noHBand="0" w:noVBand="1"/>
        <w:tblCaption w:val="D:\大华\华孚\2023年度\TB|0-合并TB-华孚时尚股份有限公司-2023年度.xlsx|W附注模板|_jds3|0|desc|||0|1"/>
      </w:tblPr>
      <w:tblGrid>
        <w:gridCol w:w="3795"/>
        <w:gridCol w:w="3769"/>
        <w:gridCol w:w="1440"/>
      </w:tblGrid>
      <w:tr w:rsidR="007814F1" w:rsidTr="007814F1">
        <w:trPr>
          <w:divId w:val="1718897113"/>
          <w:trHeight w:val="925"/>
          <w:jc w:val="center"/>
        </w:trPr>
        <w:tc>
          <w:tcPr>
            <w:tcW w:w="3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4F1" w:rsidRDefault="007814F1">
            <w:pPr>
              <w:pStyle w:val="a3"/>
              <w:spacing w:before="0" w:beforeAutospacing="0" w:after="0" w:afterAutospacing="0"/>
              <w:ind w:left="-53" w:right="-53"/>
              <w:jc w:val="center"/>
              <w:rPr>
                <w:rFonts w:ascii="Times New Roman" w:hAnsi="Times New Roman" w:cs="Times New Roman"/>
                <w:sz w:val="21"/>
                <w:szCs w:val="21"/>
              </w:rPr>
            </w:pPr>
            <w:r>
              <w:rPr>
                <w:rFonts w:cs="Times New Roman" w:hint="eastAsia"/>
                <w:sz w:val="18"/>
                <w:szCs w:val="18"/>
              </w:rPr>
              <w:t>深圳大华国际会计师事务所</w:t>
            </w:r>
          </w:p>
          <w:p w:rsidR="007814F1" w:rsidRDefault="007814F1">
            <w:pPr>
              <w:pStyle w:val="a3"/>
              <w:spacing w:before="0" w:beforeAutospacing="0" w:after="0" w:afterAutospacing="0"/>
              <w:ind w:left="-53" w:right="-53"/>
              <w:jc w:val="center"/>
              <w:rPr>
                <w:rFonts w:ascii="Times New Roman" w:hAnsi="Times New Roman" w:cs="Times New Roman"/>
                <w:sz w:val="21"/>
                <w:szCs w:val="21"/>
              </w:rPr>
            </w:pPr>
            <w:r>
              <w:rPr>
                <w:rFonts w:cs="Times New Roman" w:hint="eastAsia"/>
                <w:sz w:val="18"/>
                <w:szCs w:val="18"/>
              </w:rPr>
              <w:t>(特殊普通合伙)</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4F1" w:rsidRDefault="007814F1">
            <w:pPr>
              <w:pStyle w:val="a3"/>
              <w:spacing w:before="0" w:beforeAutospacing="0" w:after="0" w:afterAutospacing="0"/>
              <w:ind w:left="-53" w:right="-53"/>
              <w:jc w:val="center"/>
              <w:rPr>
                <w:rFonts w:ascii="Times New Roman" w:hAnsi="Times New Roman" w:cs="Times New Roman"/>
                <w:sz w:val="21"/>
                <w:szCs w:val="21"/>
              </w:rPr>
            </w:pPr>
            <w:r>
              <w:rPr>
                <w:rFonts w:cs="Times New Roman" w:hint="eastAsia"/>
                <w:sz w:val="18"/>
                <w:szCs w:val="18"/>
              </w:rPr>
              <w:t>中国注册会计师：</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4F1" w:rsidRDefault="007814F1">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 </w:t>
            </w:r>
          </w:p>
        </w:tc>
      </w:tr>
      <w:tr w:rsidR="007814F1" w:rsidTr="007814F1">
        <w:trPr>
          <w:divId w:val="1718897113"/>
          <w:trHeight w:val="964"/>
          <w:jc w:val="center"/>
        </w:trPr>
        <w:tc>
          <w:tcPr>
            <w:tcW w:w="37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4F1" w:rsidRDefault="007814F1">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lastRenderedPageBreak/>
              <w:t>中国</w:t>
            </w:r>
            <w:r>
              <w:rPr>
                <w:rStyle w:val="a5"/>
                <w:rFonts w:cs="Times New Roman" w:hint="eastAsia"/>
                <w:sz w:val="18"/>
                <w:szCs w:val="18"/>
              </w:rPr>
              <w:t>·</w:t>
            </w:r>
            <w:r>
              <w:rPr>
                <w:rFonts w:cs="Times New Roman" w:hint="eastAsia"/>
                <w:sz w:val="18"/>
                <w:szCs w:val="18"/>
              </w:rPr>
              <w:t>深圳</w:t>
            </w:r>
          </w:p>
        </w:tc>
        <w:tc>
          <w:tcPr>
            <w:tcW w:w="3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4F1" w:rsidRDefault="007814F1">
            <w:pPr>
              <w:pStyle w:val="a3"/>
              <w:spacing w:before="0" w:beforeAutospacing="0" w:after="180" w:afterAutospacing="0"/>
              <w:jc w:val="center"/>
              <w:rPr>
                <w:rFonts w:ascii="Times New Roman" w:hAnsi="Times New Roman" w:cs="Times New Roman"/>
                <w:sz w:val="21"/>
                <w:szCs w:val="21"/>
              </w:rPr>
            </w:pPr>
            <w:r>
              <w:rPr>
                <w:rFonts w:cs="Times New Roman" w:hint="eastAsia"/>
                <w:sz w:val="18"/>
                <w:szCs w:val="18"/>
              </w:rPr>
              <w:t>（项目合伙人）</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4F1" w:rsidRDefault="007814F1">
            <w:pPr>
              <w:pStyle w:val="a3"/>
              <w:spacing w:before="0" w:beforeAutospacing="0" w:after="180" w:afterAutospacing="0"/>
              <w:jc w:val="center"/>
              <w:rPr>
                <w:rFonts w:ascii="Times New Roman" w:hAnsi="Times New Roman" w:cs="Times New Roman"/>
                <w:sz w:val="21"/>
                <w:szCs w:val="21"/>
              </w:rPr>
            </w:pPr>
            <w:r>
              <w:rPr>
                <w:rFonts w:cs="Times New Roman" w:hint="eastAsia"/>
                <w:sz w:val="18"/>
                <w:szCs w:val="18"/>
              </w:rPr>
              <w:t>陈磊</w:t>
            </w:r>
          </w:p>
        </w:tc>
      </w:tr>
      <w:tr w:rsidR="007814F1" w:rsidTr="007814F1">
        <w:trPr>
          <w:divId w:val="1718897113"/>
          <w:trHeight w:val="454"/>
          <w:jc w:val="center"/>
        </w:trPr>
        <w:tc>
          <w:tcPr>
            <w:tcW w:w="3795" w:type="dxa"/>
            <w:vMerge/>
            <w:tcBorders>
              <w:top w:val="nil"/>
              <w:left w:val="single" w:sz="8" w:space="0" w:color="auto"/>
              <w:bottom w:val="single" w:sz="8" w:space="0" w:color="auto"/>
              <w:right w:val="single" w:sz="8" w:space="0" w:color="auto"/>
            </w:tcBorders>
            <w:vAlign w:val="center"/>
            <w:hideMark/>
          </w:tcPr>
          <w:p w:rsidR="007814F1" w:rsidRDefault="007814F1">
            <w:pPr>
              <w:rPr>
                <w:rFonts w:ascii="Times New Roman" w:eastAsia="宋体" w:hAnsi="Times New Roman" w:cs="Times New Roman"/>
                <w:szCs w:val="21"/>
              </w:rPr>
            </w:pPr>
          </w:p>
        </w:tc>
        <w:tc>
          <w:tcPr>
            <w:tcW w:w="3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4F1" w:rsidRDefault="007814F1">
            <w:pPr>
              <w:pStyle w:val="a3"/>
              <w:spacing w:before="0" w:beforeAutospacing="0" w:after="0" w:afterAutospacing="0"/>
              <w:ind w:left="-53" w:right="-53"/>
              <w:jc w:val="center"/>
              <w:rPr>
                <w:rFonts w:ascii="Times New Roman" w:hAnsi="Times New Roman" w:cs="Times New Roman"/>
                <w:sz w:val="21"/>
                <w:szCs w:val="21"/>
              </w:rPr>
            </w:pPr>
            <w:r>
              <w:rPr>
                <w:rFonts w:cs="Times New Roman" w:hint="eastAsia"/>
                <w:sz w:val="18"/>
                <w:szCs w:val="18"/>
              </w:rPr>
              <w:t>中国注册会计师：</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4F1" w:rsidRDefault="007814F1">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 </w:t>
            </w:r>
          </w:p>
        </w:tc>
      </w:tr>
      <w:tr w:rsidR="007814F1" w:rsidTr="007814F1">
        <w:trPr>
          <w:divId w:val="1718897113"/>
          <w:trHeight w:val="964"/>
          <w:jc w:val="center"/>
        </w:trPr>
        <w:tc>
          <w:tcPr>
            <w:tcW w:w="3795" w:type="dxa"/>
            <w:vMerge/>
            <w:tcBorders>
              <w:top w:val="nil"/>
              <w:left w:val="single" w:sz="8" w:space="0" w:color="auto"/>
              <w:bottom w:val="single" w:sz="8" w:space="0" w:color="auto"/>
              <w:right w:val="single" w:sz="8" w:space="0" w:color="auto"/>
            </w:tcBorders>
            <w:vAlign w:val="center"/>
            <w:hideMark/>
          </w:tcPr>
          <w:p w:rsidR="007814F1" w:rsidRDefault="007814F1">
            <w:pPr>
              <w:rPr>
                <w:rFonts w:ascii="Times New Roman" w:eastAsia="宋体" w:hAnsi="Times New Roman" w:cs="Times New Roman"/>
                <w:szCs w:val="21"/>
              </w:rPr>
            </w:pPr>
          </w:p>
        </w:tc>
        <w:tc>
          <w:tcPr>
            <w:tcW w:w="3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4F1" w:rsidRDefault="007814F1">
            <w:pPr>
              <w:pStyle w:val="a3"/>
              <w:spacing w:before="0" w:beforeAutospacing="0" w:after="180" w:afterAutospacing="0"/>
              <w:jc w:val="center"/>
              <w:rPr>
                <w:rFonts w:ascii="Times New Roman" w:hAnsi="Times New Roman" w:cs="Times New Roman"/>
                <w:sz w:val="21"/>
                <w:szCs w:val="21"/>
              </w:rPr>
            </w:pPr>
            <w:r>
              <w:rPr>
                <w:rFonts w:cs="Times New Roman" w:hint="eastAsia"/>
                <w:sz w:val="18"/>
                <w:szCs w:val="1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4F1" w:rsidRDefault="007814F1">
            <w:pPr>
              <w:pStyle w:val="a3"/>
              <w:spacing w:before="0" w:beforeAutospacing="0" w:after="180" w:afterAutospacing="0"/>
              <w:jc w:val="center"/>
              <w:rPr>
                <w:rFonts w:ascii="Times New Roman" w:hAnsi="Times New Roman" w:cs="Times New Roman"/>
                <w:sz w:val="21"/>
                <w:szCs w:val="21"/>
              </w:rPr>
            </w:pPr>
            <w:r>
              <w:rPr>
                <w:rFonts w:cs="Times New Roman" w:hint="eastAsia"/>
                <w:sz w:val="18"/>
                <w:szCs w:val="18"/>
              </w:rPr>
              <w:t>张吉宝</w:t>
            </w:r>
          </w:p>
        </w:tc>
      </w:tr>
      <w:tr w:rsidR="007814F1" w:rsidTr="007814F1">
        <w:trPr>
          <w:divId w:val="1718897113"/>
          <w:trHeight w:val="567"/>
          <w:jc w:val="center"/>
        </w:trPr>
        <w:tc>
          <w:tcPr>
            <w:tcW w:w="3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4F1" w:rsidRDefault="007814F1">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 </w:t>
            </w:r>
          </w:p>
        </w:tc>
        <w:tc>
          <w:tcPr>
            <w:tcW w:w="52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4F1" w:rsidRDefault="007814F1">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二〇二四年四月二十五日</w:t>
            </w:r>
          </w:p>
        </w:tc>
      </w:tr>
    </w:tbl>
    <w:p w:rsidR="000D58D8" w:rsidRDefault="000F627F">
      <w:pPr>
        <w:pStyle w:val="2"/>
        <w:spacing w:before="300" w:after="300" w:line="320" w:lineRule="exact"/>
        <w:rPr>
          <w:rFonts w:ascii="宋体" w:eastAsia="宋体" w:hAnsi="宋体" w:cs="宋体"/>
          <w:b/>
          <w:bCs/>
          <w:sz w:val="24"/>
          <w:szCs w:val="24"/>
        </w:rPr>
      </w:pPr>
      <w:bookmarkStart w:id="163" w:name="_Toc989051"/>
      <w:r>
        <w:rPr>
          <w:rFonts w:ascii="宋体" w:eastAsia="宋体" w:hAnsi="宋体" w:cs="宋体"/>
          <w:b/>
          <w:bCs/>
          <w:sz w:val="24"/>
          <w:szCs w:val="24"/>
        </w:rPr>
        <w:t>二、财务报表</w:t>
      </w:r>
      <w:bookmarkEnd w:id="163"/>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财务附注中报表的单位为：元</w:t>
      </w:r>
    </w:p>
    <w:p w:rsidR="000D58D8" w:rsidRDefault="000F627F">
      <w:pPr>
        <w:pStyle w:val="3"/>
        <w:spacing w:line="280" w:lineRule="exact"/>
        <w:jc w:val="left"/>
        <w:rPr>
          <w:rFonts w:ascii="宋体" w:hAnsi="宋体" w:cs="宋体"/>
          <w:b/>
          <w:bCs/>
        </w:rPr>
      </w:pPr>
      <w:bookmarkStart w:id="164" w:name="_Toc989052"/>
      <w:r>
        <w:rPr>
          <w:rFonts w:ascii="宋体" w:hAnsi="宋体" w:cs="宋体"/>
          <w:b/>
          <w:bCs/>
        </w:rPr>
        <w:t>1、合并资产负债表</w:t>
      </w:r>
      <w:bookmarkEnd w:id="164"/>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编制单位：华孚时尚股份有限公司</w:t>
      </w:r>
    </w:p>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2024年04月27日</w:t>
      </w:r>
    </w:p>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2023年12月31日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2023年1月1日</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2,636,623,050.27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2,718,875,461.56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231,633,768.94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608,564,083.66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57,901,832.23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86,853,125.00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1,004,058,465.64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927,683,738.93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613,362,244.00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766,827,324.84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231,214,898.67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251,884,579.22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5,007,466,587.13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5,337,498,180.84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2,931,142.48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1,540,187.78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125,091,080.55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171,662,453.90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9,910,283,069.91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10,871,389,135.73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2,833,724.06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326,084,172.45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326,977,121.34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77,716,692.81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80,250,680.43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132,702,829.02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61,592,794.48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4,675,835,696.14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4,987,410,058.67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475,059,478.07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405,320,838.98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27,243,799.27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23,275,556.72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848,651,533.13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950,121,155.70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151,761,841.47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157,486,295.49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18,209,091.31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31,328,384.06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184,114,307.76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203,014,277.41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213,610,511.50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43,769,369.80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7,130,989,952.93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7,273,380,257.14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17,041,273,022.84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18,144,769,392.87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7,083,948,407.58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7,649,257,866.34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1,902,600.00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32,923,985.70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58,331,152.95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924,554,728.71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947,257,716.21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7,293,483.28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6,762,625.23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715,430,170.40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781,571,502.38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69,900,895.46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75,418,931.48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82,862,010.47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94,863,414.92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158,535,963.00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220,752,940.26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415,830,327.16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161,492,879.76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65,480,068.80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92,097,977.92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9,556,760,040.56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10,089,709,607.45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726,461,232.31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920,040,822.50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15,991,096.53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16,671,345.58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244,367,138.45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224,367,138.45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7,610.61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237,600.78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35,626,316.46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89,437,900.44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13,544,492.46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24,878,444.79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1,035,997,886.82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1,275,633,252.54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10,592,757,927.38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11,365,342,859.99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2,738,348,953.80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2,740,935,925.04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200,071,093.36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-96,153,506.00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-48,175,536.34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339,467,737.72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302,737,887.79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1,674,292,092.74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1,644,239,862.18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6,156,565,539.90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6,293,445,133.75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291,949,555.56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485,981,399.13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6,448,515,095.46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6,779,426,532.88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17,041,273,022.84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18,144,769,392.87</w:t>
            </w:r>
          </w:p>
        </w:tc>
      </w:tr>
    </w:tbl>
    <w:p w:rsidR="000D58D8" w:rsidRDefault="000F627F">
      <w:pPr>
        <w:spacing w:line="240" w:lineRule="exact"/>
        <w:rPr>
          <w:rFonts w:ascii="宋体" w:eastAsia="宋体" w:hAnsi="宋体" w:cs="宋体"/>
          <w:sz w:val="18"/>
          <w:szCs w:val="18"/>
        </w:rPr>
      </w:pPr>
      <w:r>
        <w:rPr>
          <w:rFonts w:ascii="宋体" w:eastAsia="宋体" w:hAnsi="宋体" w:cs="宋体"/>
          <w:sz w:val="18"/>
          <w:szCs w:val="18"/>
        </w:rPr>
        <w:t xml:space="preserve">法定代表人：孙伟挺    </w:t>
      </w:r>
      <w:r w:rsidR="007814F1">
        <w:rPr>
          <w:rFonts w:ascii="宋体" w:eastAsia="宋体" w:hAnsi="宋体" w:cs="宋体" w:hint="eastAsia"/>
          <w:sz w:val="18"/>
          <w:szCs w:val="18"/>
        </w:rPr>
        <w:t xml:space="preserve">                 </w:t>
      </w:r>
      <w:r>
        <w:rPr>
          <w:rFonts w:ascii="宋体" w:eastAsia="宋体" w:hAnsi="宋体" w:cs="宋体"/>
          <w:sz w:val="18"/>
          <w:szCs w:val="18"/>
        </w:rPr>
        <w:t xml:space="preserve">主管会计工作负责人：陈玲芬     </w:t>
      </w:r>
      <w:r w:rsidR="007814F1">
        <w:rPr>
          <w:rFonts w:ascii="宋体" w:eastAsia="宋体" w:hAnsi="宋体" w:cs="宋体" w:hint="eastAsia"/>
          <w:sz w:val="18"/>
          <w:szCs w:val="18"/>
        </w:rPr>
        <w:t xml:space="preserve">           </w:t>
      </w:r>
      <w:r>
        <w:rPr>
          <w:rFonts w:ascii="宋体" w:eastAsia="宋体" w:hAnsi="宋体" w:cs="宋体"/>
          <w:sz w:val="18"/>
          <w:szCs w:val="18"/>
        </w:rPr>
        <w:t xml:space="preserve"> 会计机构负责人：王国友</w:t>
      </w:r>
    </w:p>
    <w:p w:rsidR="000D58D8" w:rsidRDefault="000F627F">
      <w:pPr>
        <w:pStyle w:val="3"/>
        <w:spacing w:line="280" w:lineRule="exact"/>
        <w:jc w:val="left"/>
        <w:rPr>
          <w:rFonts w:ascii="宋体" w:hAnsi="宋体" w:cs="宋体"/>
          <w:b/>
          <w:bCs/>
        </w:rPr>
      </w:pPr>
      <w:bookmarkStart w:id="165" w:name="_Toc989053"/>
      <w:r>
        <w:rPr>
          <w:rFonts w:ascii="宋体" w:hAnsi="宋体" w:cs="宋体"/>
          <w:b/>
          <w:bCs/>
        </w:rPr>
        <w:t>2、母公司资产负债表</w:t>
      </w:r>
      <w:bookmarkEnd w:id="165"/>
    </w:p>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2023年12月31日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2023年1月1日</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37,699,521.00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139,261,684.58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39,676,997.22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112,928,000.00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7,551,910.14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1,234,945.02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11,756,379.44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107,967.82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756,170,998.13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77,367,357.16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116,709,427.72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163,704,476.95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137,345,422.48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253,740,956.07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32,544,715.77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19,112,853.79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1,139,455,371.90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767,458,241.39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4,126,298,998.00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4,414,907,400.06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54,754,746.91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56,479,234.53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39,320,455.98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41,085,463.98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753,466,009.50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581,049,392.86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141,737,991.73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67,624,539.54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206,247,224.26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210,490,194.19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7,330,439.55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4,796,910.99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8,381,013.51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7,872,541.22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4,462,235.46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6,667,157.05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5,341,999,114.90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5,390,972,834.42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6,481,454,486.80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6,158,431,075.81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30,033,916.67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1,519,000.00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492,131,086.18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246,367,020.88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109,349,864.03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426,747,408.76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5,583,412.55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5,253,412.55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2,094,268.94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2,571,462.06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46,399,587.48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193,524,772.19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182,890.72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67,029.53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685,775,026.57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876,050,105.97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306,896,837.81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3,642,973.62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9,095,946.67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9,590,898.67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2,471,192.54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4,667,565.68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318,463,977.02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17,901,437.97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1,004,239,003.59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893,951,543.94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3,106,930,758.15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200,071,093.36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14,003,424.37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15,469,238.85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307,872,299.19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271,142,449.26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547,798,739.86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217,230,090.53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5,477,215,483.21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5,264,479,531.87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6,481,454,486.80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6,158,431,075.81</w:t>
            </w:r>
          </w:p>
        </w:tc>
      </w:tr>
    </w:tbl>
    <w:p w:rsidR="000D58D8" w:rsidRDefault="000F627F">
      <w:pPr>
        <w:pStyle w:val="3"/>
        <w:spacing w:line="280" w:lineRule="exact"/>
        <w:jc w:val="left"/>
        <w:rPr>
          <w:rFonts w:ascii="宋体" w:hAnsi="宋体" w:cs="宋体"/>
          <w:b/>
          <w:bCs/>
        </w:rPr>
      </w:pPr>
      <w:bookmarkStart w:id="166" w:name="_Toc989054"/>
      <w:r>
        <w:rPr>
          <w:rFonts w:ascii="宋体" w:hAnsi="宋体" w:cs="宋体"/>
          <w:b/>
          <w:bCs/>
        </w:rPr>
        <w:t>3、合并利润表</w:t>
      </w:r>
      <w:bookmarkEnd w:id="166"/>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2022年度</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13,663,469,325.68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14,459,640,227.88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13,663,469,325.68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14,459,640,227.88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13,925,822,417.27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14,636,398,302.75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13,083,816,084.63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13,706,815,154.68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lastRenderedPageBreak/>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提取保险责任合同准备金净额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80,418,024.82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62,326,243.77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114,860,021.17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125,342,768.48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352,791,850.00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380,056,876.68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113,213,368.59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110,377,111.52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180,723,068.06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251,480,147.62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297,635,396.87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302,602,665.36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86,056,151.87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52,635,273.79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197,741,196.72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42,787,972.51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43,481,876.64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-129,287,338.58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7,932,426.95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-17,611,972.80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w:t>
            </w:r>
            <w:proofErr w:type="gramStart"/>
            <w:r>
              <w:rPr>
                <w:rFonts w:ascii="宋体" w:eastAsia="宋体" w:hAnsi="宋体" w:cs="宋体"/>
                <w:sz w:val="18"/>
                <w:szCs w:val="18"/>
              </w:rPr>
              <w:t>余成本</w:t>
            </w:r>
            <w:proofErr w:type="gramEnd"/>
            <w:r>
              <w:rPr>
                <w:rFonts w:ascii="宋体" w:eastAsia="宋体" w:hAnsi="宋体" w:cs="宋体"/>
                <w:sz w:val="18"/>
                <w:szCs w:val="18"/>
              </w:rPr>
              <w:t>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-16,425,097.75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-8,284,534.06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-34,101,152.58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-45,223,324.83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26,310,983.35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-201,119,760.42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152,929,040.23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120,645,966.48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三、营业利润（亏损以“－”号填列）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107,583,755.02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-397,239,093.77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16,112,684.70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13,738,979.13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5,062,219.81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3,699,169.78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118,634,219.91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-387,199,284.42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49,530,659.93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-22,737,020.99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69,103,559.98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-364,462,263.43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69,103,559.98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-364,462,263.43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w:t>
            </w:r>
            <w:r>
              <w:rPr>
                <w:rFonts w:ascii="宋体" w:eastAsia="宋体" w:hAnsi="宋体" w:cs="宋体"/>
                <w:sz w:val="18"/>
                <w:szCs w:val="18"/>
              </w:rPr>
              <w:lastRenderedPageBreak/>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200" w:firstLine="360"/>
              <w:rPr>
                <w:rFonts w:ascii="宋体" w:eastAsia="宋体" w:hAnsi="宋体" w:cs="宋体"/>
                <w:sz w:val="18"/>
                <w:szCs w:val="18"/>
              </w:rPr>
            </w:pPr>
            <w:r>
              <w:rPr>
                <w:rFonts w:ascii="宋体" w:eastAsia="宋体" w:hAnsi="宋体" w:cs="宋体"/>
                <w:sz w:val="18"/>
                <w:szCs w:val="18"/>
              </w:rPr>
              <w:t>1.归属于母公司股东的净利润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66,782,080.49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-350,313,894.56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200" w:firstLine="360"/>
              <w:rPr>
                <w:rFonts w:ascii="宋体" w:eastAsia="宋体" w:hAnsi="宋体" w:cs="宋体"/>
                <w:sz w:val="18"/>
                <w:szCs w:val="18"/>
              </w:rPr>
            </w:pPr>
            <w:r>
              <w:rPr>
                <w:rFonts w:ascii="宋体" w:eastAsia="宋体" w:hAnsi="宋体" w:cs="宋体"/>
                <w:sz w:val="18"/>
                <w:szCs w:val="18"/>
              </w:rPr>
              <w:t>2.少数股东损益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2,321,479.49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-14,148,368.87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-47,977,969.66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4,555,230.48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-47,977,969.66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4,555,230.48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-12,033,970.92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1,764,977.38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-568,156.44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-11,465,814.48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1,764,977.38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-35,943,998.74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2,790,253.10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17,571,382.10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-35,943,998.74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-14,781,129.00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21,125,590.32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-359,907,032.95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18,804,110.83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-345,758,664.08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2,321,479.49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-14,148,368.87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-0.21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-0.21</w:t>
            </w:r>
          </w:p>
        </w:tc>
      </w:tr>
    </w:tbl>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本期发生同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下企业合并的，被合并方在合并前实现的净利润为：0.00元，上期被合并方实现的净利润为：0.00元。</w:t>
      </w:r>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法定代表人：孙伟挺    </w:t>
      </w:r>
      <w:r w:rsidR="007814F1">
        <w:rPr>
          <w:rFonts w:ascii="宋体" w:eastAsia="宋体" w:hAnsi="宋体" w:cs="宋体" w:hint="eastAsia"/>
          <w:sz w:val="18"/>
          <w:szCs w:val="18"/>
        </w:rPr>
        <w:t xml:space="preserve">                </w:t>
      </w:r>
      <w:r>
        <w:rPr>
          <w:rFonts w:ascii="宋体" w:eastAsia="宋体" w:hAnsi="宋体" w:cs="宋体"/>
          <w:sz w:val="18"/>
          <w:szCs w:val="18"/>
        </w:rPr>
        <w:t xml:space="preserve">主管会计工作负责人：陈玲芬    </w:t>
      </w:r>
      <w:r w:rsidR="007814F1">
        <w:rPr>
          <w:rFonts w:ascii="宋体" w:eastAsia="宋体" w:hAnsi="宋体" w:cs="宋体" w:hint="eastAsia"/>
          <w:sz w:val="18"/>
          <w:szCs w:val="18"/>
        </w:rPr>
        <w:t xml:space="preserve">               </w:t>
      </w:r>
      <w:r>
        <w:rPr>
          <w:rFonts w:ascii="宋体" w:eastAsia="宋体" w:hAnsi="宋体" w:cs="宋体"/>
          <w:sz w:val="18"/>
          <w:szCs w:val="18"/>
        </w:rPr>
        <w:t>会计机构负责人：王国友</w:t>
      </w:r>
    </w:p>
    <w:p w:rsidR="000D58D8" w:rsidRDefault="000F627F">
      <w:pPr>
        <w:pStyle w:val="3"/>
        <w:spacing w:line="280" w:lineRule="exact"/>
        <w:jc w:val="left"/>
        <w:rPr>
          <w:rFonts w:ascii="宋体" w:hAnsi="宋体" w:cs="宋体"/>
          <w:b/>
          <w:bCs/>
        </w:rPr>
      </w:pPr>
      <w:bookmarkStart w:id="167" w:name="_Toc989055"/>
      <w:r>
        <w:rPr>
          <w:rFonts w:ascii="宋体" w:hAnsi="宋体" w:cs="宋体"/>
          <w:b/>
          <w:bCs/>
        </w:rPr>
        <w:t>4、母公司利润表</w:t>
      </w:r>
      <w:bookmarkEnd w:id="16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2022年度</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1,136,761,883.21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1,058,055,821.45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1,062,766,470.22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1,005,678,007.15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8,439,260.51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8,007,847.56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1,946,409.36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85,851.87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26,487,902.42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28,021,927.32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44,027,757.34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37,450,168.37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13,776,407.89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-9,844,246.81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15,520,158.27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5,021,795.84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lastRenderedPageBreak/>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1,082,035.79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24,189,368.23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60,279,361.38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5,645,514.79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343,123,969.57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468,848,645.44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以摊</w:t>
            </w:r>
            <w:proofErr w:type="gramStart"/>
            <w:r>
              <w:rPr>
                <w:rFonts w:ascii="宋体" w:eastAsia="宋体" w:hAnsi="宋体" w:cs="宋体"/>
                <w:sz w:val="18"/>
                <w:szCs w:val="18"/>
              </w:rPr>
              <w:t>余成本</w:t>
            </w:r>
            <w:proofErr w:type="gramEnd"/>
            <w:r>
              <w:rPr>
                <w:rFonts w:ascii="宋体" w:eastAsia="宋体" w:hAnsi="宋体" w:cs="宋体"/>
                <w:sz w:val="18"/>
                <w:szCs w:val="18"/>
              </w:rPr>
              <w:t>计量的金融资产终止确认收益（损失以“-”号填列）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-21,732,002.78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11,399,000.00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-2,141,433.83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-2,058,558.60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5,876,523.01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-4,610,585.93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10,516.24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-216,635.28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364,734,609.06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467,663,646.41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132,765.49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562,921.25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15,047.58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62,000.00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三、利润总额（亏损总额以“－”号填列）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364,852,326.97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468,164,567.66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-2,446,172.29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-2,967,603.66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四、净利润（净亏损以“－”号填列）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367,298,499.26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471,132,171.32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367,298,499.26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471,132,171.32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（二）终止经营净利润（净亏损以“－”号填列）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五、其他综合收益的税后净额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-1,465,814.48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1,764,977.38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-1,465,814.48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1,764,977.38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-1,465,814.48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1,764,977.38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lastRenderedPageBreak/>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六、综合收益总额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365,832,684.78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472,897,148.70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七、每股收益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bl>
    <w:p w:rsidR="000D58D8" w:rsidRDefault="000F627F">
      <w:pPr>
        <w:pStyle w:val="3"/>
        <w:spacing w:line="280" w:lineRule="exact"/>
        <w:jc w:val="left"/>
        <w:rPr>
          <w:rFonts w:ascii="宋体" w:hAnsi="宋体" w:cs="宋体"/>
          <w:b/>
          <w:bCs/>
        </w:rPr>
      </w:pPr>
      <w:bookmarkStart w:id="168" w:name="_Toc989056"/>
      <w:r>
        <w:rPr>
          <w:rFonts w:ascii="宋体" w:hAnsi="宋体" w:cs="宋体"/>
          <w:b/>
          <w:bCs/>
        </w:rPr>
        <w:t>5、合并现金流量表</w:t>
      </w:r>
      <w:bookmarkEnd w:id="168"/>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2023年度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2022年度</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14,836,520,435.64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15,137,078,569.82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9,917,819.87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40,078,112.74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383,497,112.02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399,042,459.46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15,229,935,367.53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15,576,199,142.02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12,997,233,406.32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13,209,477,772.74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860,372,744.92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895,992,810.10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289,079,490.28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310,406,714.06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225,476,504.62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267,358,725.34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14,372,162,146.14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14,683,236,022.24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857,773,221.39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892,963,119.78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2,225,294,027.51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1,118,361,605.60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13,487,568.19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91,369,226.82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217,475,633.35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235,103,979.75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175,617,708.66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37,700,000.00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2,631,874,937.71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1,482,534,812.17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715,575,990.78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447,053,690.12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1,909,107,072.53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1,463,344,317.84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2,624,683,063.31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1,910,398,007.96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7,191,874.40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-427,863,195.79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17,900,000.00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17,900,000.00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5,766,353,836.66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9,914,811,469.13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421,199,728.41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317,007,641.00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6,187,553,565.07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10,249,719,110.13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6,259,194,501.61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10,654,260,012.15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327,390,709.68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557,724,409.88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76,533,689.39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159,434,473.57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77,670,321.77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6,746,019,684.86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11,289,654,743.80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-558,466,119.79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-1,039,935,633.67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35,563,027.92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15,969,291.29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342,062,003.92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-558,866,418.39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1,841,818,553.58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2,400,684,971.97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2,183,880,557.50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1,841,818,553.58</w:t>
            </w:r>
          </w:p>
        </w:tc>
      </w:tr>
    </w:tbl>
    <w:p w:rsidR="000D58D8" w:rsidRDefault="000F627F">
      <w:pPr>
        <w:pStyle w:val="3"/>
        <w:spacing w:line="280" w:lineRule="exact"/>
        <w:jc w:val="left"/>
        <w:rPr>
          <w:rFonts w:ascii="宋体" w:hAnsi="宋体" w:cs="宋体"/>
          <w:b/>
          <w:bCs/>
        </w:rPr>
      </w:pPr>
      <w:bookmarkStart w:id="169" w:name="_Toc989057"/>
      <w:r>
        <w:rPr>
          <w:rFonts w:ascii="宋体" w:hAnsi="宋体" w:cs="宋体"/>
          <w:b/>
          <w:bCs/>
        </w:rPr>
        <w:t>6、母公司现金流量表</w:t>
      </w:r>
      <w:bookmarkEnd w:id="169"/>
    </w:p>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2023年度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2022年度</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667,828,762.88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446,861,872.72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34,926,956.55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86,365,155.56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138,130,620.29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754,193,918.44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619,919,449.56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1,087,843,360.75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1,150,081,635.09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101,511,556.23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103,751,052.51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26,879,430.86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31,325,059.44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48,015,944.04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17,072,817.82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1,264,250,291.88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1,302,230,564.86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-510,056,373.44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-682,311,115.30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343,914,585.95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340,024,115.91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568,848,645.44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142,127.06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1,440,700.00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684,080,828.92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570,289,345.44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308,540,172.05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166,710,200.30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5,306,183.89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w:t>
            </w:r>
            <w:r>
              <w:rPr>
                <w:rFonts w:ascii="宋体" w:eastAsia="宋体" w:hAnsi="宋体" w:cs="宋体"/>
                <w:sz w:val="18"/>
                <w:szCs w:val="18"/>
              </w:rPr>
              <w:lastRenderedPageBreak/>
              <w:t>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313,846,355.94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266,710,200.30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370,234,472.98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303,579,145.14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332,866,255.89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27,195,020.33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332,866,255.89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27,195,020.33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12,708,842.91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304,139,371.52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282,700,957.36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295,409,800.27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304,139,371.52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37,456,455.62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-276,944,351.19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797,993.53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-272,665.31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-101,567,451.31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-655,948,986.66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136,786,651.88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792,735,638.54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35,219,200.57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136,786,651.88</w:t>
            </w:r>
          </w:p>
        </w:tc>
      </w:tr>
    </w:tbl>
    <w:p w:rsidR="000D58D8" w:rsidRDefault="000F627F">
      <w:pPr>
        <w:pStyle w:val="3"/>
        <w:spacing w:line="280" w:lineRule="exact"/>
        <w:jc w:val="left"/>
        <w:rPr>
          <w:rFonts w:ascii="宋体" w:hAnsi="宋体" w:cs="宋体"/>
          <w:b/>
          <w:bCs/>
        </w:rPr>
      </w:pPr>
      <w:bookmarkStart w:id="170" w:name="_Toc989058"/>
      <w:r>
        <w:rPr>
          <w:rFonts w:ascii="宋体" w:hAnsi="宋体" w:cs="宋体"/>
          <w:b/>
          <w:bCs/>
        </w:rPr>
        <w:t>7、合并所有者权益变动表</w:t>
      </w:r>
      <w:bookmarkEnd w:id="170"/>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本期金额</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2"/>
        <w:gridCol w:w="602"/>
        <w:gridCol w:w="602"/>
        <w:gridCol w:w="602"/>
        <w:gridCol w:w="603"/>
        <w:gridCol w:w="602"/>
        <w:gridCol w:w="602"/>
        <w:gridCol w:w="602"/>
        <w:gridCol w:w="602"/>
        <w:gridCol w:w="602"/>
        <w:gridCol w:w="602"/>
        <w:gridCol w:w="602"/>
        <w:gridCol w:w="602"/>
        <w:gridCol w:w="607"/>
        <w:gridCol w:w="602"/>
        <w:gridCol w:w="603"/>
      </w:tblGrid>
      <w:tr w:rsidR="000D58D8">
        <w:trPr>
          <w:trHeight w:val="240"/>
        </w:trPr>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9037"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2023年度</w:t>
            </w:r>
          </w:p>
        </w:tc>
      </w:tr>
      <w:tr w:rsidR="000D58D8">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832"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0" w:lineRule="atLeast"/>
              <w:jc w:val="center"/>
              <w:rPr>
                <w:rFonts w:ascii="宋体" w:eastAsia="宋体" w:hAnsi="宋体" w:cs="宋体"/>
                <w:sz w:val="18"/>
                <w:szCs w:val="18"/>
              </w:rPr>
            </w:pPr>
            <w:r>
              <w:rPr>
                <w:rFonts w:ascii="宋体" w:eastAsia="宋体" w:hAnsi="宋体" w:cs="宋体"/>
                <w:sz w:val="18"/>
                <w:szCs w:val="18"/>
              </w:rPr>
              <w:t>少数股东权益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0D58D8">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807"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2,740,935,925.04</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-48,175,536.34</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302,737,887.79</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1,644,239,862.18</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6,293,445,133.75</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485,981,399.13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6,779,426,532.88</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2,740,935,925.04</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-48,175,536.34</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302,737,887.79</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1,644,239,862.18</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6,293,445,133.75</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485,981,399.13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6,779,426,532.88</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三、本期</w:t>
            </w:r>
            <w:r>
              <w:rPr>
                <w:rFonts w:ascii="宋体" w:eastAsia="宋体" w:hAnsi="宋体" w:cs="宋体"/>
                <w:sz w:val="18"/>
                <w:szCs w:val="18"/>
              </w:rPr>
              <w:lastRenderedPageBreak/>
              <w:t>增减变动金额（减少以“－”号填列）</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-2,58</w:t>
            </w:r>
            <w:r>
              <w:rPr>
                <w:rFonts w:ascii="宋体" w:eastAsia="宋体" w:hAnsi="宋体" w:cs="宋体"/>
                <w:sz w:val="18"/>
                <w:szCs w:val="18"/>
              </w:rPr>
              <w:lastRenderedPageBreak/>
              <w:t>6,971.24</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153,096,</w:t>
            </w:r>
            <w:r>
              <w:rPr>
                <w:rFonts w:ascii="宋体" w:eastAsia="宋体" w:hAnsi="宋体" w:cs="宋体"/>
                <w:sz w:val="18"/>
                <w:szCs w:val="18"/>
              </w:rPr>
              <w:lastRenderedPageBreak/>
              <w:t>733.44</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-47,9</w:t>
            </w:r>
            <w:r>
              <w:rPr>
                <w:rFonts w:ascii="宋体" w:eastAsia="宋体" w:hAnsi="宋体" w:cs="宋体"/>
                <w:sz w:val="18"/>
                <w:szCs w:val="18"/>
              </w:rPr>
              <w:lastRenderedPageBreak/>
              <w:t>77,969.66</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36,729,8</w:t>
            </w:r>
            <w:r>
              <w:rPr>
                <w:rFonts w:ascii="宋体" w:eastAsia="宋体" w:hAnsi="宋体" w:cs="宋体"/>
                <w:sz w:val="18"/>
                <w:szCs w:val="18"/>
              </w:rPr>
              <w:lastRenderedPageBreak/>
              <w:t>49.93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30,052,2</w:t>
            </w:r>
            <w:r>
              <w:rPr>
                <w:rFonts w:ascii="宋体" w:eastAsia="宋体" w:hAnsi="宋体" w:cs="宋体"/>
                <w:sz w:val="18"/>
                <w:szCs w:val="18"/>
              </w:rPr>
              <w:lastRenderedPageBreak/>
              <w:t>30.56</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w:t>
            </w:r>
            <w:r>
              <w:rPr>
                <w:rFonts w:ascii="宋体" w:eastAsia="宋体" w:hAnsi="宋体" w:cs="宋体"/>
                <w:sz w:val="18"/>
                <w:szCs w:val="18"/>
              </w:rPr>
              <w:lastRenderedPageBreak/>
              <w:t>879,593.85</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-194,</w:t>
            </w:r>
            <w:r>
              <w:rPr>
                <w:rFonts w:ascii="宋体" w:eastAsia="宋体" w:hAnsi="宋体" w:cs="宋体"/>
                <w:sz w:val="18"/>
                <w:szCs w:val="18"/>
              </w:rPr>
              <w:lastRenderedPageBreak/>
              <w:t>031,843.57</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-330,</w:t>
            </w:r>
            <w:r>
              <w:rPr>
                <w:rFonts w:ascii="宋体" w:eastAsia="宋体" w:hAnsi="宋体" w:cs="宋体"/>
                <w:sz w:val="18"/>
                <w:szCs w:val="18"/>
              </w:rPr>
              <w:lastRenderedPageBreak/>
              <w:t>911,437.42</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（一）综合收益总额</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-47,977,969.66</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66,782,080.49</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18,804,110.83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2,321,479.49</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21,125,590.32</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-119,819,633.67</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-272,916,367.11</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-119,819,633.67</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-272,916,367.11</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36,729,849.93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-36,729,849.93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-76,533,689.39</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-76,533,689.39</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1．提取</w:t>
            </w:r>
            <w:r>
              <w:rPr>
                <w:rFonts w:ascii="宋体" w:eastAsia="宋体" w:hAnsi="宋体" w:cs="宋体"/>
                <w:sz w:val="18"/>
                <w:szCs w:val="18"/>
              </w:rPr>
              <w:lastRenderedPageBreak/>
              <w:t>盈余公积</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36,729,849.9</w:t>
            </w:r>
            <w:r>
              <w:rPr>
                <w:rFonts w:ascii="宋体" w:eastAsia="宋体" w:hAnsi="宋体" w:cs="宋体"/>
                <w:sz w:val="18"/>
                <w:szCs w:val="18"/>
              </w:rPr>
              <w:lastRenderedPageBreak/>
              <w:t>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-36,729,8</w:t>
            </w:r>
            <w:r>
              <w:rPr>
                <w:rFonts w:ascii="宋体" w:eastAsia="宋体" w:hAnsi="宋体" w:cs="宋体"/>
                <w:sz w:val="18"/>
                <w:szCs w:val="18"/>
              </w:rPr>
              <w:lastRenderedPageBreak/>
              <w:t>49.93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2．提取一般风险准备</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3．对所有者（或股东）的分配</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-76,533,689.39</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-76,533,689.39</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-2,586,971.24</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-2,586,971.24</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-2,586,971.24</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lastRenderedPageBreak/>
              <w:t>其他综合收益结转留存收益</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6．其他</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-2,586,971.24</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-2,586,971.24</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-2,586,971.24</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2,738,348,953.80</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200,071,093.36</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-96,153,506.00</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339,467,737.72</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1,674,292,092.74</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6,156,565,539.90</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291,949,555.56</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6,448,515,095.46</w:t>
            </w:r>
          </w:p>
        </w:tc>
      </w:tr>
    </w:tbl>
    <w:p w:rsidR="000D58D8" w:rsidRDefault="000F627F">
      <w:pPr>
        <w:spacing w:line="240" w:lineRule="exact"/>
        <w:rPr>
          <w:rFonts w:ascii="宋体" w:eastAsia="宋体" w:hAnsi="宋体" w:cs="宋体"/>
          <w:sz w:val="18"/>
          <w:szCs w:val="18"/>
        </w:rPr>
      </w:pPr>
      <w:r>
        <w:rPr>
          <w:rFonts w:ascii="宋体" w:eastAsia="宋体" w:hAnsi="宋体" w:cs="宋体"/>
          <w:sz w:val="18"/>
          <w:szCs w:val="18"/>
        </w:rPr>
        <w:t>上期金额</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2"/>
        <w:gridCol w:w="602"/>
        <w:gridCol w:w="602"/>
        <w:gridCol w:w="602"/>
        <w:gridCol w:w="603"/>
        <w:gridCol w:w="602"/>
        <w:gridCol w:w="602"/>
        <w:gridCol w:w="602"/>
        <w:gridCol w:w="602"/>
        <w:gridCol w:w="602"/>
        <w:gridCol w:w="602"/>
        <w:gridCol w:w="602"/>
        <w:gridCol w:w="602"/>
        <w:gridCol w:w="607"/>
        <w:gridCol w:w="602"/>
        <w:gridCol w:w="603"/>
      </w:tblGrid>
      <w:tr w:rsidR="000D58D8">
        <w:trPr>
          <w:trHeight w:val="240"/>
        </w:trPr>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9037"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2022年度</w:t>
            </w:r>
          </w:p>
        </w:tc>
      </w:tr>
      <w:tr w:rsidR="000D58D8">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832"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少数股东权益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0D58D8">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807"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2,771,248,631.27</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-52,730,766.82</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255,624,670.66</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2,334,373,314.01</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7,009,197,204.12</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519,171,926.70</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7,528,369,130.82</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w:t>
            </w:r>
            <w:r>
              <w:rPr>
                <w:rFonts w:ascii="宋体" w:eastAsia="宋体" w:hAnsi="宋体" w:cs="宋体"/>
                <w:sz w:val="18"/>
                <w:szCs w:val="18"/>
              </w:rPr>
              <w:lastRenderedPageBreak/>
              <w:t>本年期初余额</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1,70</w:t>
            </w:r>
            <w:r>
              <w:rPr>
                <w:rFonts w:ascii="宋体" w:eastAsia="宋体" w:hAnsi="宋体" w:cs="宋体"/>
                <w:sz w:val="18"/>
                <w:szCs w:val="18"/>
              </w:rPr>
              <w:lastRenderedPageBreak/>
              <w:t>0,681,355.00</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2,77</w:t>
            </w:r>
            <w:r>
              <w:rPr>
                <w:rFonts w:ascii="宋体" w:eastAsia="宋体" w:hAnsi="宋体" w:cs="宋体"/>
                <w:sz w:val="18"/>
                <w:szCs w:val="18"/>
              </w:rPr>
              <w:lastRenderedPageBreak/>
              <w:t>1,248,631.27</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lastRenderedPageBreak/>
              <w:t>52,730,766.82</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255,</w:t>
            </w:r>
            <w:r>
              <w:rPr>
                <w:rFonts w:ascii="宋体" w:eastAsia="宋体" w:hAnsi="宋体" w:cs="宋体"/>
                <w:sz w:val="18"/>
                <w:szCs w:val="18"/>
              </w:rPr>
              <w:lastRenderedPageBreak/>
              <w:t>624,670.66</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2,33</w:t>
            </w:r>
            <w:r>
              <w:rPr>
                <w:rFonts w:ascii="宋体" w:eastAsia="宋体" w:hAnsi="宋体" w:cs="宋体"/>
                <w:sz w:val="18"/>
                <w:szCs w:val="18"/>
              </w:rPr>
              <w:lastRenderedPageBreak/>
              <w:t>4,373,314.01</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7,00</w:t>
            </w:r>
            <w:r>
              <w:rPr>
                <w:rFonts w:ascii="宋体" w:eastAsia="宋体" w:hAnsi="宋体" w:cs="宋体"/>
                <w:sz w:val="18"/>
                <w:szCs w:val="18"/>
              </w:rPr>
              <w:lastRenderedPageBreak/>
              <w:t>9,197,204.12</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519,</w:t>
            </w:r>
            <w:r>
              <w:rPr>
                <w:rFonts w:ascii="宋体" w:eastAsia="宋体" w:hAnsi="宋体" w:cs="宋体"/>
                <w:sz w:val="18"/>
                <w:szCs w:val="18"/>
              </w:rPr>
              <w:lastRenderedPageBreak/>
              <w:t>171,926.70</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7,52</w:t>
            </w:r>
            <w:r>
              <w:rPr>
                <w:rFonts w:ascii="宋体" w:eastAsia="宋体" w:hAnsi="宋体" w:cs="宋体"/>
                <w:sz w:val="18"/>
                <w:szCs w:val="18"/>
              </w:rPr>
              <w:lastRenderedPageBreak/>
              <w:t>8,369,130.82</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三、本期增减变动金额（减少以“－”号填列）</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-30,312,706.23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4,555,230.48</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47,113,217.13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-690,133,451.83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-715,752,070.37</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-33,190,527.57</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-748,942,597.94</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4,555,230.48</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-350,313,894.56</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-345,758,664.08</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-14,257,710.36</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-360,016,374.44</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-30,312,706.23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-77,287,066.15</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-18,932,817.21</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-96,219,883.36</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-30,312,706.23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-77,287,066.15</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-18,932,817.21</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-96,219,883.36</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（三</w:t>
            </w:r>
            <w:r>
              <w:rPr>
                <w:rFonts w:ascii="宋体" w:eastAsia="宋体" w:hAnsi="宋体" w:cs="宋体"/>
                <w:sz w:val="18"/>
                <w:szCs w:val="18"/>
              </w:rPr>
              <w:lastRenderedPageBreak/>
              <w:t>）利润分配</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47,1</w:t>
            </w:r>
            <w:r>
              <w:rPr>
                <w:rFonts w:ascii="宋体" w:eastAsia="宋体" w:hAnsi="宋体" w:cs="宋体"/>
                <w:sz w:val="18"/>
                <w:szCs w:val="18"/>
              </w:rPr>
              <w:lastRenderedPageBreak/>
              <w:t>13,217.13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lastRenderedPageBreak/>
              <w:t>350,891,433.03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lastRenderedPageBreak/>
              <w:t>303,778,215.90</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lastRenderedPageBreak/>
              <w:t>303,778,215.90</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1．提取盈余公积</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47,113,217.13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-47,113,217.13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2．提取一般风险准备</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3．对所有者（或股东）的分配</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-303,778,215.90</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-303,778,215.90</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-303,778,215.90</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4．设定受益计划</w:t>
            </w:r>
            <w:r>
              <w:rPr>
                <w:rFonts w:ascii="宋体" w:eastAsia="宋体" w:hAnsi="宋体" w:cs="宋体"/>
                <w:sz w:val="18"/>
                <w:szCs w:val="18"/>
              </w:rPr>
              <w:lastRenderedPageBreak/>
              <w:t>变动额结转留存收益</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5．其他综合收益结转留存收益</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11,071,875.76</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11,071,875.76</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11,071,875.76</w:t>
            </w:r>
          </w:p>
        </w:tc>
      </w:tr>
      <w:tr w:rsidR="000D58D8">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2,740,935,925.04</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-48,175,536.34</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302,737,887.79</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1,644,239,862.18</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6,293,445,133.75</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485,981,399.13</w:t>
            </w:r>
          </w:p>
        </w:tc>
        <w:tc>
          <w:tcPr>
            <w:tcW w:w="60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6,779,426,532.88</w:t>
            </w:r>
          </w:p>
        </w:tc>
      </w:tr>
    </w:tbl>
    <w:p w:rsidR="000D58D8" w:rsidRDefault="000F627F">
      <w:pPr>
        <w:pStyle w:val="3"/>
        <w:spacing w:line="280" w:lineRule="exact"/>
        <w:jc w:val="left"/>
        <w:rPr>
          <w:rFonts w:ascii="宋体" w:hAnsi="宋体" w:cs="宋体"/>
          <w:b/>
          <w:bCs/>
        </w:rPr>
      </w:pPr>
      <w:bookmarkStart w:id="171" w:name="_Toc989059"/>
      <w:r>
        <w:rPr>
          <w:rFonts w:ascii="宋体" w:hAnsi="宋体" w:cs="宋体"/>
          <w:b/>
          <w:bCs/>
        </w:rPr>
        <w:t>8、母公司所有者权益变动表</w:t>
      </w:r>
      <w:bookmarkEnd w:id="171"/>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本期金额</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1"/>
        <w:gridCol w:w="741"/>
        <w:gridCol w:w="741"/>
        <w:gridCol w:w="741"/>
        <w:gridCol w:w="742"/>
        <w:gridCol w:w="741"/>
        <w:gridCol w:w="741"/>
        <w:gridCol w:w="741"/>
        <w:gridCol w:w="741"/>
        <w:gridCol w:w="741"/>
        <w:gridCol w:w="741"/>
        <w:gridCol w:w="741"/>
        <w:gridCol w:w="746"/>
      </w:tblGrid>
      <w:tr w:rsidR="000D58D8">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898"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2023年度</w:t>
            </w:r>
          </w:p>
        </w:tc>
      </w:tr>
      <w:tr w:rsidR="000D58D8">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2224"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0D58D8">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15,469,238.85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271,142,449.26</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217,230,090.53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5,264,479,531.87</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lastRenderedPageBreak/>
              <w:t>前期差错更正</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15,469,238.85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271,142,449.26</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217,230,090.53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5,264,479,531.87</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-1,465,814.48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36,729,849.93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330,568,649.33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212,735,951.34</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-1,465,814.48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367,298,499.26</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365,832,684.78</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-153,096,733.44</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4．其</w:t>
            </w:r>
            <w:r>
              <w:rPr>
                <w:rFonts w:ascii="宋体" w:eastAsia="宋体" w:hAnsi="宋体" w:cs="宋体"/>
                <w:sz w:val="18"/>
                <w:szCs w:val="18"/>
              </w:rPr>
              <w:lastRenderedPageBreak/>
              <w:t>他</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153,0</w:t>
            </w:r>
            <w:r>
              <w:rPr>
                <w:rFonts w:ascii="宋体" w:eastAsia="宋体" w:hAnsi="宋体" w:cs="宋体"/>
                <w:sz w:val="18"/>
                <w:szCs w:val="18"/>
              </w:rPr>
              <w:lastRenderedPageBreak/>
              <w:t>96,733.44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lastRenderedPageBreak/>
              <w:t>153,096,733.44</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（三）利润分配</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36,729,849.93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-36,729,849.93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36,729,849.93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-36,729,849.93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2．对所有者（或股东）的分配</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3．其他</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w:t>
            </w:r>
            <w:r>
              <w:rPr>
                <w:rFonts w:ascii="宋体" w:eastAsia="宋体" w:hAnsi="宋体" w:cs="宋体"/>
                <w:sz w:val="18"/>
                <w:szCs w:val="18"/>
              </w:rPr>
              <w:lastRenderedPageBreak/>
              <w:t>收益</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5．其他综合收益结转留存收益</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200,071,093.36</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14,003,424.37</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307,872,299.19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547,798,739.86</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5,477,215,483.21</w:t>
            </w:r>
          </w:p>
        </w:tc>
      </w:tr>
    </w:tbl>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上期金额</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1"/>
        <w:gridCol w:w="741"/>
        <w:gridCol w:w="741"/>
        <w:gridCol w:w="741"/>
        <w:gridCol w:w="742"/>
        <w:gridCol w:w="741"/>
        <w:gridCol w:w="741"/>
        <w:gridCol w:w="741"/>
        <w:gridCol w:w="741"/>
        <w:gridCol w:w="741"/>
        <w:gridCol w:w="741"/>
        <w:gridCol w:w="741"/>
        <w:gridCol w:w="746"/>
      </w:tblGrid>
      <w:tr w:rsidR="000D58D8">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898"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2022年度</w:t>
            </w:r>
          </w:p>
        </w:tc>
      </w:tr>
      <w:tr w:rsidR="000D58D8">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2224"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0D58D8">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13,704,261.47</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224,029,232.13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96,989,352.24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5,142,334,958.99</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二、本年</w:t>
            </w:r>
            <w:r>
              <w:rPr>
                <w:rFonts w:ascii="宋体" w:eastAsia="宋体" w:hAnsi="宋体" w:cs="宋体"/>
                <w:sz w:val="18"/>
                <w:szCs w:val="18"/>
              </w:rPr>
              <w:lastRenderedPageBreak/>
              <w:t>期初余额</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1,700,681,355.0</w:t>
            </w:r>
            <w:r>
              <w:rPr>
                <w:rFonts w:ascii="宋体" w:eastAsia="宋体" w:hAnsi="宋体" w:cs="宋体"/>
                <w:sz w:val="18"/>
                <w:szCs w:val="18"/>
              </w:rPr>
              <w:lastRenderedPageBreak/>
              <w:t>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3,106,930,758.1</w:t>
            </w:r>
            <w:r>
              <w:rPr>
                <w:rFonts w:ascii="宋体" w:eastAsia="宋体" w:hAnsi="宋体" w:cs="宋体"/>
                <w:sz w:val="18"/>
                <w:szCs w:val="18"/>
              </w:rPr>
              <w:lastRenderedPageBreak/>
              <w:t>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13,704,261.47</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224,029,232.13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96,989,352.24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5,142,334,958.9</w:t>
            </w:r>
            <w:r>
              <w:rPr>
                <w:rFonts w:ascii="宋体" w:eastAsia="宋体" w:hAnsi="宋体" w:cs="宋体"/>
                <w:sz w:val="18"/>
                <w:szCs w:val="18"/>
              </w:rPr>
              <w:lastRenderedPageBreak/>
              <w:t>9</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三、本期增减变动金额（减少以“－”号填列）</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1,764,977.38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47,113,217.13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120,240,738.29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122,144,572.88</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1,764,977.38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471,132,171.32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472,897,148.70</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47,113,217.13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-350,891,433.03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-303,778,215.90</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1．提取盈</w:t>
            </w:r>
            <w:r>
              <w:rPr>
                <w:rFonts w:ascii="宋体" w:eastAsia="宋体" w:hAnsi="宋体" w:cs="宋体"/>
                <w:sz w:val="18"/>
                <w:szCs w:val="18"/>
              </w:rPr>
              <w:lastRenderedPageBreak/>
              <w:t>余公积</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47,113,217</w:t>
            </w:r>
            <w:r>
              <w:rPr>
                <w:rFonts w:ascii="宋体" w:eastAsia="宋体" w:hAnsi="宋体" w:cs="宋体"/>
                <w:sz w:val="18"/>
                <w:szCs w:val="18"/>
              </w:rPr>
              <w:lastRenderedPageBreak/>
              <w:t>.13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-47,11</w:t>
            </w:r>
            <w:r>
              <w:rPr>
                <w:rFonts w:ascii="宋体" w:eastAsia="宋体" w:hAnsi="宋体" w:cs="宋体"/>
                <w:sz w:val="18"/>
                <w:szCs w:val="18"/>
              </w:rPr>
              <w:lastRenderedPageBreak/>
              <w:t>3,217.13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2．对所有者（或股东）的分配</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-303,778,215.90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-303,778,215.90</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3．其他</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6．其他</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15,469,238.85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271,142,449.26</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217,230,090.53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5,264,479,531.87</w:t>
            </w:r>
          </w:p>
        </w:tc>
      </w:tr>
    </w:tbl>
    <w:p w:rsidR="000D58D8" w:rsidRDefault="000F627F">
      <w:pPr>
        <w:pStyle w:val="2"/>
        <w:spacing w:before="300" w:after="300" w:line="320" w:lineRule="exact"/>
        <w:rPr>
          <w:rFonts w:ascii="宋体" w:eastAsia="宋体" w:hAnsi="宋体" w:cs="宋体"/>
          <w:b/>
          <w:bCs/>
          <w:sz w:val="24"/>
          <w:szCs w:val="24"/>
        </w:rPr>
      </w:pPr>
      <w:bookmarkStart w:id="172" w:name="_Toc989060"/>
      <w:r>
        <w:rPr>
          <w:rFonts w:ascii="宋体" w:eastAsia="宋体" w:hAnsi="宋体" w:cs="宋体"/>
          <w:b/>
          <w:bCs/>
          <w:sz w:val="24"/>
          <w:szCs w:val="24"/>
        </w:rPr>
        <w:t>三、公司基本情况</w:t>
      </w:r>
      <w:bookmarkEnd w:id="172"/>
    </w:p>
    <w:p w:rsidR="000F627F" w:rsidRDefault="000F627F" w:rsidP="007814F1">
      <w:pPr>
        <w:widowControl/>
        <w:spacing w:before="100" w:beforeAutospacing="1" w:after="100" w:afterAutospacing="1"/>
        <w:divId w:val="807670901"/>
        <w:rPr>
          <w:sz w:val="18"/>
          <w:szCs w:val="18"/>
        </w:rPr>
      </w:pPr>
      <w:r>
        <w:rPr>
          <w:rFonts w:hint="eastAsia"/>
          <w:sz w:val="18"/>
          <w:szCs w:val="18"/>
        </w:rPr>
        <w:t>公司注册地、组织形式和总部地址</w:t>
      </w:r>
    </w:p>
    <w:p w:rsidR="000F627F" w:rsidRDefault="000F627F">
      <w:pPr>
        <w:pStyle w:val="a3"/>
        <w:spacing w:before="0" w:beforeAutospacing="0" w:after="0" w:afterAutospacing="0" w:line="360" w:lineRule="auto"/>
        <w:ind w:firstLine="420"/>
        <w:jc w:val="both"/>
        <w:divId w:val="807670901"/>
        <w:rPr>
          <w:sz w:val="21"/>
          <w:szCs w:val="21"/>
        </w:rPr>
      </w:pPr>
      <w:r>
        <w:rPr>
          <w:rFonts w:hint="eastAsia"/>
          <w:sz w:val="18"/>
          <w:szCs w:val="18"/>
        </w:rPr>
        <w:t>华孚时尚股份有限公司（以下简称“公司”或“本公司”）前身系于2000年10月经安徽省体改委【皖体改函[2000]79号】、安徽省人民政府【皖府股字[2000]第37号】文批准，由安徽飞亚纺织集团有限公司(以下简称“飞亚集团”)作为主发起人，联合上海东华大学科技园发展有限公司、淮北印染集团公司、上海市纺织科学研究院、安徽省国有资产运营有限公司、淮北市国有资产运营有限公司等五家企业共同发起，采用募集方式设立的股份有限公司。并于2000 年10 月31 日在安徽省工商行政管理局登记注册，注册资本为6,000.00万元。根据本公司2003 年第一次临时股东大会决议，并经中国证券监督管理委员会证</w:t>
      </w:r>
      <w:proofErr w:type="gramStart"/>
      <w:r>
        <w:rPr>
          <w:rFonts w:hint="eastAsia"/>
          <w:sz w:val="18"/>
          <w:szCs w:val="18"/>
        </w:rPr>
        <w:t>监发行字</w:t>
      </w:r>
      <w:proofErr w:type="gramEnd"/>
      <w:r>
        <w:rPr>
          <w:rFonts w:hint="eastAsia"/>
          <w:sz w:val="18"/>
          <w:szCs w:val="18"/>
        </w:rPr>
        <w:t>[2005]9号文核准，本公司于2005 年4 月向社会公众公开发行股票4,000万股，2005年4 月27日在深圳证券交易所挂牌上市。</w:t>
      </w:r>
    </w:p>
    <w:p w:rsidR="000F627F" w:rsidRDefault="000F627F">
      <w:pPr>
        <w:pStyle w:val="a3"/>
        <w:spacing w:before="0" w:beforeAutospacing="0" w:after="0" w:afterAutospacing="0" w:line="360" w:lineRule="auto"/>
        <w:ind w:firstLine="420"/>
        <w:jc w:val="both"/>
        <w:divId w:val="807670901"/>
        <w:rPr>
          <w:sz w:val="21"/>
          <w:szCs w:val="21"/>
        </w:rPr>
      </w:pPr>
      <w:r>
        <w:rPr>
          <w:rFonts w:hint="eastAsia"/>
          <w:sz w:val="18"/>
          <w:szCs w:val="18"/>
        </w:rPr>
        <w:t>2008年1月22日淮北市人民政府国有资产监督管理委员会与华孚控股有限公司(以下简称“华孚控股”)</w:t>
      </w:r>
      <w:proofErr w:type="gramStart"/>
      <w:r>
        <w:rPr>
          <w:rFonts w:hint="eastAsia"/>
          <w:sz w:val="18"/>
          <w:szCs w:val="18"/>
        </w:rPr>
        <w:t>签定</w:t>
      </w:r>
      <w:proofErr w:type="gramEnd"/>
      <w:r>
        <w:rPr>
          <w:rFonts w:hint="eastAsia"/>
          <w:sz w:val="18"/>
          <w:szCs w:val="18"/>
        </w:rPr>
        <w:t>《产权交易合同》，华孚控股拟收购淮北市人民政府国有资产监督管理委员会持有的飞亚集团100%的股权，飞亚集团持有本公司40.55%的股权。</w:t>
      </w:r>
    </w:p>
    <w:p w:rsidR="000F627F" w:rsidRDefault="000F627F">
      <w:pPr>
        <w:pStyle w:val="a3"/>
        <w:spacing w:before="0" w:beforeAutospacing="0" w:after="0" w:afterAutospacing="0" w:line="360" w:lineRule="auto"/>
        <w:ind w:firstLine="420"/>
        <w:jc w:val="both"/>
        <w:divId w:val="807670901"/>
        <w:rPr>
          <w:sz w:val="21"/>
          <w:szCs w:val="21"/>
        </w:rPr>
      </w:pPr>
      <w:r>
        <w:rPr>
          <w:rFonts w:hint="eastAsia"/>
          <w:sz w:val="18"/>
          <w:szCs w:val="18"/>
        </w:rPr>
        <w:t>上述转让经2008年4月6日国务院国有资产监督管理委员会国资产权［2008］357号《关于安徽飞亚纺织发展股份有限公司间接转让涉及的国有股东性质变更有关问题的批复》以及2008年6月27日中国证券监督管理委员会证监许可［2008］849号《关于核准华孚控股有限公司公告安徽飞亚纺织发展股份有限公司收购报告书的批复》批准。2008年12月10日完成工商变更登记手续，飞亚集团变更为华孚控股全资子公司。</w:t>
      </w:r>
    </w:p>
    <w:p w:rsidR="000F627F" w:rsidRDefault="000F627F">
      <w:pPr>
        <w:pStyle w:val="a3"/>
        <w:spacing w:before="0" w:beforeAutospacing="0" w:after="0" w:afterAutospacing="0" w:line="360" w:lineRule="auto"/>
        <w:ind w:firstLine="420"/>
        <w:jc w:val="both"/>
        <w:divId w:val="807670901"/>
        <w:rPr>
          <w:sz w:val="21"/>
          <w:szCs w:val="21"/>
        </w:rPr>
      </w:pPr>
      <w:r>
        <w:rPr>
          <w:rFonts w:hint="eastAsia"/>
          <w:sz w:val="18"/>
          <w:szCs w:val="18"/>
        </w:rPr>
        <w:lastRenderedPageBreak/>
        <w:t>2008年1月30日，飞亚集团分别与受让方廖煜、赵伟光和陈敏签署了股权转让协议。飞亚集团以协议转让方式分别向廖煜、赵伟光和陈敏转让499万股本公司股权，合计转让1,497万股权，占本公司总股本的14.97%。飞亚集团减持后持有本公司2,557.91万股，占总股本的25.58%，该转让于2008年12月3日完成股权过户手续。</w:t>
      </w:r>
    </w:p>
    <w:p w:rsidR="000F627F" w:rsidRDefault="000F627F">
      <w:pPr>
        <w:pStyle w:val="a3"/>
        <w:spacing w:before="0" w:beforeAutospacing="0" w:after="0" w:afterAutospacing="0" w:line="360" w:lineRule="auto"/>
        <w:ind w:firstLine="420"/>
        <w:jc w:val="both"/>
        <w:divId w:val="807670901"/>
        <w:rPr>
          <w:sz w:val="21"/>
          <w:szCs w:val="21"/>
        </w:rPr>
      </w:pPr>
      <w:r>
        <w:rPr>
          <w:rFonts w:hint="eastAsia"/>
          <w:sz w:val="18"/>
          <w:szCs w:val="18"/>
        </w:rPr>
        <w:t>本公司2008年5月15日与华孚控股、深圳市华人投资有限公司及朱翠云、宋江、顾振华、潘金平、齐昌玮、张小荷、项小岳、王斌签署了《非公开发行股份与资产购买协议书》，并经2008年第三届董事会第三次会议决议、2008年第二次临时股东大会决议通过，本公司以通过非公开发行13,511.10万股普通股为对价，认购华孚控股、深圳市华人投资有限公司及朱翠云、宋江、顾振华、潘金平、齐昌玮、张小荷、项小岳、王斌八位自然人合计持有的深圳市华孚进出口有限公司100%股权；认购华孚控股持有的江西华孚色纺有限公司40%股权、持有的浙江缙云华孚纺织有限公司29.70%股权以及持有的浙江金棉纺织有限公司37.50%股权(以下简称“标的资产”)。</w:t>
      </w:r>
    </w:p>
    <w:p w:rsidR="000F627F" w:rsidRDefault="000F627F">
      <w:pPr>
        <w:pStyle w:val="a3"/>
        <w:spacing w:before="0" w:beforeAutospacing="0" w:after="0" w:afterAutospacing="0" w:line="360" w:lineRule="auto"/>
        <w:ind w:firstLine="420"/>
        <w:jc w:val="both"/>
        <w:divId w:val="807670901"/>
        <w:rPr>
          <w:sz w:val="21"/>
          <w:szCs w:val="21"/>
        </w:rPr>
      </w:pPr>
      <w:r>
        <w:rPr>
          <w:rFonts w:hint="eastAsia"/>
          <w:sz w:val="18"/>
          <w:szCs w:val="18"/>
        </w:rPr>
        <w:t>2008年12月29日，根据中国证券监督管理委员会上市公司并购重组审核委员会审核结果，本公司发行股份购买资产暨关联交易获得有条件通过。</w:t>
      </w:r>
    </w:p>
    <w:p w:rsidR="000F627F" w:rsidRDefault="000F627F">
      <w:pPr>
        <w:pStyle w:val="a3"/>
        <w:spacing w:before="0" w:beforeAutospacing="0" w:after="0" w:afterAutospacing="0" w:line="360" w:lineRule="auto"/>
        <w:ind w:firstLine="420"/>
        <w:jc w:val="both"/>
        <w:divId w:val="807670901"/>
        <w:rPr>
          <w:sz w:val="21"/>
          <w:szCs w:val="21"/>
        </w:rPr>
      </w:pPr>
      <w:r>
        <w:rPr>
          <w:rFonts w:hint="eastAsia"/>
          <w:sz w:val="18"/>
          <w:szCs w:val="18"/>
        </w:rPr>
        <w:t>2008年12月31日，本公司召开2008年第四次临时股东大会，决议通过《关于变更公司注册名称的议案》，本公司注册名称拟由“安徽飞亚纺织发展股份有限公司”变更为“安徽华孚色纺股份有限公司”，并于2009年1月5日完成工商变更登记手续。</w:t>
      </w:r>
    </w:p>
    <w:p w:rsidR="000F627F" w:rsidRDefault="000F627F">
      <w:pPr>
        <w:pStyle w:val="a3"/>
        <w:spacing w:before="0" w:beforeAutospacing="0" w:after="0" w:afterAutospacing="0" w:line="360" w:lineRule="auto"/>
        <w:ind w:firstLine="420"/>
        <w:jc w:val="both"/>
        <w:divId w:val="807670901"/>
        <w:rPr>
          <w:sz w:val="21"/>
          <w:szCs w:val="21"/>
        </w:rPr>
      </w:pPr>
      <w:r>
        <w:rPr>
          <w:rFonts w:hint="eastAsia"/>
          <w:sz w:val="18"/>
          <w:szCs w:val="18"/>
        </w:rPr>
        <w:t>2009年3月19日，本公司召开2008年度股东大会，决议通过《关于变更公司注册名称的议案》，本公司注册名称拟由“安徽华孚色纺股份有限公司”变更为“华孚色纺股份有限公司”。</w:t>
      </w:r>
    </w:p>
    <w:p w:rsidR="000F627F" w:rsidRDefault="000F627F">
      <w:pPr>
        <w:pStyle w:val="a3"/>
        <w:spacing w:before="0" w:beforeAutospacing="0" w:after="0" w:afterAutospacing="0" w:line="360" w:lineRule="auto"/>
        <w:ind w:firstLine="420"/>
        <w:jc w:val="both"/>
        <w:divId w:val="807670901"/>
        <w:rPr>
          <w:sz w:val="21"/>
          <w:szCs w:val="21"/>
        </w:rPr>
      </w:pPr>
      <w:r>
        <w:rPr>
          <w:rFonts w:hint="eastAsia"/>
          <w:sz w:val="18"/>
          <w:szCs w:val="18"/>
        </w:rPr>
        <w:t>本公司2017年8月23日召开第六届董事会第八次会议、2017年9月12日召开2017年第二次临时股东大会审议通过了《关于拟变更公司名称、证券简称及修订〈公司章程〉的议案》，公司名称由华孚色纺股份有限公司变更为华孚时尚股份有限公司，现持有统一社会信用代码为9134060072553187XK的营业执照。</w:t>
      </w:r>
    </w:p>
    <w:p w:rsidR="000F627F" w:rsidRDefault="000F627F">
      <w:pPr>
        <w:pStyle w:val="a3"/>
        <w:spacing w:before="0" w:beforeAutospacing="0" w:after="0" w:afterAutospacing="0" w:line="360" w:lineRule="auto"/>
        <w:ind w:firstLine="420"/>
        <w:jc w:val="both"/>
        <w:divId w:val="807670901"/>
        <w:rPr>
          <w:sz w:val="21"/>
          <w:szCs w:val="21"/>
        </w:rPr>
      </w:pPr>
      <w:r>
        <w:rPr>
          <w:rFonts w:hint="eastAsia"/>
          <w:sz w:val="18"/>
          <w:szCs w:val="18"/>
        </w:rPr>
        <w:t>经过历年的派送红股、配售新股、转增股本及增发新股，截止2023年12月31日，本公司累计发行股本总数170,068.1355万股，注册资本为170,068.1355万元，注册地址：淮北经济开发区新区石山路6号，总部地址：广东省深圳市福田区</w:t>
      </w:r>
      <w:proofErr w:type="gramStart"/>
      <w:r>
        <w:rPr>
          <w:rFonts w:hint="eastAsia"/>
          <w:sz w:val="18"/>
          <w:szCs w:val="18"/>
        </w:rPr>
        <w:t>市花路</w:t>
      </w:r>
      <w:proofErr w:type="gramEnd"/>
      <w:r>
        <w:rPr>
          <w:rFonts w:hint="eastAsia"/>
          <w:sz w:val="18"/>
          <w:szCs w:val="18"/>
        </w:rPr>
        <w:t>5号</w:t>
      </w:r>
      <w:proofErr w:type="gramStart"/>
      <w:r>
        <w:rPr>
          <w:rFonts w:hint="eastAsia"/>
          <w:sz w:val="18"/>
          <w:szCs w:val="18"/>
        </w:rPr>
        <w:t>长富金茂</w:t>
      </w:r>
      <w:proofErr w:type="gramEnd"/>
      <w:r>
        <w:rPr>
          <w:rFonts w:hint="eastAsia"/>
          <w:sz w:val="18"/>
          <w:szCs w:val="18"/>
        </w:rPr>
        <w:t>大厦59楼，母公司为华孚控股有限公司，最终实际控制人为孙伟挺、陈玲芬。</w:t>
      </w:r>
    </w:p>
    <w:p w:rsidR="000F627F" w:rsidRDefault="000F627F" w:rsidP="007814F1">
      <w:pPr>
        <w:widowControl/>
        <w:spacing w:before="100" w:beforeAutospacing="1" w:after="100" w:afterAutospacing="1"/>
        <w:ind w:firstLineChars="300" w:firstLine="540"/>
        <w:divId w:val="807670901"/>
        <w:rPr>
          <w:sz w:val="18"/>
          <w:szCs w:val="18"/>
        </w:rPr>
      </w:pPr>
      <w:r>
        <w:rPr>
          <w:rFonts w:hint="eastAsia"/>
          <w:sz w:val="18"/>
          <w:szCs w:val="18"/>
        </w:rPr>
        <w:t>公司业务性质和主要经营活动</w:t>
      </w:r>
    </w:p>
    <w:p w:rsidR="000F627F" w:rsidRDefault="000F627F">
      <w:pPr>
        <w:pStyle w:val="a3"/>
        <w:spacing w:before="0" w:beforeAutospacing="0" w:after="0" w:afterAutospacing="0" w:line="360" w:lineRule="auto"/>
        <w:ind w:firstLine="420"/>
        <w:jc w:val="both"/>
        <w:divId w:val="807670901"/>
        <w:rPr>
          <w:rFonts w:ascii="Times New Roman" w:hAnsi="Times New Roman" w:cs="Times New Roman"/>
          <w:sz w:val="21"/>
          <w:szCs w:val="21"/>
        </w:rPr>
      </w:pPr>
      <w:r>
        <w:rPr>
          <w:rFonts w:cs="Times New Roman" w:hint="eastAsia"/>
          <w:sz w:val="18"/>
          <w:szCs w:val="18"/>
        </w:rPr>
        <w:t>本公司属纺织行业，主要经营活动：纱线的研发、生产、销售；棉花的采购、加工、销售；</w:t>
      </w:r>
      <w:proofErr w:type="gramStart"/>
      <w:r>
        <w:rPr>
          <w:rFonts w:cs="Times New Roman" w:hint="eastAsia"/>
          <w:sz w:val="18"/>
          <w:szCs w:val="18"/>
        </w:rPr>
        <w:t>袜</w:t>
      </w:r>
      <w:proofErr w:type="gramEnd"/>
      <w:r>
        <w:rPr>
          <w:rFonts w:cs="Times New Roman" w:hint="eastAsia"/>
          <w:sz w:val="18"/>
          <w:szCs w:val="18"/>
        </w:rPr>
        <w:t>制品设计、生产、销售等。</w:t>
      </w:r>
    </w:p>
    <w:p w:rsidR="000F627F" w:rsidRDefault="000F627F" w:rsidP="007814F1">
      <w:pPr>
        <w:widowControl/>
        <w:spacing w:before="100" w:beforeAutospacing="1" w:after="100" w:afterAutospacing="1"/>
        <w:ind w:firstLineChars="300" w:firstLine="540"/>
        <w:jc w:val="both"/>
        <w:divId w:val="807670901"/>
        <w:rPr>
          <w:sz w:val="18"/>
          <w:szCs w:val="18"/>
        </w:rPr>
      </w:pPr>
      <w:r>
        <w:rPr>
          <w:rFonts w:hint="eastAsia"/>
          <w:sz w:val="18"/>
          <w:szCs w:val="18"/>
        </w:rPr>
        <w:t>合并财务报表范围</w:t>
      </w:r>
    </w:p>
    <w:p w:rsidR="000F627F" w:rsidRPr="007814F1" w:rsidRDefault="000F627F" w:rsidP="007814F1">
      <w:pPr>
        <w:pStyle w:val="a3"/>
        <w:spacing w:before="0" w:beforeAutospacing="0" w:after="0" w:afterAutospacing="0" w:line="360" w:lineRule="auto"/>
        <w:ind w:firstLine="420"/>
        <w:jc w:val="both"/>
        <w:divId w:val="807670901"/>
        <w:rPr>
          <w:rFonts w:ascii="Times New Roman" w:hAnsi="Times New Roman" w:cs="Times New Roman"/>
          <w:sz w:val="21"/>
          <w:szCs w:val="21"/>
        </w:rPr>
      </w:pPr>
      <w:r>
        <w:rPr>
          <w:rFonts w:cs="Times New Roman" w:hint="eastAsia"/>
          <w:sz w:val="18"/>
          <w:szCs w:val="18"/>
        </w:rPr>
        <w:t>本公司本期纳入合并范围的子公司共</w:t>
      </w:r>
      <w:r>
        <w:rPr>
          <w:rFonts w:ascii="Times New Roman" w:hAnsi="Times New Roman" w:cs="Times New Roman"/>
          <w:sz w:val="18"/>
          <w:szCs w:val="18"/>
        </w:rPr>
        <w:t>85</w:t>
      </w:r>
      <w:r>
        <w:rPr>
          <w:rFonts w:cs="Times New Roman" w:hint="eastAsia"/>
          <w:sz w:val="18"/>
          <w:szCs w:val="18"/>
        </w:rPr>
        <w:t>户，详见附注七、在其他主体中的权益。本期纳入合并财务报表范围的主体较上期相比，增加</w:t>
      </w:r>
      <w:r>
        <w:rPr>
          <w:rFonts w:ascii="Times New Roman" w:hAnsi="Times New Roman" w:cs="Times New Roman"/>
          <w:sz w:val="18"/>
          <w:szCs w:val="18"/>
        </w:rPr>
        <w:t>15</w:t>
      </w:r>
      <w:r>
        <w:rPr>
          <w:rFonts w:cs="Times New Roman" w:hint="eastAsia"/>
          <w:sz w:val="18"/>
          <w:szCs w:val="18"/>
        </w:rPr>
        <w:t>户，减少</w:t>
      </w:r>
      <w:r>
        <w:rPr>
          <w:rFonts w:ascii="Times New Roman" w:hAnsi="Times New Roman" w:cs="Times New Roman"/>
          <w:sz w:val="18"/>
          <w:szCs w:val="18"/>
        </w:rPr>
        <w:t>23</w:t>
      </w:r>
      <w:r>
        <w:rPr>
          <w:rFonts w:cs="Times New Roman" w:hint="eastAsia"/>
          <w:sz w:val="18"/>
          <w:szCs w:val="18"/>
        </w:rPr>
        <w:t>户，</w:t>
      </w:r>
      <w:r>
        <w:rPr>
          <w:rStyle w:val="1char"/>
          <w:rFonts w:ascii="Times New Roman" w:hAnsi="Times New Roman" w:cs="Times New Roman"/>
          <w:sz w:val="18"/>
          <w:szCs w:val="18"/>
        </w:rPr>
        <w:t>合并范围变更主体的具体信息详见附注六、合并范围的变更。</w:t>
      </w:r>
    </w:p>
    <w:p w:rsidR="000F627F" w:rsidRDefault="000F627F" w:rsidP="007814F1">
      <w:pPr>
        <w:widowControl/>
        <w:spacing w:before="100" w:beforeAutospacing="1" w:after="100" w:afterAutospacing="1"/>
        <w:ind w:firstLineChars="300" w:firstLine="540"/>
        <w:divId w:val="807670901"/>
        <w:rPr>
          <w:sz w:val="18"/>
          <w:szCs w:val="18"/>
        </w:rPr>
      </w:pPr>
      <w:r>
        <w:rPr>
          <w:rFonts w:hint="eastAsia"/>
          <w:sz w:val="18"/>
          <w:szCs w:val="18"/>
        </w:rPr>
        <w:lastRenderedPageBreak/>
        <w:t>财务报表的批准报出</w:t>
      </w:r>
    </w:p>
    <w:p w:rsidR="000F627F" w:rsidRDefault="000F627F">
      <w:pPr>
        <w:pStyle w:val="a3"/>
        <w:spacing w:before="0" w:beforeAutospacing="0" w:after="0" w:afterAutospacing="0" w:line="360" w:lineRule="auto"/>
        <w:ind w:firstLine="420"/>
        <w:jc w:val="both"/>
        <w:divId w:val="807670901"/>
        <w:rPr>
          <w:sz w:val="21"/>
          <w:szCs w:val="21"/>
        </w:rPr>
      </w:pPr>
      <w:r>
        <w:rPr>
          <w:rFonts w:hint="eastAsia"/>
          <w:sz w:val="18"/>
          <w:szCs w:val="18"/>
        </w:rPr>
        <w:t>本财务报表业经公司董事会于2024年4月25日批准报出。</w:t>
      </w:r>
    </w:p>
    <w:p w:rsidR="000D58D8" w:rsidRDefault="000F627F">
      <w:pPr>
        <w:pStyle w:val="2"/>
        <w:spacing w:before="300" w:after="300" w:line="320" w:lineRule="exact"/>
        <w:rPr>
          <w:rFonts w:ascii="宋体" w:eastAsia="宋体" w:hAnsi="宋体" w:cs="宋体"/>
          <w:b/>
          <w:bCs/>
          <w:sz w:val="24"/>
          <w:szCs w:val="24"/>
        </w:rPr>
      </w:pPr>
      <w:bookmarkStart w:id="173" w:name="_Toc989061"/>
      <w:r>
        <w:rPr>
          <w:rFonts w:ascii="宋体" w:eastAsia="宋体" w:hAnsi="宋体" w:cs="宋体"/>
          <w:b/>
          <w:bCs/>
          <w:sz w:val="24"/>
          <w:szCs w:val="24"/>
        </w:rPr>
        <w:t>四、财务报表的编制基础</w:t>
      </w:r>
      <w:bookmarkEnd w:id="173"/>
    </w:p>
    <w:p w:rsidR="000D58D8" w:rsidRDefault="000F627F">
      <w:pPr>
        <w:pStyle w:val="3"/>
        <w:spacing w:line="280" w:lineRule="exact"/>
        <w:jc w:val="left"/>
        <w:rPr>
          <w:rFonts w:ascii="宋体" w:hAnsi="宋体" w:cs="宋体"/>
          <w:b/>
          <w:bCs/>
        </w:rPr>
      </w:pPr>
      <w:bookmarkStart w:id="174" w:name="_Toc989062"/>
      <w:r>
        <w:rPr>
          <w:rFonts w:ascii="宋体" w:hAnsi="宋体" w:cs="宋体"/>
          <w:b/>
          <w:bCs/>
        </w:rPr>
        <w:t>1、编制基础</w:t>
      </w:r>
      <w:bookmarkEnd w:id="174"/>
    </w:p>
    <w:p w:rsidR="000F627F" w:rsidRDefault="000F627F">
      <w:pPr>
        <w:pStyle w:val="a3"/>
        <w:spacing w:before="0" w:beforeAutospacing="0" w:after="0" w:afterAutospacing="0" w:line="360" w:lineRule="auto"/>
        <w:ind w:firstLine="420"/>
        <w:jc w:val="both"/>
        <w:divId w:val="1202012971"/>
        <w:rPr>
          <w:sz w:val="21"/>
          <w:szCs w:val="21"/>
        </w:rPr>
      </w:pPr>
      <w:r>
        <w:rPr>
          <w:rFonts w:hint="eastAsia"/>
          <w:sz w:val="18"/>
          <w:szCs w:val="18"/>
        </w:rPr>
        <w:t>本公司根据实际发生的交易和事项，按照财政部颁布的《企业会计准则——基本准则》和具体企业会计准则、企业会计准则应用指南、企业会计准则解释及其他相关规定（以下合称“企业会计准则”）进行确认和计量，在此基础上，结合中国证券监督管理委员会《公开发行证券的公司信息披露编报规则第</w:t>
      </w:r>
      <w:r>
        <w:rPr>
          <w:rFonts w:ascii="Times New Roman" w:hAnsi="Times New Roman" w:cs="Times New Roman"/>
          <w:sz w:val="18"/>
          <w:szCs w:val="18"/>
        </w:rPr>
        <w:t>15</w:t>
      </w:r>
      <w:r>
        <w:rPr>
          <w:rFonts w:hint="eastAsia"/>
          <w:sz w:val="18"/>
          <w:szCs w:val="18"/>
        </w:rPr>
        <w:t>号——财务报告的一般规定》（</w:t>
      </w:r>
      <w:r>
        <w:rPr>
          <w:rFonts w:ascii="Times New Roman" w:hAnsi="Times New Roman" w:cs="Times New Roman"/>
          <w:sz w:val="18"/>
          <w:szCs w:val="18"/>
        </w:rPr>
        <w:t>2023</w:t>
      </w:r>
      <w:r>
        <w:rPr>
          <w:rFonts w:hint="eastAsia"/>
          <w:sz w:val="18"/>
          <w:szCs w:val="18"/>
        </w:rPr>
        <w:t>年修订）的规定，编制财务报表。</w:t>
      </w:r>
    </w:p>
    <w:p w:rsidR="000D58D8" w:rsidRDefault="000F627F">
      <w:pPr>
        <w:pStyle w:val="3"/>
        <w:spacing w:line="280" w:lineRule="exact"/>
        <w:jc w:val="left"/>
        <w:rPr>
          <w:rFonts w:ascii="宋体" w:hAnsi="宋体" w:cs="宋体"/>
          <w:b/>
          <w:bCs/>
        </w:rPr>
      </w:pPr>
      <w:bookmarkStart w:id="175" w:name="_Toc989063"/>
      <w:r>
        <w:rPr>
          <w:rFonts w:ascii="宋体" w:hAnsi="宋体" w:cs="宋体"/>
          <w:b/>
          <w:bCs/>
        </w:rPr>
        <w:t>2、持续经营</w:t>
      </w:r>
      <w:bookmarkEnd w:id="175"/>
    </w:p>
    <w:p w:rsidR="000F627F" w:rsidRDefault="000F627F">
      <w:pPr>
        <w:pStyle w:val="a3"/>
        <w:divId w:val="1952742038"/>
        <w:rPr>
          <w:sz w:val="18"/>
          <w:szCs w:val="18"/>
        </w:rPr>
      </w:pPr>
      <w:r w:rsidRPr="007814F1">
        <w:rPr>
          <w:rFonts w:hint="eastAsia"/>
          <w:sz w:val="18"/>
          <w:szCs w:val="18"/>
        </w:rPr>
        <w:t>  本公司对报告</w:t>
      </w:r>
      <w:proofErr w:type="gramStart"/>
      <w:r w:rsidRPr="007814F1">
        <w:rPr>
          <w:rFonts w:hint="eastAsia"/>
          <w:sz w:val="18"/>
          <w:szCs w:val="18"/>
        </w:rPr>
        <w:t>期末起</w:t>
      </w:r>
      <w:proofErr w:type="gramEnd"/>
      <w:r w:rsidRPr="007814F1">
        <w:rPr>
          <w:rFonts w:hint="eastAsia"/>
          <w:sz w:val="18"/>
          <w:szCs w:val="18"/>
        </w:rPr>
        <w:t>12个月的持续经营能力进行了评价，未发现对持续经营能力产生重大怀疑的事项或情况。因此，本财务报表系在持续经营假设的基础上编制。</w:t>
      </w:r>
    </w:p>
    <w:p w:rsidR="000D58D8" w:rsidRDefault="000F627F">
      <w:pPr>
        <w:pStyle w:val="2"/>
        <w:spacing w:before="300" w:after="300" w:line="560" w:lineRule="exact"/>
        <w:rPr>
          <w:rFonts w:ascii="宋体" w:eastAsia="宋体" w:hAnsi="宋体" w:cs="宋体"/>
          <w:b/>
          <w:bCs/>
          <w:sz w:val="24"/>
          <w:szCs w:val="24"/>
        </w:rPr>
      </w:pPr>
      <w:bookmarkStart w:id="176" w:name="_Toc989064"/>
      <w:r>
        <w:rPr>
          <w:rFonts w:ascii="宋体" w:eastAsia="宋体" w:hAnsi="宋体" w:cs="宋体"/>
          <w:b/>
          <w:bCs/>
          <w:sz w:val="24"/>
          <w:szCs w:val="24"/>
        </w:rPr>
        <w:t>五、重要会计政策及会计估计</w:t>
      </w:r>
      <w:bookmarkEnd w:id="17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具体会计政策和会计估计提示：</w:t>
      </w:r>
    </w:p>
    <w:p w:rsidR="000F627F" w:rsidRDefault="000F627F">
      <w:pPr>
        <w:divId w:val="1743021638"/>
        <w:rPr>
          <w:sz w:val="18"/>
          <w:szCs w:val="18"/>
        </w:rPr>
      </w:pPr>
    </w:p>
    <w:p w:rsidR="000D58D8" w:rsidRDefault="000F627F">
      <w:pPr>
        <w:pStyle w:val="3"/>
        <w:spacing w:line="280" w:lineRule="exact"/>
        <w:jc w:val="left"/>
        <w:rPr>
          <w:rFonts w:ascii="宋体" w:hAnsi="宋体" w:cs="宋体"/>
          <w:b/>
          <w:bCs/>
        </w:rPr>
      </w:pPr>
      <w:bookmarkStart w:id="177" w:name="_Toc989065"/>
      <w:r>
        <w:rPr>
          <w:rFonts w:ascii="宋体" w:hAnsi="宋体" w:cs="宋体"/>
          <w:b/>
          <w:bCs/>
        </w:rPr>
        <w:t>1、遵循企业会计准则的声明</w:t>
      </w:r>
      <w:bookmarkEnd w:id="177"/>
    </w:p>
    <w:p w:rsidR="000F627F" w:rsidRDefault="000F627F">
      <w:pPr>
        <w:pStyle w:val="a3"/>
        <w:spacing w:before="0" w:beforeAutospacing="0" w:after="0" w:afterAutospacing="0" w:line="360" w:lineRule="auto"/>
        <w:ind w:firstLine="420"/>
        <w:jc w:val="both"/>
        <w:divId w:val="547304713"/>
        <w:rPr>
          <w:sz w:val="21"/>
          <w:szCs w:val="21"/>
        </w:rPr>
      </w:pPr>
      <w:r>
        <w:rPr>
          <w:rFonts w:hint="eastAsia"/>
          <w:sz w:val="18"/>
          <w:szCs w:val="18"/>
        </w:rPr>
        <w:t>本公司所编制的财务报表符合企业会计准则的要求，真实、完整地反映了报告期公司的财务状况、经营成果、现金流量等有关信息。</w:t>
      </w:r>
    </w:p>
    <w:p w:rsidR="000D58D8" w:rsidRDefault="000F627F">
      <w:pPr>
        <w:pStyle w:val="3"/>
        <w:spacing w:line="280" w:lineRule="exact"/>
        <w:jc w:val="left"/>
        <w:rPr>
          <w:rFonts w:ascii="宋体" w:hAnsi="宋体" w:cs="宋体"/>
          <w:b/>
          <w:bCs/>
        </w:rPr>
      </w:pPr>
      <w:bookmarkStart w:id="178" w:name="_Toc989066"/>
      <w:r>
        <w:rPr>
          <w:rFonts w:ascii="宋体" w:hAnsi="宋体" w:cs="宋体"/>
          <w:b/>
          <w:bCs/>
        </w:rPr>
        <w:t>2、会计期间</w:t>
      </w:r>
      <w:bookmarkEnd w:id="178"/>
    </w:p>
    <w:p w:rsidR="000F627F" w:rsidRDefault="000F627F">
      <w:pPr>
        <w:pStyle w:val="a3"/>
        <w:divId w:val="1062633447"/>
        <w:rPr>
          <w:sz w:val="18"/>
          <w:szCs w:val="18"/>
        </w:rPr>
      </w:pPr>
      <w:r>
        <w:rPr>
          <w:rFonts w:hint="eastAsia"/>
          <w:sz w:val="18"/>
          <w:szCs w:val="18"/>
        </w:rPr>
        <w:t>自公历</w:t>
      </w:r>
      <w:r>
        <w:rPr>
          <w:rFonts w:ascii="Times New Roman" w:hAnsi="Times New Roman" w:cs="Times New Roman"/>
          <w:sz w:val="18"/>
          <w:szCs w:val="18"/>
        </w:rPr>
        <w:t>1</w:t>
      </w:r>
      <w:r>
        <w:rPr>
          <w:rFonts w:hint="eastAsia"/>
          <w:sz w:val="18"/>
          <w:szCs w:val="18"/>
        </w:rPr>
        <w:t>月</w:t>
      </w:r>
      <w:r>
        <w:rPr>
          <w:rFonts w:ascii="Times New Roman" w:hAnsi="Times New Roman" w:cs="Times New Roman"/>
          <w:sz w:val="18"/>
          <w:szCs w:val="18"/>
        </w:rPr>
        <w:t>1</w:t>
      </w:r>
      <w:r>
        <w:rPr>
          <w:rFonts w:hint="eastAsia"/>
          <w:sz w:val="18"/>
          <w:szCs w:val="18"/>
        </w:rPr>
        <w:t>日至</w:t>
      </w:r>
      <w:r>
        <w:rPr>
          <w:rFonts w:ascii="Times New Roman" w:hAnsi="Times New Roman" w:cs="Times New Roman"/>
          <w:sz w:val="18"/>
          <w:szCs w:val="18"/>
        </w:rPr>
        <w:t>12</w:t>
      </w:r>
      <w:r>
        <w:rPr>
          <w:rFonts w:hint="eastAsia"/>
          <w:sz w:val="18"/>
          <w:szCs w:val="18"/>
        </w:rPr>
        <w:t>月</w:t>
      </w:r>
      <w:r>
        <w:rPr>
          <w:rFonts w:ascii="Times New Roman" w:hAnsi="Times New Roman" w:cs="Times New Roman"/>
          <w:sz w:val="18"/>
          <w:szCs w:val="18"/>
        </w:rPr>
        <w:t>31</w:t>
      </w:r>
      <w:r>
        <w:rPr>
          <w:rFonts w:hint="eastAsia"/>
          <w:sz w:val="18"/>
          <w:szCs w:val="18"/>
        </w:rPr>
        <w:t xml:space="preserve">日止为一个会计年度。 </w:t>
      </w:r>
    </w:p>
    <w:p w:rsidR="000D58D8" w:rsidRDefault="000F627F">
      <w:pPr>
        <w:pStyle w:val="3"/>
        <w:spacing w:line="280" w:lineRule="exact"/>
        <w:jc w:val="left"/>
        <w:rPr>
          <w:rFonts w:ascii="宋体" w:hAnsi="宋体" w:cs="宋体"/>
          <w:b/>
          <w:bCs/>
        </w:rPr>
      </w:pPr>
      <w:bookmarkStart w:id="179" w:name="_Toc989067"/>
      <w:r>
        <w:rPr>
          <w:rFonts w:ascii="宋体" w:hAnsi="宋体" w:cs="宋体"/>
          <w:b/>
          <w:bCs/>
        </w:rPr>
        <w:t>3、营业周期</w:t>
      </w:r>
      <w:bookmarkEnd w:id="179"/>
    </w:p>
    <w:p w:rsidR="000F627F" w:rsidRDefault="000F627F" w:rsidP="007814F1">
      <w:pPr>
        <w:pStyle w:val="a3"/>
        <w:ind w:firstLineChars="200" w:firstLine="360"/>
        <w:divId w:val="2127695583"/>
        <w:rPr>
          <w:sz w:val="18"/>
          <w:szCs w:val="18"/>
        </w:rPr>
      </w:pPr>
      <w:r>
        <w:rPr>
          <w:rFonts w:hint="eastAsia"/>
          <w:sz w:val="18"/>
          <w:szCs w:val="18"/>
        </w:rPr>
        <w:t>营业周期是指企业从购买用于加工的资产起</w:t>
      </w:r>
      <w:proofErr w:type="gramStart"/>
      <w:r>
        <w:rPr>
          <w:rFonts w:hint="eastAsia"/>
          <w:sz w:val="18"/>
          <w:szCs w:val="18"/>
        </w:rPr>
        <w:t>至实现</w:t>
      </w:r>
      <w:proofErr w:type="gramEnd"/>
      <w:r>
        <w:rPr>
          <w:rFonts w:hint="eastAsia"/>
          <w:sz w:val="18"/>
          <w:szCs w:val="18"/>
        </w:rPr>
        <w:t>现金或现金等价物的期间。本公司以12个月作为一个营业周期，并以其作为资产和负债的流动性划分标准。</w:t>
      </w:r>
    </w:p>
    <w:p w:rsidR="000D58D8" w:rsidRDefault="000F627F">
      <w:pPr>
        <w:pStyle w:val="3"/>
        <w:spacing w:line="280" w:lineRule="exact"/>
        <w:jc w:val="left"/>
        <w:rPr>
          <w:rFonts w:ascii="宋体" w:hAnsi="宋体" w:cs="宋体"/>
          <w:b/>
          <w:bCs/>
        </w:rPr>
      </w:pPr>
      <w:bookmarkStart w:id="180" w:name="_Toc989068"/>
      <w:r>
        <w:rPr>
          <w:rFonts w:ascii="宋体" w:hAnsi="宋体" w:cs="宋体"/>
          <w:b/>
          <w:bCs/>
        </w:rPr>
        <w:t>4、记账本位币</w:t>
      </w:r>
      <w:bookmarkEnd w:id="180"/>
    </w:p>
    <w:p w:rsidR="000F627F" w:rsidRDefault="000F627F">
      <w:pPr>
        <w:pStyle w:val="a3"/>
        <w:spacing w:before="0" w:beforeAutospacing="0" w:after="0" w:afterAutospacing="0" w:line="360" w:lineRule="auto"/>
        <w:ind w:firstLine="420"/>
        <w:jc w:val="both"/>
        <w:divId w:val="309410483"/>
        <w:rPr>
          <w:sz w:val="21"/>
          <w:szCs w:val="21"/>
        </w:rPr>
      </w:pPr>
      <w:r>
        <w:rPr>
          <w:rFonts w:hint="eastAsia"/>
          <w:sz w:val="18"/>
          <w:szCs w:val="18"/>
        </w:rPr>
        <w:t>采用人民币为记账本位币。境外子公司以其经营所处的主要经济环境中的货币为记账本位币，编制财务报表时折算为人民币。</w:t>
      </w:r>
    </w:p>
    <w:p w:rsidR="000D58D8" w:rsidRDefault="000F627F">
      <w:pPr>
        <w:pStyle w:val="3"/>
        <w:spacing w:line="280" w:lineRule="exact"/>
        <w:jc w:val="left"/>
        <w:rPr>
          <w:rFonts w:ascii="宋体" w:hAnsi="宋体" w:cs="宋体"/>
          <w:b/>
          <w:bCs/>
        </w:rPr>
      </w:pPr>
      <w:bookmarkStart w:id="181" w:name="_Toc989069"/>
      <w:r>
        <w:rPr>
          <w:rFonts w:ascii="宋体" w:hAnsi="宋体" w:cs="宋体"/>
          <w:b/>
          <w:bCs/>
        </w:rPr>
        <w:lastRenderedPageBreak/>
        <w:t>5、重要性标准确定方法和选择依据</w:t>
      </w:r>
      <w:bookmarkEnd w:id="18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重要性标准</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重要的单项计提坏账准备的应收款项</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金额≥100万</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本期重要的应收款项核销</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金额≥100万</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本期坏账准备收回或转回金额重要的应收账款</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金额≥100万</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重要的在建工程</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期末或</w:t>
            </w:r>
            <w:proofErr w:type="gramEnd"/>
            <w:r>
              <w:rPr>
                <w:rFonts w:ascii="宋体" w:eastAsia="宋体" w:hAnsi="宋体" w:cs="宋体"/>
                <w:sz w:val="18"/>
                <w:szCs w:val="18"/>
              </w:rPr>
              <w:t>期初余额≥1000万</w:t>
            </w:r>
          </w:p>
        </w:tc>
      </w:tr>
    </w:tbl>
    <w:p w:rsidR="000D58D8" w:rsidRDefault="000F627F">
      <w:pPr>
        <w:pStyle w:val="3"/>
        <w:spacing w:line="280" w:lineRule="exact"/>
        <w:jc w:val="left"/>
        <w:rPr>
          <w:rFonts w:ascii="宋体" w:hAnsi="宋体" w:cs="宋体"/>
          <w:b/>
          <w:bCs/>
        </w:rPr>
      </w:pPr>
      <w:bookmarkStart w:id="182" w:name="_Toc989070"/>
      <w:r>
        <w:rPr>
          <w:rFonts w:ascii="宋体" w:hAnsi="宋体" w:cs="宋体"/>
          <w:b/>
          <w:bCs/>
        </w:rPr>
        <w:t>6、同</w:t>
      </w:r>
      <w:proofErr w:type="gramStart"/>
      <w:r>
        <w:rPr>
          <w:rFonts w:ascii="宋体" w:hAnsi="宋体" w:cs="宋体"/>
          <w:b/>
          <w:bCs/>
        </w:rPr>
        <w:t>一控制</w:t>
      </w:r>
      <w:proofErr w:type="gramEnd"/>
      <w:r>
        <w:rPr>
          <w:rFonts w:ascii="宋体" w:hAnsi="宋体" w:cs="宋体"/>
          <w:b/>
          <w:bCs/>
        </w:rPr>
        <w:t>下和非同</w:t>
      </w:r>
      <w:proofErr w:type="gramStart"/>
      <w:r>
        <w:rPr>
          <w:rFonts w:ascii="宋体" w:hAnsi="宋体" w:cs="宋体"/>
          <w:b/>
          <w:bCs/>
        </w:rPr>
        <w:t>一控制</w:t>
      </w:r>
      <w:proofErr w:type="gramEnd"/>
      <w:r>
        <w:rPr>
          <w:rFonts w:ascii="宋体" w:hAnsi="宋体" w:cs="宋体"/>
          <w:b/>
          <w:bCs/>
        </w:rPr>
        <w:t>下企业合并的会计处理方法</w:t>
      </w:r>
      <w:bookmarkEnd w:id="182"/>
    </w:p>
    <w:p w:rsidR="000F627F" w:rsidRDefault="000F627F">
      <w:pPr>
        <w:widowControl/>
        <w:numPr>
          <w:ilvl w:val="0"/>
          <w:numId w:val="12"/>
        </w:numPr>
        <w:spacing w:before="100" w:beforeAutospacing="1" w:after="100" w:afterAutospacing="1"/>
        <w:divId w:val="818033866"/>
        <w:rPr>
          <w:sz w:val="18"/>
          <w:szCs w:val="18"/>
        </w:rPr>
      </w:pPr>
      <w:r>
        <w:rPr>
          <w:rFonts w:ascii="Times New Roman" w:hAnsi="Times New Roman" w:cs="Times New Roman"/>
          <w:sz w:val="18"/>
          <w:szCs w:val="18"/>
        </w:rPr>
        <w:t xml:space="preserve"> </w:t>
      </w:r>
      <w:r>
        <w:rPr>
          <w:rFonts w:hint="eastAsia"/>
          <w:sz w:val="18"/>
          <w:szCs w:val="18"/>
        </w:rPr>
        <w:t>分步实现企业合并过程中的各项交易的条款、条件以及经济影响符合以下一种或多种情况，将多次交易事项作为一揽子交易进行会计处理</w:t>
      </w:r>
    </w:p>
    <w:p w:rsidR="000F627F" w:rsidRDefault="000F627F">
      <w:pPr>
        <w:pStyle w:val="a3"/>
        <w:spacing w:before="50" w:beforeAutospacing="0" w:after="0" w:afterAutospacing="0" w:line="360" w:lineRule="auto"/>
        <w:ind w:firstLine="420"/>
        <w:jc w:val="both"/>
        <w:divId w:val="818033866"/>
        <w:rPr>
          <w:sz w:val="21"/>
          <w:szCs w:val="21"/>
        </w:rPr>
      </w:pPr>
      <w:r>
        <w:rPr>
          <w:rFonts w:hint="eastAsia"/>
          <w:sz w:val="18"/>
          <w:szCs w:val="18"/>
        </w:rPr>
        <w:t>（</w:t>
      </w:r>
      <w:r>
        <w:rPr>
          <w:rFonts w:ascii="Times New Roman" w:hAnsi="Times New Roman" w:cs="Times New Roman"/>
          <w:sz w:val="18"/>
          <w:szCs w:val="18"/>
        </w:rPr>
        <w:t>1</w:t>
      </w:r>
      <w:r>
        <w:rPr>
          <w:rFonts w:hint="eastAsia"/>
          <w:sz w:val="18"/>
          <w:szCs w:val="18"/>
        </w:rPr>
        <w:t>）</w:t>
      </w:r>
      <w:r>
        <w:rPr>
          <w:rFonts w:ascii="Times New Roman" w:hAnsi="Times New Roman" w:cs="Times New Roman"/>
          <w:sz w:val="18"/>
          <w:szCs w:val="18"/>
        </w:rPr>
        <w:t xml:space="preserve">     </w:t>
      </w:r>
      <w:r>
        <w:rPr>
          <w:rFonts w:hint="eastAsia"/>
          <w:sz w:val="18"/>
          <w:szCs w:val="18"/>
        </w:rPr>
        <w:t>这些交易是同时或者在考虑了彼此影响的情况下订立的；</w:t>
      </w:r>
    </w:p>
    <w:p w:rsidR="000F627F" w:rsidRDefault="000F627F">
      <w:pPr>
        <w:pStyle w:val="a3"/>
        <w:spacing w:before="50" w:beforeAutospacing="0" w:after="0" w:afterAutospacing="0" w:line="360" w:lineRule="auto"/>
        <w:ind w:firstLine="420"/>
        <w:jc w:val="both"/>
        <w:divId w:val="818033866"/>
        <w:rPr>
          <w:sz w:val="21"/>
          <w:szCs w:val="21"/>
        </w:rPr>
      </w:pPr>
      <w:r>
        <w:rPr>
          <w:rFonts w:hint="eastAsia"/>
          <w:sz w:val="18"/>
          <w:szCs w:val="18"/>
        </w:rPr>
        <w:t>（</w:t>
      </w:r>
      <w:r>
        <w:rPr>
          <w:rFonts w:ascii="Times New Roman" w:hAnsi="Times New Roman" w:cs="Times New Roman"/>
          <w:sz w:val="18"/>
          <w:szCs w:val="18"/>
        </w:rPr>
        <w:t>2</w:t>
      </w:r>
      <w:r>
        <w:rPr>
          <w:rFonts w:hint="eastAsia"/>
          <w:sz w:val="18"/>
          <w:szCs w:val="18"/>
        </w:rPr>
        <w:t>）</w:t>
      </w:r>
      <w:r>
        <w:rPr>
          <w:rFonts w:ascii="Times New Roman" w:hAnsi="Times New Roman" w:cs="Times New Roman"/>
          <w:sz w:val="18"/>
          <w:szCs w:val="18"/>
        </w:rPr>
        <w:t xml:space="preserve">     </w:t>
      </w:r>
      <w:r>
        <w:rPr>
          <w:rFonts w:hint="eastAsia"/>
          <w:sz w:val="18"/>
          <w:szCs w:val="18"/>
        </w:rPr>
        <w:t>这些交易整体才能达成一项完整的商业结果；</w:t>
      </w:r>
    </w:p>
    <w:p w:rsidR="000F627F" w:rsidRDefault="000F627F">
      <w:pPr>
        <w:pStyle w:val="a3"/>
        <w:spacing w:before="50" w:beforeAutospacing="0" w:after="0" w:afterAutospacing="0" w:line="360" w:lineRule="auto"/>
        <w:ind w:firstLine="420"/>
        <w:jc w:val="both"/>
        <w:divId w:val="818033866"/>
        <w:rPr>
          <w:sz w:val="21"/>
          <w:szCs w:val="21"/>
        </w:rPr>
      </w:pPr>
      <w:r>
        <w:rPr>
          <w:rFonts w:hint="eastAsia"/>
          <w:sz w:val="18"/>
          <w:szCs w:val="18"/>
        </w:rPr>
        <w:t>（</w:t>
      </w:r>
      <w:r>
        <w:rPr>
          <w:rFonts w:ascii="Times New Roman" w:hAnsi="Times New Roman" w:cs="Times New Roman"/>
          <w:sz w:val="18"/>
          <w:szCs w:val="18"/>
        </w:rPr>
        <w:t>3</w:t>
      </w:r>
      <w:r>
        <w:rPr>
          <w:rFonts w:hint="eastAsia"/>
          <w:sz w:val="18"/>
          <w:szCs w:val="18"/>
        </w:rPr>
        <w:t>）</w:t>
      </w:r>
      <w:r>
        <w:rPr>
          <w:rFonts w:ascii="Times New Roman" w:hAnsi="Times New Roman" w:cs="Times New Roman"/>
          <w:sz w:val="18"/>
          <w:szCs w:val="18"/>
        </w:rPr>
        <w:t xml:space="preserve">     </w:t>
      </w:r>
      <w:r>
        <w:rPr>
          <w:rFonts w:hint="eastAsia"/>
          <w:sz w:val="18"/>
          <w:szCs w:val="18"/>
        </w:rPr>
        <w:t>一项交易的发生取决于其他至少一项交易的发生；</w:t>
      </w:r>
    </w:p>
    <w:p w:rsidR="000F627F" w:rsidRDefault="000F627F">
      <w:pPr>
        <w:pStyle w:val="a3"/>
        <w:spacing w:before="50" w:beforeAutospacing="0" w:after="0" w:afterAutospacing="0" w:line="360" w:lineRule="auto"/>
        <w:ind w:firstLine="420"/>
        <w:jc w:val="both"/>
        <w:divId w:val="818033866"/>
        <w:rPr>
          <w:sz w:val="21"/>
          <w:szCs w:val="21"/>
        </w:rPr>
      </w:pPr>
      <w:r>
        <w:rPr>
          <w:rFonts w:hint="eastAsia"/>
          <w:sz w:val="18"/>
          <w:szCs w:val="18"/>
        </w:rPr>
        <w:t>（</w:t>
      </w:r>
      <w:r>
        <w:rPr>
          <w:rFonts w:ascii="Times New Roman" w:hAnsi="Times New Roman" w:cs="Times New Roman"/>
          <w:sz w:val="18"/>
          <w:szCs w:val="18"/>
        </w:rPr>
        <w:t>4</w:t>
      </w:r>
      <w:r>
        <w:rPr>
          <w:rFonts w:hint="eastAsia"/>
          <w:sz w:val="18"/>
          <w:szCs w:val="18"/>
        </w:rPr>
        <w:t>）</w:t>
      </w:r>
      <w:r>
        <w:rPr>
          <w:rFonts w:ascii="Times New Roman" w:hAnsi="Times New Roman" w:cs="Times New Roman"/>
          <w:sz w:val="18"/>
          <w:szCs w:val="18"/>
        </w:rPr>
        <w:t xml:space="preserve">     </w:t>
      </w:r>
      <w:r>
        <w:rPr>
          <w:rFonts w:hint="eastAsia"/>
          <w:sz w:val="18"/>
          <w:szCs w:val="18"/>
        </w:rPr>
        <w:t>一项交易单独看是不经济的，但是和其他交易一并考虑时是经济的。</w:t>
      </w:r>
    </w:p>
    <w:p w:rsidR="000F627F" w:rsidRDefault="000F627F">
      <w:pPr>
        <w:widowControl/>
        <w:numPr>
          <w:ilvl w:val="0"/>
          <w:numId w:val="13"/>
        </w:numPr>
        <w:spacing w:before="100" w:beforeAutospacing="1" w:after="100" w:afterAutospacing="1"/>
        <w:divId w:val="818033866"/>
        <w:rPr>
          <w:sz w:val="18"/>
          <w:szCs w:val="18"/>
        </w:rPr>
      </w:pPr>
      <w:r>
        <w:rPr>
          <w:rFonts w:ascii="Times New Roman" w:hAnsi="Times New Roman" w:cs="Times New Roman"/>
          <w:sz w:val="18"/>
          <w:szCs w:val="18"/>
        </w:rPr>
        <w:t xml:space="preserve">  </w:t>
      </w:r>
      <w:r>
        <w:rPr>
          <w:rFonts w:hint="eastAsia"/>
          <w:sz w:val="18"/>
          <w:szCs w:val="18"/>
        </w:rPr>
        <w:t>同</w:t>
      </w:r>
      <w:proofErr w:type="gramStart"/>
      <w:r>
        <w:rPr>
          <w:rFonts w:hint="eastAsia"/>
          <w:sz w:val="18"/>
          <w:szCs w:val="18"/>
        </w:rPr>
        <w:t>一控制</w:t>
      </w:r>
      <w:proofErr w:type="gramEnd"/>
      <w:r>
        <w:rPr>
          <w:rFonts w:hint="eastAsia"/>
          <w:sz w:val="18"/>
          <w:szCs w:val="18"/>
        </w:rPr>
        <w:t>下的企业合并</w:t>
      </w:r>
    </w:p>
    <w:p w:rsidR="000F627F" w:rsidRDefault="000F627F">
      <w:pPr>
        <w:pStyle w:val="a3"/>
        <w:spacing w:before="50" w:beforeAutospacing="0" w:after="0" w:afterAutospacing="0" w:line="360" w:lineRule="auto"/>
        <w:ind w:firstLine="420"/>
        <w:jc w:val="both"/>
        <w:divId w:val="818033866"/>
        <w:rPr>
          <w:sz w:val="21"/>
          <w:szCs w:val="21"/>
        </w:rPr>
      </w:pPr>
      <w:r>
        <w:rPr>
          <w:rFonts w:hint="eastAsia"/>
          <w:sz w:val="18"/>
          <w:szCs w:val="18"/>
        </w:rPr>
        <w:t>本公司在企业合并中取得的资产和负债，按照</w:t>
      </w:r>
      <w:proofErr w:type="gramStart"/>
      <w:r>
        <w:rPr>
          <w:rFonts w:hint="eastAsia"/>
          <w:sz w:val="18"/>
          <w:szCs w:val="18"/>
        </w:rPr>
        <w:t>合并日</w:t>
      </w:r>
      <w:proofErr w:type="gramEnd"/>
      <w:r>
        <w:rPr>
          <w:rFonts w:hint="eastAsia"/>
          <w:sz w:val="18"/>
          <w:szCs w:val="18"/>
        </w:rPr>
        <w:t>在被合并方资产、负债（包括最终控制</w:t>
      </w:r>
      <w:proofErr w:type="gramStart"/>
      <w:r>
        <w:rPr>
          <w:rFonts w:hint="eastAsia"/>
          <w:sz w:val="18"/>
          <w:szCs w:val="18"/>
        </w:rPr>
        <w:t>方收购</w:t>
      </w:r>
      <w:proofErr w:type="gramEnd"/>
      <w:r>
        <w:rPr>
          <w:rFonts w:hint="eastAsia"/>
          <w:sz w:val="18"/>
          <w:szCs w:val="18"/>
        </w:rPr>
        <w:t>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rsidR="000F627F" w:rsidRDefault="000F627F">
      <w:pPr>
        <w:pStyle w:val="a3"/>
        <w:spacing w:before="50" w:beforeAutospacing="0" w:after="0" w:afterAutospacing="0" w:line="360" w:lineRule="auto"/>
        <w:ind w:firstLine="420"/>
        <w:jc w:val="both"/>
        <w:divId w:val="818033866"/>
        <w:rPr>
          <w:sz w:val="21"/>
          <w:szCs w:val="21"/>
        </w:rPr>
      </w:pPr>
      <w:r>
        <w:rPr>
          <w:rFonts w:hint="eastAsia"/>
          <w:sz w:val="18"/>
          <w:szCs w:val="18"/>
        </w:rPr>
        <w:t>如果存在或有对价并需要确认预计负债或资产，该预计负债或资产金额与后续或有对价结算金额的差额，调整资本公积（资本溢价或股本溢价），资本公</w:t>
      </w:r>
      <w:proofErr w:type="gramStart"/>
      <w:r>
        <w:rPr>
          <w:rFonts w:hint="eastAsia"/>
          <w:sz w:val="18"/>
          <w:szCs w:val="18"/>
        </w:rPr>
        <w:t>积不足</w:t>
      </w:r>
      <w:proofErr w:type="gramEnd"/>
      <w:r>
        <w:rPr>
          <w:rFonts w:hint="eastAsia"/>
          <w:sz w:val="18"/>
          <w:szCs w:val="18"/>
        </w:rPr>
        <w:t>的，调整留存收益。</w:t>
      </w:r>
    </w:p>
    <w:p w:rsidR="000F627F" w:rsidRDefault="000F627F">
      <w:pPr>
        <w:pStyle w:val="a3"/>
        <w:spacing w:before="50" w:beforeAutospacing="0" w:after="0" w:afterAutospacing="0" w:line="360" w:lineRule="auto"/>
        <w:ind w:firstLine="420"/>
        <w:jc w:val="both"/>
        <w:divId w:val="818033866"/>
        <w:rPr>
          <w:sz w:val="21"/>
          <w:szCs w:val="21"/>
        </w:rPr>
      </w:pPr>
      <w:r>
        <w:rPr>
          <w:rFonts w:hint="eastAsia"/>
          <w:sz w:val="18"/>
          <w:szCs w:val="18"/>
        </w:rPr>
        <w:t>对于通过多次交易最终实现企业合并的，属于一揽子交易的，将各项交易作为一项取得控制权的交易进行会计处理；不属于一揽子交易的，在取得控制权日，长期股权投资初始投资成本，与达到合并前的长期股权投资账面价值加上</w:t>
      </w:r>
      <w:proofErr w:type="gramStart"/>
      <w:r>
        <w:rPr>
          <w:rFonts w:hint="eastAsia"/>
          <w:sz w:val="18"/>
          <w:szCs w:val="18"/>
        </w:rPr>
        <w:t>合并日</w:t>
      </w:r>
      <w:proofErr w:type="gramEnd"/>
      <w:r>
        <w:rPr>
          <w:rFonts w:hint="eastAsia"/>
          <w:sz w:val="18"/>
          <w:szCs w:val="18"/>
        </w:rPr>
        <w:t>进一步取得股份新支付对价的账面价值之和的差额，调整资本公积；资本公</w:t>
      </w:r>
      <w:proofErr w:type="gramStart"/>
      <w:r>
        <w:rPr>
          <w:rFonts w:hint="eastAsia"/>
          <w:sz w:val="18"/>
          <w:szCs w:val="18"/>
        </w:rPr>
        <w:t>积不足</w:t>
      </w:r>
      <w:proofErr w:type="gramEnd"/>
      <w:r>
        <w:rPr>
          <w:rFonts w:hint="eastAsia"/>
          <w:sz w:val="18"/>
          <w:szCs w:val="18"/>
        </w:rPr>
        <w:t>冲减的，调整留存收益。对于</w:t>
      </w:r>
      <w:proofErr w:type="gramStart"/>
      <w:r>
        <w:rPr>
          <w:rFonts w:hint="eastAsia"/>
          <w:sz w:val="18"/>
          <w:szCs w:val="18"/>
        </w:rPr>
        <w:t>合并日</w:t>
      </w:r>
      <w:proofErr w:type="gramEnd"/>
      <w:r>
        <w:rPr>
          <w:rFonts w:hint="eastAsia"/>
          <w:sz w:val="18"/>
          <w:szCs w:val="18"/>
        </w:rPr>
        <w:t>之前持有的股权投资，因采用权益法核算或金融工具确认和计量准则核算而确认的其他综合收益，暂不进行会计处理，直至处置该项投资时采用与被投资单位直接处置相关资产或负债相同的基础进行会计处理；因采用权益法核算而确认的被投资单位净资产中除净损益、其他综合收益和利润分配以外的所有者权益其他变动，暂不进行会计处理，直至处置该项投资时转入当期损益。</w:t>
      </w:r>
    </w:p>
    <w:p w:rsidR="000F627F" w:rsidRDefault="000F627F">
      <w:pPr>
        <w:widowControl/>
        <w:numPr>
          <w:ilvl w:val="0"/>
          <w:numId w:val="14"/>
        </w:numPr>
        <w:spacing w:before="100" w:beforeAutospacing="1" w:after="100" w:afterAutospacing="1"/>
        <w:divId w:val="818033866"/>
        <w:rPr>
          <w:sz w:val="18"/>
          <w:szCs w:val="18"/>
        </w:rPr>
      </w:pPr>
      <w:r>
        <w:rPr>
          <w:rFonts w:ascii="Times New Roman" w:hAnsi="Times New Roman" w:cs="Times New Roman"/>
          <w:sz w:val="18"/>
          <w:szCs w:val="18"/>
        </w:rPr>
        <w:t xml:space="preserve">  </w:t>
      </w:r>
      <w:r>
        <w:rPr>
          <w:rFonts w:hint="eastAsia"/>
          <w:sz w:val="18"/>
          <w:szCs w:val="18"/>
        </w:rPr>
        <w:t>非同</w:t>
      </w:r>
      <w:proofErr w:type="gramStart"/>
      <w:r>
        <w:rPr>
          <w:rFonts w:hint="eastAsia"/>
          <w:sz w:val="18"/>
          <w:szCs w:val="18"/>
        </w:rPr>
        <w:t>一控制</w:t>
      </w:r>
      <w:proofErr w:type="gramEnd"/>
      <w:r>
        <w:rPr>
          <w:rFonts w:hint="eastAsia"/>
          <w:sz w:val="18"/>
          <w:szCs w:val="18"/>
        </w:rPr>
        <w:t>下的企业合并</w:t>
      </w:r>
    </w:p>
    <w:p w:rsidR="000F627F" w:rsidRDefault="000F627F">
      <w:pPr>
        <w:pStyle w:val="a3"/>
        <w:spacing w:before="50" w:beforeAutospacing="0" w:after="0" w:afterAutospacing="0" w:line="360" w:lineRule="auto"/>
        <w:ind w:firstLine="420"/>
        <w:jc w:val="both"/>
        <w:divId w:val="818033866"/>
        <w:rPr>
          <w:sz w:val="21"/>
          <w:szCs w:val="21"/>
        </w:rPr>
      </w:pPr>
      <w:r>
        <w:rPr>
          <w:rFonts w:hint="eastAsia"/>
          <w:sz w:val="18"/>
          <w:szCs w:val="18"/>
        </w:rPr>
        <w:lastRenderedPageBreak/>
        <w:t>购买日是指本公司实际取得对被购买方控制权的日期，即被购买方的净资产或生产经营决策的控制权转移给本公司的日期。同时满足下列条件时，本公司一般认为实现了控制权的转移：</w:t>
      </w:r>
    </w:p>
    <w:p w:rsidR="000F627F" w:rsidRDefault="000F627F">
      <w:pPr>
        <w:pStyle w:val="a3"/>
        <w:spacing w:before="50" w:beforeAutospacing="0" w:after="0" w:afterAutospacing="0" w:line="360" w:lineRule="auto"/>
        <w:ind w:firstLine="420"/>
        <w:jc w:val="both"/>
        <w:divId w:val="818033866"/>
        <w:rPr>
          <w:sz w:val="21"/>
          <w:szCs w:val="21"/>
        </w:rPr>
      </w:pPr>
      <w:r>
        <w:rPr>
          <w:rFonts w:hint="eastAsia"/>
          <w:sz w:val="18"/>
          <w:szCs w:val="18"/>
        </w:rPr>
        <w:t>（1）企业合并合同或协议已获本公司内部权力机构通过。</w:t>
      </w:r>
    </w:p>
    <w:p w:rsidR="000F627F" w:rsidRDefault="000F627F">
      <w:pPr>
        <w:pStyle w:val="a3"/>
        <w:spacing w:before="50" w:beforeAutospacing="0" w:after="0" w:afterAutospacing="0" w:line="360" w:lineRule="auto"/>
        <w:ind w:firstLine="420"/>
        <w:jc w:val="both"/>
        <w:divId w:val="818033866"/>
        <w:rPr>
          <w:sz w:val="21"/>
          <w:szCs w:val="21"/>
        </w:rPr>
      </w:pPr>
      <w:r>
        <w:rPr>
          <w:rFonts w:hint="eastAsia"/>
          <w:sz w:val="18"/>
          <w:szCs w:val="18"/>
        </w:rPr>
        <w:t>（2）企业合并事项需要经过国家有关主管部门审批的，已获得批准。</w:t>
      </w:r>
    </w:p>
    <w:p w:rsidR="000F627F" w:rsidRDefault="000F627F">
      <w:pPr>
        <w:pStyle w:val="a3"/>
        <w:spacing w:before="50" w:beforeAutospacing="0" w:after="0" w:afterAutospacing="0" w:line="360" w:lineRule="auto"/>
        <w:ind w:firstLine="420"/>
        <w:jc w:val="both"/>
        <w:divId w:val="818033866"/>
        <w:rPr>
          <w:sz w:val="21"/>
          <w:szCs w:val="21"/>
        </w:rPr>
      </w:pPr>
      <w:r>
        <w:rPr>
          <w:rFonts w:hint="eastAsia"/>
          <w:sz w:val="18"/>
          <w:szCs w:val="18"/>
        </w:rPr>
        <w:t>（3）已办理了必要的财产权转移手续。</w:t>
      </w:r>
    </w:p>
    <w:p w:rsidR="000F627F" w:rsidRDefault="000F627F">
      <w:pPr>
        <w:pStyle w:val="a3"/>
        <w:spacing w:before="50" w:beforeAutospacing="0" w:after="0" w:afterAutospacing="0" w:line="360" w:lineRule="auto"/>
        <w:ind w:firstLine="420"/>
        <w:jc w:val="both"/>
        <w:divId w:val="818033866"/>
        <w:rPr>
          <w:sz w:val="21"/>
          <w:szCs w:val="21"/>
        </w:rPr>
      </w:pPr>
      <w:r>
        <w:rPr>
          <w:rFonts w:hint="eastAsia"/>
          <w:sz w:val="18"/>
          <w:szCs w:val="18"/>
        </w:rPr>
        <w:t>（4）本公司已支付了合并价款的大部分，并且有能力、有计划支付剩余款项。</w:t>
      </w:r>
    </w:p>
    <w:p w:rsidR="000F627F" w:rsidRDefault="000F627F">
      <w:pPr>
        <w:pStyle w:val="a3"/>
        <w:spacing w:before="50" w:beforeAutospacing="0" w:after="0" w:afterAutospacing="0" w:line="360" w:lineRule="auto"/>
        <w:ind w:firstLine="420"/>
        <w:jc w:val="both"/>
        <w:divId w:val="818033866"/>
        <w:rPr>
          <w:sz w:val="21"/>
          <w:szCs w:val="21"/>
        </w:rPr>
      </w:pPr>
      <w:r>
        <w:rPr>
          <w:rFonts w:hint="eastAsia"/>
          <w:sz w:val="18"/>
          <w:szCs w:val="18"/>
        </w:rPr>
        <w:t>（5）本公司实际上已经控制了被购买方的财务和经营政策，并享有相应的利益、承担相应的风险。</w:t>
      </w:r>
    </w:p>
    <w:p w:rsidR="000F627F" w:rsidRDefault="000F627F">
      <w:pPr>
        <w:pStyle w:val="a3"/>
        <w:spacing w:before="50" w:beforeAutospacing="0" w:after="0" w:afterAutospacing="0" w:line="360" w:lineRule="auto"/>
        <w:ind w:firstLine="420"/>
        <w:jc w:val="both"/>
        <w:divId w:val="818033866"/>
        <w:rPr>
          <w:sz w:val="21"/>
          <w:szCs w:val="21"/>
        </w:rPr>
      </w:pPr>
      <w:r>
        <w:rPr>
          <w:rFonts w:hint="eastAsia"/>
          <w:sz w:val="18"/>
          <w:szCs w:val="18"/>
        </w:rPr>
        <w:t>本公司在购买日对作为企业合并对价付出的资产、发生或承担的负债按照公允价值计量，公允价值与其账面价值的差额，计入当期损益。</w:t>
      </w:r>
    </w:p>
    <w:p w:rsidR="000F627F" w:rsidRDefault="000F627F">
      <w:pPr>
        <w:pStyle w:val="a3"/>
        <w:spacing w:before="50" w:beforeAutospacing="0" w:after="0" w:afterAutospacing="0" w:line="360" w:lineRule="auto"/>
        <w:ind w:firstLine="420"/>
        <w:jc w:val="both"/>
        <w:divId w:val="818033866"/>
        <w:rPr>
          <w:sz w:val="21"/>
          <w:szCs w:val="21"/>
        </w:rPr>
      </w:pPr>
      <w:r>
        <w:rPr>
          <w:rFonts w:hint="eastAsia"/>
          <w:sz w:val="18"/>
          <w:szCs w:val="18"/>
        </w:rPr>
        <w:t>本公司对合并成本大于合并中取得的被购买方可辨认净资产公允价值份额的差额，确认为商誉；合并成本小于合并中取得的被购买方可辨认净资产公允价值份额的，首先对取得的被购买</w:t>
      </w:r>
      <w:proofErr w:type="gramStart"/>
      <w:r>
        <w:rPr>
          <w:rFonts w:hint="eastAsia"/>
          <w:sz w:val="18"/>
          <w:szCs w:val="18"/>
        </w:rPr>
        <w:t>方各项</w:t>
      </w:r>
      <w:proofErr w:type="gramEnd"/>
      <w:r>
        <w:rPr>
          <w:rFonts w:hint="eastAsia"/>
          <w:sz w:val="18"/>
          <w:szCs w:val="18"/>
        </w:rPr>
        <w:t>可辨认资产、负债及或有负债的公允价值以及合并成本的计量进行复核，复核后合并成本仍小于合并中取得的被购买方可辨认净资产公允价值份额的，计入当期损益。</w:t>
      </w:r>
    </w:p>
    <w:p w:rsidR="000F627F" w:rsidRDefault="000F627F">
      <w:pPr>
        <w:pStyle w:val="a3"/>
        <w:spacing w:before="50" w:beforeAutospacing="0" w:after="0" w:afterAutospacing="0" w:line="360" w:lineRule="auto"/>
        <w:ind w:firstLine="420"/>
        <w:jc w:val="both"/>
        <w:divId w:val="818033866"/>
        <w:rPr>
          <w:sz w:val="21"/>
          <w:szCs w:val="21"/>
        </w:rPr>
      </w:pPr>
      <w:r>
        <w:rPr>
          <w:rFonts w:hint="eastAsia"/>
          <w:sz w:val="18"/>
          <w:szCs w:val="18"/>
        </w:rPr>
        <w:t>通过多次交换交易分步实现的非同</w:t>
      </w:r>
      <w:proofErr w:type="gramStart"/>
      <w:r>
        <w:rPr>
          <w:rFonts w:hint="eastAsia"/>
          <w:sz w:val="18"/>
          <w:szCs w:val="18"/>
        </w:rPr>
        <w:t>一控制</w:t>
      </w:r>
      <w:proofErr w:type="gramEnd"/>
      <w:r>
        <w:rPr>
          <w:rFonts w:hint="eastAsia"/>
          <w:sz w:val="18"/>
          <w:szCs w:val="18"/>
        </w:rPr>
        <w:t>下企业合并，属于一揽子交易的，将各项交易作为一项取得控制权的交易进行会计处理；不属于一揽子交易的，</w:t>
      </w:r>
      <w:proofErr w:type="gramStart"/>
      <w:r>
        <w:rPr>
          <w:rFonts w:hint="eastAsia"/>
          <w:sz w:val="18"/>
          <w:szCs w:val="18"/>
        </w:rPr>
        <w:t>合并日</w:t>
      </w:r>
      <w:proofErr w:type="gramEnd"/>
      <w:r>
        <w:rPr>
          <w:rFonts w:hint="eastAsia"/>
          <w:sz w:val="18"/>
          <w:szCs w:val="18"/>
        </w:rPr>
        <w:t>之前持有的股权投资采用权益法核算的，以购买日之前所持被购买方的股权投资的账面价值与购买日新增投资成本之和，作为该项投资的初始投资成本；购买日之前持有的股权投资因采用权益法核算而确认的其他综合收益，在处置该项投资时采用与被投资单位直接处置相关资产或负债相同的基础进行会计处理。</w:t>
      </w:r>
      <w:proofErr w:type="gramStart"/>
      <w:r>
        <w:rPr>
          <w:rFonts w:hint="eastAsia"/>
          <w:sz w:val="18"/>
          <w:szCs w:val="18"/>
        </w:rPr>
        <w:t>合并日</w:t>
      </w:r>
      <w:proofErr w:type="gramEnd"/>
      <w:r>
        <w:rPr>
          <w:rFonts w:hint="eastAsia"/>
          <w:sz w:val="18"/>
          <w:szCs w:val="18"/>
        </w:rPr>
        <w:t>之前持有的股权投资采用金融工具确认和计量准则核算的，以该股权投资在</w:t>
      </w:r>
      <w:proofErr w:type="gramStart"/>
      <w:r>
        <w:rPr>
          <w:rFonts w:hint="eastAsia"/>
          <w:sz w:val="18"/>
          <w:szCs w:val="18"/>
        </w:rPr>
        <w:t>合并日</w:t>
      </w:r>
      <w:proofErr w:type="gramEnd"/>
      <w:r>
        <w:rPr>
          <w:rFonts w:hint="eastAsia"/>
          <w:sz w:val="18"/>
          <w:szCs w:val="18"/>
        </w:rPr>
        <w:t>的公允价值加上新增投资成本之和，作为</w:t>
      </w:r>
      <w:proofErr w:type="gramStart"/>
      <w:r>
        <w:rPr>
          <w:rFonts w:hint="eastAsia"/>
          <w:sz w:val="18"/>
          <w:szCs w:val="18"/>
        </w:rPr>
        <w:t>合并日</w:t>
      </w:r>
      <w:proofErr w:type="gramEnd"/>
      <w:r>
        <w:rPr>
          <w:rFonts w:hint="eastAsia"/>
          <w:sz w:val="18"/>
          <w:szCs w:val="18"/>
        </w:rPr>
        <w:t>的初始投资成本。原持有股权的公允价值与账面价值之间的差额以及原计入其他综合收益的累计公允价值变动应全部转入</w:t>
      </w:r>
      <w:proofErr w:type="gramStart"/>
      <w:r>
        <w:rPr>
          <w:rFonts w:hint="eastAsia"/>
          <w:sz w:val="18"/>
          <w:szCs w:val="18"/>
        </w:rPr>
        <w:t>合并日</w:t>
      </w:r>
      <w:proofErr w:type="gramEnd"/>
      <w:r>
        <w:rPr>
          <w:rFonts w:hint="eastAsia"/>
          <w:sz w:val="18"/>
          <w:szCs w:val="18"/>
        </w:rPr>
        <w:t>当期的投资收益。</w:t>
      </w:r>
    </w:p>
    <w:p w:rsidR="000F627F" w:rsidRDefault="000F627F">
      <w:pPr>
        <w:widowControl/>
        <w:numPr>
          <w:ilvl w:val="0"/>
          <w:numId w:val="15"/>
        </w:numPr>
        <w:spacing w:before="100" w:beforeAutospacing="1" w:after="100" w:afterAutospacing="1"/>
        <w:divId w:val="818033866"/>
        <w:rPr>
          <w:sz w:val="18"/>
          <w:szCs w:val="18"/>
        </w:rPr>
      </w:pPr>
      <w:r>
        <w:rPr>
          <w:rFonts w:ascii="Times New Roman" w:hAnsi="Times New Roman" w:cs="Times New Roman"/>
          <w:sz w:val="18"/>
          <w:szCs w:val="18"/>
        </w:rPr>
        <w:t xml:space="preserve">   </w:t>
      </w:r>
      <w:r>
        <w:rPr>
          <w:rFonts w:hint="eastAsia"/>
          <w:sz w:val="18"/>
          <w:szCs w:val="18"/>
        </w:rPr>
        <w:t>为合并发生的相关费用</w:t>
      </w:r>
    </w:p>
    <w:p w:rsidR="000F627F" w:rsidRDefault="000F627F">
      <w:pPr>
        <w:pStyle w:val="a3"/>
        <w:spacing w:before="50" w:beforeAutospacing="0" w:after="0" w:afterAutospacing="0" w:line="360" w:lineRule="auto"/>
        <w:ind w:firstLine="420"/>
        <w:jc w:val="both"/>
        <w:divId w:val="818033866"/>
        <w:rPr>
          <w:sz w:val="21"/>
          <w:szCs w:val="21"/>
        </w:rPr>
      </w:pPr>
      <w:r>
        <w:rPr>
          <w:rFonts w:hint="eastAsia"/>
          <w:sz w:val="18"/>
          <w:szCs w:val="18"/>
        </w:rPr>
        <w:t>为企业合并发生的审计、法律服务、评估咨询等中介费用以及其他直接相关费用，于发生时计入当期损益；为企业合并而发行权益</w:t>
      </w:r>
      <w:proofErr w:type="gramStart"/>
      <w:r>
        <w:rPr>
          <w:rFonts w:hint="eastAsia"/>
          <w:sz w:val="18"/>
          <w:szCs w:val="18"/>
        </w:rPr>
        <w:t>性证券</w:t>
      </w:r>
      <w:proofErr w:type="gramEnd"/>
      <w:r>
        <w:rPr>
          <w:rFonts w:hint="eastAsia"/>
          <w:sz w:val="18"/>
          <w:szCs w:val="18"/>
        </w:rPr>
        <w:t>的交易费用，可直接归属于权益性交易的从权益中扣减。</w:t>
      </w:r>
    </w:p>
    <w:p w:rsidR="000D58D8" w:rsidRDefault="000F627F">
      <w:pPr>
        <w:pStyle w:val="3"/>
        <w:spacing w:line="280" w:lineRule="exact"/>
        <w:jc w:val="left"/>
        <w:rPr>
          <w:rFonts w:ascii="宋体" w:hAnsi="宋体" w:cs="宋体"/>
          <w:b/>
          <w:bCs/>
        </w:rPr>
      </w:pPr>
      <w:bookmarkStart w:id="183" w:name="_Toc989071"/>
      <w:r>
        <w:rPr>
          <w:rFonts w:ascii="宋体" w:hAnsi="宋体" w:cs="宋体"/>
          <w:b/>
          <w:bCs/>
        </w:rPr>
        <w:t>7、控制的判断标准和合并财务报表的编制方法</w:t>
      </w:r>
      <w:bookmarkEnd w:id="183"/>
    </w:p>
    <w:p w:rsidR="000F627F" w:rsidRDefault="000F627F">
      <w:pPr>
        <w:widowControl/>
        <w:numPr>
          <w:ilvl w:val="0"/>
          <w:numId w:val="16"/>
        </w:numPr>
        <w:spacing w:before="100" w:beforeAutospacing="1" w:after="100" w:afterAutospacing="1"/>
        <w:divId w:val="488400674"/>
        <w:rPr>
          <w:sz w:val="18"/>
          <w:szCs w:val="18"/>
        </w:rPr>
      </w:pPr>
      <w:r>
        <w:rPr>
          <w:rFonts w:ascii="Times New Roman" w:hAnsi="Times New Roman" w:cs="Times New Roman"/>
          <w:sz w:val="18"/>
          <w:szCs w:val="18"/>
        </w:rPr>
        <w:t xml:space="preserve">  </w:t>
      </w:r>
      <w:r>
        <w:rPr>
          <w:rStyle w:val="a5"/>
          <w:rFonts w:hint="eastAsia"/>
          <w:sz w:val="18"/>
          <w:szCs w:val="18"/>
        </w:rPr>
        <w:t>控制的判断标准</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控制，是指投资方拥有对被投资方的权力</w:t>
      </w:r>
      <w:r>
        <w:rPr>
          <w:rFonts w:ascii="Arial Narrow" w:hAnsi="Arial Narrow"/>
          <w:sz w:val="18"/>
          <w:szCs w:val="18"/>
        </w:rPr>
        <w:t>,</w:t>
      </w:r>
      <w:r>
        <w:rPr>
          <w:rFonts w:hint="eastAsia"/>
          <w:sz w:val="18"/>
          <w:szCs w:val="18"/>
        </w:rPr>
        <w:t>通过参与被投资方的相关活动而享有可变回报，并且有能力运用对被投资方的权力影响其回报金额。</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lastRenderedPageBreak/>
        <w:t>本公司在综合考虑所有相关事实和情况的基础上对是否控制被投资方进行判断。一旦相关事实和情况的变化导致对控制定义所涉及的相关要素发生变化的，本公司会进行重新评估。相关事实和情况主要包括：</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w:t>
      </w:r>
      <w:r>
        <w:rPr>
          <w:rFonts w:ascii="Arial Narrow" w:hAnsi="Arial Narrow"/>
          <w:sz w:val="18"/>
          <w:szCs w:val="18"/>
        </w:rPr>
        <w:t>1</w:t>
      </w:r>
      <w:r>
        <w:rPr>
          <w:rFonts w:hint="eastAsia"/>
          <w:sz w:val="18"/>
          <w:szCs w:val="18"/>
        </w:rPr>
        <w:t>）被投资方的设立目的。</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w:t>
      </w:r>
      <w:r>
        <w:rPr>
          <w:rFonts w:ascii="Arial Narrow" w:hAnsi="Arial Narrow"/>
          <w:sz w:val="18"/>
          <w:szCs w:val="18"/>
        </w:rPr>
        <w:t>2</w:t>
      </w:r>
      <w:r>
        <w:rPr>
          <w:rFonts w:hint="eastAsia"/>
          <w:sz w:val="18"/>
          <w:szCs w:val="18"/>
        </w:rPr>
        <w:t>）被投资方的相关活动以及如何对相关活动</w:t>
      </w:r>
      <w:proofErr w:type="gramStart"/>
      <w:r>
        <w:rPr>
          <w:rFonts w:hint="eastAsia"/>
          <w:sz w:val="18"/>
          <w:szCs w:val="18"/>
        </w:rPr>
        <w:t>作出</w:t>
      </w:r>
      <w:proofErr w:type="gramEnd"/>
      <w:r>
        <w:rPr>
          <w:rFonts w:hint="eastAsia"/>
          <w:sz w:val="18"/>
          <w:szCs w:val="18"/>
        </w:rPr>
        <w:t>决策。</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w:t>
      </w:r>
      <w:r>
        <w:rPr>
          <w:rFonts w:ascii="Arial Narrow" w:hAnsi="Arial Narrow"/>
          <w:sz w:val="18"/>
          <w:szCs w:val="18"/>
        </w:rPr>
        <w:t>3</w:t>
      </w:r>
      <w:r>
        <w:rPr>
          <w:rFonts w:hint="eastAsia"/>
          <w:sz w:val="18"/>
          <w:szCs w:val="18"/>
        </w:rPr>
        <w:t>）投资方享有的权利是否使其目前有能力主导被投资方的相关活动。</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w:t>
      </w:r>
      <w:r>
        <w:rPr>
          <w:rFonts w:ascii="Arial Narrow" w:hAnsi="Arial Narrow"/>
          <w:sz w:val="18"/>
          <w:szCs w:val="18"/>
        </w:rPr>
        <w:t>4</w:t>
      </w:r>
      <w:r>
        <w:rPr>
          <w:rFonts w:hint="eastAsia"/>
          <w:sz w:val="18"/>
          <w:szCs w:val="18"/>
        </w:rPr>
        <w:t>）投资方是否通过参与被投资方的相关活动而享有可变回报。</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w:t>
      </w:r>
      <w:r>
        <w:rPr>
          <w:rFonts w:ascii="Arial Narrow" w:hAnsi="Arial Narrow"/>
          <w:sz w:val="18"/>
          <w:szCs w:val="18"/>
        </w:rPr>
        <w:t>5</w:t>
      </w:r>
      <w:r>
        <w:rPr>
          <w:rFonts w:hint="eastAsia"/>
          <w:sz w:val="18"/>
          <w:szCs w:val="18"/>
        </w:rPr>
        <w:t>）投资方是否有能力运用对被投资方的权力影响其回报金额。</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w:t>
      </w:r>
      <w:r>
        <w:rPr>
          <w:rFonts w:ascii="Arial Narrow" w:hAnsi="Arial Narrow"/>
          <w:sz w:val="18"/>
          <w:szCs w:val="18"/>
        </w:rPr>
        <w:t>6</w:t>
      </w:r>
      <w:r>
        <w:rPr>
          <w:rFonts w:hint="eastAsia"/>
          <w:sz w:val="18"/>
          <w:szCs w:val="18"/>
        </w:rPr>
        <w:t>）投资方与其他方的关系。</w:t>
      </w:r>
    </w:p>
    <w:p w:rsidR="000F627F" w:rsidRDefault="000F627F">
      <w:pPr>
        <w:widowControl/>
        <w:numPr>
          <w:ilvl w:val="0"/>
          <w:numId w:val="17"/>
        </w:numPr>
        <w:spacing w:before="100" w:beforeAutospacing="1" w:after="100" w:afterAutospacing="1"/>
        <w:divId w:val="488400674"/>
        <w:rPr>
          <w:sz w:val="18"/>
          <w:szCs w:val="18"/>
        </w:rPr>
      </w:pPr>
      <w:r>
        <w:rPr>
          <w:rFonts w:ascii="Times New Roman" w:hAnsi="Times New Roman" w:cs="Times New Roman"/>
          <w:sz w:val="18"/>
          <w:szCs w:val="18"/>
        </w:rPr>
        <w:t xml:space="preserve">  </w:t>
      </w:r>
      <w:r>
        <w:rPr>
          <w:rStyle w:val="a5"/>
          <w:rFonts w:hint="eastAsia"/>
          <w:sz w:val="18"/>
          <w:szCs w:val="18"/>
        </w:rPr>
        <w:t>合并范围</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本公司合并财务报表的合并范围以控制为基础确定，所有子公司（包括本公司所控制的单独主体）均纳入合并财务报表。</w:t>
      </w:r>
    </w:p>
    <w:p w:rsidR="000F627F" w:rsidRDefault="000F627F">
      <w:pPr>
        <w:widowControl/>
        <w:numPr>
          <w:ilvl w:val="0"/>
          <w:numId w:val="18"/>
        </w:numPr>
        <w:spacing w:before="100" w:beforeAutospacing="1" w:after="100" w:afterAutospacing="1"/>
        <w:divId w:val="488400674"/>
        <w:rPr>
          <w:sz w:val="18"/>
          <w:szCs w:val="18"/>
        </w:rPr>
      </w:pPr>
      <w:r>
        <w:rPr>
          <w:rFonts w:ascii="Times New Roman" w:hAnsi="Times New Roman" w:cs="Times New Roman"/>
          <w:sz w:val="18"/>
          <w:szCs w:val="18"/>
        </w:rPr>
        <w:t xml:space="preserve">  </w:t>
      </w:r>
      <w:r>
        <w:rPr>
          <w:rStyle w:val="a5"/>
          <w:rFonts w:hint="eastAsia"/>
          <w:sz w:val="18"/>
          <w:szCs w:val="18"/>
        </w:rPr>
        <w:t>合并程序</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本公司以自身和各子公司的财务报表为基础，根据其他有关资料，编制合并财务报表。本公司编制合并财务报表，将整个企业集团视为一个会计主体，依据相关企业会计准则的确认、计量和列报要求，按照统一的会计政策，反映本企业集团整体财务状况、经营成果和现金流量。</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所有纳入合并财务报表合并范围的子公司所采用的会计政策、会计期间与本公司一致，如子公司采用的会计政策、会计期间与本公司不一致的，在编制合并财务报表时，按本公司的会计政策、会计期间进行必要的调整。</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合并财务报表时</w:t>
      </w:r>
      <w:proofErr w:type="gramStart"/>
      <w:r>
        <w:rPr>
          <w:rFonts w:hint="eastAsia"/>
          <w:sz w:val="18"/>
          <w:szCs w:val="18"/>
        </w:rPr>
        <w:t>抵销</w:t>
      </w:r>
      <w:proofErr w:type="gramEnd"/>
      <w:r>
        <w:rPr>
          <w:rFonts w:hint="eastAsia"/>
          <w:sz w:val="18"/>
          <w:szCs w:val="18"/>
        </w:rPr>
        <w:t>本公司与各子公司、各子公司相互之间发生的内部交易对合并资产负债表、合并利润表、合并现金流量表、合并股东权益变动表的影响。如果站在企业集团合并财务报表角度与以本公司或子公司为会计主体对同一交易的认定不同时，从企业集团的角度对该交易予以调整。</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w:t>
      </w:r>
      <w:proofErr w:type="gramStart"/>
      <w:r>
        <w:rPr>
          <w:rFonts w:hint="eastAsia"/>
          <w:sz w:val="18"/>
          <w:szCs w:val="18"/>
        </w:rPr>
        <w:t>冲减少</w:t>
      </w:r>
      <w:proofErr w:type="gramEnd"/>
      <w:r>
        <w:rPr>
          <w:rFonts w:hint="eastAsia"/>
          <w:sz w:val="18"/>
          <w:szCs w:val="18"/>
        </w:rPr>
        <w:t>数股东权益。</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对于同</w:t>
      </w:r>
      <w:proofErr w:type="gramStart"/>
      <w:r>
        <w:rPr>
          <w:rFonts w:hint="eastAsia"/>
          <w:sz w:val="18"/>
          <w:szCs w:val="18"/>
        </w:rPr>
        <w:t>一控制</w:t>
      </w:r>
      <w:proofErr w:type="gramEnd"/>
      <w:r>
        <w:rPr>
          <w:rFonts w:hint="eastAsia"/>
          <w:sz w:val="18"/>
          <w:szCs w:val="18"/>
        </w:rPr>
        <w:t>下企业合并取得的子公司，以其资产、负债（包括最终控制</w:t>
      </w:r>
      <w:proofErr w:type="gramStart"/>
      <w:r>
        <w:rPr>
          <w:rFonts w:hint="eastAsia"/>
          <w:sz w:val="18"/>
          <w:szCs w:val="18"/>
        </w:rPr>
        <w:t>方收购</w:t>
      </w:r>
      <w:proofErr w:type="gramEnd"/>
      <w:r>
        <w:rPr>
          <w:rFonts w:hint="eastAsia"/>
          <w:sz w:val="18"/>
          <w:szCs w:val="18"/>
        </w:rPr>
        <w:t>该子公司而形成的商誉）在最终控制方财务报表中的账面价值为基础对其财务报表进行调整。</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对于非同</w:t>
      </w:r>
      <w:proofErr w:type="gramStart"/>
      <w:r>
        <w:rPr>
          <w:rFonts w:hint="eastAsia"/>
          <w:sz w:val="18"/>
          <w:szCs w:val="18"/>
        </w:rPr>
        <w:t>一控制</w:t>
      </w:r>
      <w:proofErr w:type="gramEnd"/>
      <w:r>
        <w:rPr>
          <w:rFonts w:hint="eastAsia"/>
          <w:sz w:val="18"/>
          <w:szCs w:val="18"/>
        </w:rPr>
        <w:t>下企业合并取得的子公司，以购买日可辨认净资产公允价值为基础对其财务报表进行调整</w:t>
      </w:r>
    </w:p>
    <w:p w:rsidR="000F627F" w:rsidRDefault="000F627F">
      <w:pPr>
        <w:widowControl/>
        <w:numPr>
          <w:ilvl w:val="0"/>
          <w:numId w:val="19"/>
        </w:numPr>
        <w:spacing w:before="100" w:beforeAutospacing="1" w:after="100" w:afterAutospacing="1"/>
        <w:divId w:val="488400674"/>
        <w:rPr>
          <w:sz w:val="18"/>
          <w:szCs w:val="18"/>
        </w:rPr>
      </w:pPr>
      <w:r>
        <w:rPr>
          <w:rFonts w:hint="eastAsia"/>
          <w:sz w:val="18"/>
          <w:szCs w:val="18"/>
        </w:rPr>
        <w:lastRenderedPageBreak/>
        <w:t>增加子公司或业务</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在报告期内，若因同</w:t>
      </w:r>
      <w:proofErr w:type="gramStart"/>
      <w:r>
        <w:rPr>
          <w:rFonts w:hint="eastAsia"/>
          <w:sz w:val="18"/>
          <w:szCs w:val="18"/>
        </w:rPr>
        <w:t>一控制</w:t>
      </w:r>
      <w:proofErr w:type="gramEnd"/>
      <w:r>
        <w:rPr>
          <w:rFonts w:hint="eastAsia"/>
          <w:sz w:val="18"/>
          <w:szCs w:val="18"/>
        </w:rPr>
        <w:t>下企业合并增加子公司或业务的，则调整合并资产负债表的期初数；将子公司或业务合并当期期初</w:t>
      </w:r>
      <w:proofErr w:type="gramStart"/>
      <w:r>
        <w:rPr>
          <w:rFonts w:hint="eastAsia"/>
          <w:sz w:val="18"/>
          <w:szCs w:val="18"/>
        </w:rPr>
        <w:t>至报告</w:t>
      </w:r>
      <w:proofErr w:type="gramEnd"/>
      <w:r>
        <w:rPr>
          <w:rFonts w:hint="eastAsia"/>
          <w:sz w:val="18"/>
          <w:szCs w:val="18"/>
        </w:rPr>
        <w:t>期末的收入、费用、利润纳入合并利润表；将子公司或业务合并当期期初</w:t>
      </w:r>
      <w:proofErr w:type="gramStart"/>
      <w:r>
        <w:rPr>
          <w:rFonts w:hint="eastAsia"/>
          <w:sz w:val="18"/>
          <w:szCs w:val="18"/>
        </w:rPr>
        <w:t>至报告</w:t>
      </w:r>
      <w:proofErr w:type="gramEnd"/>
      <w:r>
        <w:rPr>
          <w:rFonts w:hint="eastAsia"/>
          <w:sz w:val="18"/>
          <w:szCs w:val="18"/>
        </w:rPr>
        <w:t>期末的现金流量纳入合并现金流量表，同时对比较报表的相关项目进行调整，视同合并后的报告主体</w:t>
      </w:r>
      <w:proofErr w:type="gramStart"/>
      <w:r>
        <w:rPr>
          <w:rFonts w:hint="eastAsia"/>
          <w:sz w:val="18"/>
          <w:szCs w:val="18"/>
        </w:rPr>
        <w:t>自最终</w:t>
      </w:r>
      <w:proofErr w:type="gramEnd"/>
      <w:r>
        <w:rPr>
          <w:rFonts w:hint="eastAsia"/>
          <w:sz w:val="18"/>
          <w:szCs w:val="18"/>
        </w:rPr>
        <w:t>控制方开始控制时点起一直存在。</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因追加投资等原因能够对同</w:t>
      </w:r>
      <w:proofErr w:type="gramStart"/>
      <w:r>
        <w:rPr>
          <w:rFonts w:hint="eastAsia"/>
          <w:sz w:val="18"/>
          <w:szCs w:val="18"/>
        </w:rPr>
        <w:t>一控制</w:t>
      </w:r>
      <w:proofErr w:type="gramEnd"/>
      <w:r>
        <w:rPr>
          <w:rFonts w:hint="eastAsia"/>
          <w:sz w:val="18"/>
          <w:szCs w:val="18"/>
        </w:rPr>
        <w:t>下的被投资方实施控制的，视同参与合并的各方在最终控制方开始控制时即以目前的状态存在进行调整。在取得被合并方控制权之前持有的股权投资，在取得原股权之日与合并方和被合并方同处于同</w:t>
      </w:r>
      <w:proofErr w:type="gramStart"/>
      <w:r>
        <w:rPr>
          <w:rFonts w:hint="eastAsia"/>
          <w:sz w:val="18"/>
          <w:szCs w:val="18"/>
        </w:rPr>
        <w:t>一控制之日孰晚日</w:t>
      </w:r>
      <w:proofErr w:type="gramEnd"/>
      <w:r>
        <w:rPr>
          <w:rFonts w:hint="eastAsia"/>
          <w:sz w:val="18"/>
          <w:szCs w:val="18"/>
        </w:rPr>
        <w:t>起至</w:t>
      </w:r>
      <w:proofErr w:type="gramStart"/>
      <w:r>
        <w:rPr>
          <w:rFonts w:hint="eastAsia"/>
          <w:sz w:val="18"/>
          <w:szCs w:val="18"/>
        </w:rPr>
        <w:t>合并日</w:t>
      </w:r>
      <w:proofErr w:type="gramEnd"/>
      <w:r>
        <w:rPr>
          <w:rFonts w:hint="eastAsia"/>
          <w:sz w:val="18"/>
          <w:szCs w:val="18"/>
        </w:rPr>
        <w:t>之间已确认有关损益、其他综合收益以及其他净资产变动，分别冲减比较报表期间的期初留存收益或当期损益。</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在报告期内，若因非同</w:t>
      </w:r>
      <w:proofErr w:type="gramStart"/>
      <w:r>
        <w:rPr>
          <w:rFonts w:hint="eastAsia"/>
          <w:sz w:val="18"/>
          <w:szCs w:val="18"/>
        </w:rPr>
        <w:t>一控制</w:t>
      </w:r>
      <w:proofErr w:type="gramEnd"/>
      <w:r>
        <w:rPr>
          <w:rFonts w:hint="eastAsia"/>
          <w:sz w:val="18"/>
          <w:szCs w:val="18"/>
        </w:rPr>
        <w:t>下企业合并增加子公司或业务的，则不调整合并资产负债表期初数；将该子公司或业务自购买日至报告期末的收入、费用、利润纳入合并利润表；该子公司或业务自购买日至报告期末的现金流量纳入合并现金流量表。</w:t>
      </w:r>
    </w:p>
    <w:p w:rsidR="000F627F" w:rsidRDefault="000F627F">
      <w:pPr>
        <w:pStyle w:val="a3"/>
        <w:spacing w:before="50" w:beforeAutospacing="0" w:after="0" w:afterAutospacing="0" w:line="360" w:lineRule="auto"/>
        <w:ind w:firstLine="420"/>
        <w:jc w:val="both"/>
        <w:divId w:val="488400674"/>
        <w:rPr>
          <w:sz w:val="21"/>
          <w:szCs w:val="21"/>
        </w:rPr>
      </w:pPr>
      <w:r>
        <w:rPr>
          <w:rFonts w:hint="eastAsia"/>
          <w:sz w:val="18"/>
          <w:szCs w:val="18"/>
        </w:rPr>
        <w:t>因追加投资等原因能够对非同</w:t>
      </w:r>
      <w:proofErr w:type="gramStart"/>
      <w:r>
        <w:rPr>
          <w:rFonts w:hint="eastAsia"/>
          <w:sz w:val="18"/>
          <w:szCs w:val="18"/>
        </w:rPr>
        <w:t>一控制</w:t>
      </w:r>
      <w:proofErr w:type="gramEnd"/>
      <w:r>
        <w:rPr>
          <w:rFonts w:hint="eastAsia"/>
          <w:sz w:val="18"/>
          <w:szCs w:val="18"/>
        </w:rPr>
        <w:t>下的被投资方实施控制的，对于购买日之前持有的被购买方的股权，本公司按照该股权在购买日的公允价值进行重新计量，公允价值与其账面价值的差额计入当期投资收益。购买日之前持有的被购买方的股权涉及权益法核算下的其他综合收益以及除净损益、其他综合收益和利润分配之外的其他所有者权益变动的，与其相关的其他综合收益、其他所有者权益变动转为购买日所属当期投资收益，由于被投资方重新计量设定受益计划净负债或净资产变动而产生的其他综合收益除外。</w:t>
      </w:r>
    </w:p>
    <w:p w:rsidR="000F627F" w:rsidRDefault="000F627F">
      <w:pPr>
        <w:widowControl/>
        <w:numPr>
          <w:ilvl w:val="0"/>
          <w:numId w:val="20"/>
        </w:numPr>
        <w:spacing w:before="100" w:beforeAutospacing="1" w:after="100" w:afterAutospacing="1"/>
        <w:divId w:val="488400674"/>
        <w:rPr>
          <w:sz w:val="18"/>
          <w:szCs w:val="18"/>
        </w:rPr>
      </w:pPr>
      <w:r>
        <w:rPr>
          <w:rFonts w:hint="eastAsia"/>
          <w:sz w:val="18"/>
          <w:szCs w:val="18"/>
        </w:rPr>
        <w:t>处置子公司或业务</w:t>
      </w:r>
    </w:p>
    <w:p w:rsidR="000F627F" w:rsidRDefault="000F627F">
      <w:pPr>
        <w:pStyle w:val="a3"/>
        <w:spacing w:before="0" w:beforeAutospacing="0" w:after="0" w:afterAutospacing="0" w:line="360" w:lineRule="auto"/>
        <w:ind w:firstLine="420"/>
        <w:jc w:val="both"/>
        <w:divId w:val="488400674"/>
        <w:rPr>
          <w:sz w:val="21"/>
          <w:szCs w:val="21"/>
        </w:rPr>
      </w:pPr>
      <w:r>
        <w:rPr>
          <w:rFonts w:hint="eastAsia"/>
          <w:sz w:val="18"/>
          <w:szCs w:val="18"/>
        </w:rPr>
        <w:t>1）一般处理方法</w:t>
      </w:r>
    </w:p>
    <w:p w:rsidR="000F627F" w:rsidRDefault="000F627F">
      <w:pPr>
        <w:pStyle w:val="a3"/>
        <w:spacing w:before="0" w:beforeAutospacing="0" w:after="0" w:afterAutospacing="0" w:line="360" w:lineRule="auto"/>
        <w:ind w:firstLine="420"/>
        <w:jc w:val="both"/>
        <w:divId w:val="488400674"/>
        <w:rPr>
          <w:sz w:val="21"/>
          <w:szCs w:val="21"/>
        </w:rPr>
      </w:pPr>
      <w:r>
        <w:rPr>
          <w:rFonts w:hint="eastAsia"/>
          <w:sz w:val="18"/>
          <w:szCs w:val="18"/>
        </w:rPr>
        <w:t>在报告期内，本公司处置子公司或业务，则该子公司或业务期初至</w:t>
      </w:r>
      <w:proofErr w:type="gramStart"/>
      <w:r>
        <w:rPr>
          <w:rFonts w:hint="eastAsia"/>
          <w:sz w:val="18"/>
          <w:szCs w:val="18"/>
        </w:rPr>
        <w:t>处置日</w:t>
      </w:r>
      <w:proofErr w:type="gramEnd"/>
      <w:r>
        <w:rPr>
          <w:rFonts w:hint="eastAsia"/>
          <w:sz w:val="18"/>
          <w:szCs w:val="18"/>
        </w:rPr>
        <w:t>的收入、费用、利润纳入合并利润表；该子公司或业务期初至</w:t>
      </w:r>
      <w:proofErr w:type="gramStart"/>
      <w:r>
        <w:rPr>
          <w:rFonts w:hint="eastAsia"/>
          <w:sz w:val="18"/>
          <w:szCs w:val="18"/>
        </w:rPr>
        <w:t>处置日</w:t>
      </w:r>
      <w:proofErr w:type="gramEnd"/>
      <w:r>
        <w:rPr>
          <w:rFonts w:hint="eastAsia"/>
          <w:sz w:val="18"/>
          <w:szCs w:val="18"/>
        </w:rPr>
        <w:t>的现金流量纳入合并现金流量表。</w:t>
      </w:r>
    </w:p>
    <w:p w:rsidR="000F627F" w:rsidRDefault="000F627F">
      <w:pPr>
        <w:pStyle w:val="a3"/>
        <w:spacing w:before="0" w:beforeAutospacing="0" w:after="0" w:afterAutospacing="0" w:line="360" w:lineRule="auto"/>
        <w:ind w:firstLine="420"/>
        <w:jc w:val="both"/>
        <w:divId w:val="488400674"/>
        <w:rPr>
          <w:sz w:val="21"/>
          <w:szCs w:val="21"/>
        </w:rPr>
      </w:pPr>
      <w:r>
        <w:rPr>
          <w:rFonts w:hint="eastAsia"/>
          <w:sz w:val="18"/>
          <w:szCs w:val="18"/>
        </w:rPr>
        <w:t>因处置部分股权投资或其他原因丧失了对被投资方控制权时，对于处置后的剩余股权投资，本公司按照其在丧失控制权日的公允价值进行重新计量。处置股权取得的对价与剩余股权公允价值之和，减去按原持股比例计算应享有原有子公司自购买日或</w:t>
      </w:r>
      <w:proofErr w:type="gramStart"/>
      <w:r>
        <w:rPr>
          <w:rFonts w:hint="eastAsia"/>
          <w:sz w:val="18"/>
          <w:szCs w:val="18"/>
        </w:rPr>
        <w:t>合并日</w:t>
      </w:r>
      <w:proofErr w:type="gramEnd"/>
      <w:r>
        <w:rPr>
          <w:rFonts w:hint="eastAsia"/>
          <w:sz w:val="18"/>
          <w:szCs w:val="18"/>
        </w:rPr>
        <w:t>开始持续计算的净资产的份额与商誉之和的差额，计入丧失控制权当期的投资收益。与原有子公司股权投资相关的其他综合收益或除净损益、其他综合收益及利润分配之外的其他所有者权益变动，在丧失控制权时转为当期投资收益，由于被投资方重新计量设定受益计划净负债或净资产变动而产生的其他综合收益除外。</w:t>
      </w:r>
    </w:p>
    <w:p w:rsidR="000F627F" w:rsidRDefault="000F627F">
      <w:pPr>
        <w:pStyle w:val="a3"/>
        <w:spacing w:before="0" w:beforeAutospacing="0" w:after="0" w:afterAutospacing="0" w:line="360" w:lineRule="auto"/>
        <w:ind w:firstLine="420"/>
        <w:jc w:val="both"/>
        <w:divId w:val="488400674"/>
        <w:rPr>
          <w:sz w:val="21"/>
          <w:szCs w:val="21"/>
        </w:rPr>
      </w:pPr>
      <w:r>
        <w:rPr>
          <w:rFonts w:hint="eastAsia"/>
          <w:sz w:val="18"/>
          <w:szCs w:val="18"/>
        </w:rPr>
        <w:t>2）分步处置子公司</w:t>
      </w:r>
    </w:p>
    <w:p w:rsidR="000F627F" w:rsidRDefault="000F627F">
      <w:pPr>
        <w:pStyle w:val="a3"/>
        <w:spacing w:before="0" w:beforeAutospacing="0" w:after="0" w:afterAutospacing="0" w:line="360" w:lineRule="auto"/>
        <w:ind w:firstLine="420"/>
        <w:jc w:val="both"/>
        <w:divId w:val="488400674"/>
        <w:rPr>
          <w:sz w:val="21"/>
          <w:szCs w:val="21"/>
        </w:rPr>
      </w:pPr>
      <w:r>
        <w:rPr>
          <w:rFonts w:hint="eastAsia"/>
          <w:sz w:val="18"/>
          <w:szCs w:val="18"/>
        </w:rPr>
        <w:t>通过多次交易分步处置对子公司股权投资直至丧失控制权的，处置对子公司股权投资的各项交易的条款、条件以及经济影响符合以下一种或多种情况，通常表明应将多次交易事项作为一揽子交易进行会计处理：</w:t>
      </w:r>
    </w:p>
    <w:p w:rsidR="000F627F" w:rsidRDefault="000F627F">
      <w:pPr>
        <w:pStyle w:val="a3"/>
        <w:spacing w:before="0" w:beforeAutospacing="0" w:after="0" w:afterAutospacing="0" w:line="360" w:lineRule="auto"/>
        <w:ind w:firstLine="420"/>
        <w:jc w:val="both"/>
        <w:divId w:val="488400674"/>
        <w:rPr>
          <w:sz w:val="21"/>
          <w:szCs w:val="21"/>
        </w:rPr>
      </w:pPr>
      <w:r>
        <w:rPr>
          <w:rFonts w:hint="eastAsia"/>
          <w:sz w:val="18"/>
          <w:szCs w:val="18"/>
        </w:rPr>
        <w:lastRenderedPageBreak/>
        <w:t>A.这些交易是同时或者在考虑了彼此影响的情况下订立的；</w:t>
      </w:r>
    </w:p>
    <w:p w:rsidR="000F627F" w:rsidRDefault="000F627F">
      <w:pPr>
        <w:pStyle w:val="a3"/>
        <w:spacing w:before="0" w:beforeAutospacing="0" w:after="0" w:afterAutospacing="0" w:line="360" w:lineRule="auto"/>
        <w:ind w:firstLine="420"/>
        <w:jc w:val="both"/>
        <w:divId w:val="488400674"/>
        <w:rPr>
          <w:sz w:val="21"/>
          <w:szCs w:val="21"/>
        </w:rPr>
      </w:pPr>
      <w:r>
        <w:rPr>
          <w:rFonts w:hint="eastAsia"/>
          <w:sz w:val="18"/>
          <w:szCs w:val="18"/>
        </w:rPr>
        <w:t>B.这些交易整体才能达成一项完整的商业结果；</w:t>
      </w:r>
    </w:p>
    <w:p w:rsidR="000F627F" w:rsidRDefault="000F627F">
      <w:pPr>
        <w:pStyle w:val="a3"/>
        <w:spacing w:before="0" w:beforeAutospacing="0" w:after="0" w:afterAutospacing="0" w:line="360" w:lineRule="auto"/>
        <w:ind w:firstLine="420"/>
        <w:jc w:val="both"/>
        <w:divId w:val="488400674"/>
        <w:rPr>
          <w:sz w:val="21"/>
          <w:szCs w:val="21"/>
        </w:rPr>
      </w:pPr>
      <w:r>
        <w:rPr>
          <w:rFonts w:hint="eastAsia"/>
          <w:sz w:val="18"/>
          <w:szCs w:val="18"/>
        </w:rPr>
        <w:t>C.一项交易的发生取决于其他至少一项交易的发生；</w:t>
      </w:r>
    </w:p>
    <w:p w:rsidR="000F627F" w:rsidRDefault="000F627F">
      <w:pPr>
        <w:pStyle w:val="a3"/>
        <w:spacing w:before="0" w:beforeAutospacing="0" w:after="0" w:afterAutospacing="0" w:line="360" w:lineRule="auto"/>
        <w:ind w:firstLine="420"/>
        <w:jc w:val="both"/>
        <w:divId w:val="488400674"/>
        <w:rPr>
          <w:sz w:val="21"/>
          <w:szCs w:val="21"/>
        </w:rPr>
      </w:pPr>
      <w:r>
        <w:rPr>
          <w:rFonts w:hint="eastAsia"/>
          <w:sz w:val="18"/>
          <w:szCs w:val="18"/>
        </w:rPr>
        <w:t>D.一项交易单独看是不经济的，但是和其他交易一并考虑时是经济的。</w:t>
      </w:r>
    </w:p>
    <w:p w:rsidR="000F627F" w:rsidRDefault="000F627F">
      <w:pPr>
        <w:pStyle w:val="a3"/>
        <w:spacing w:before="0" w:beforeAutospacing="0" w:after="0" w:afterAutospacing="0" w:line="360" w:lineRule="auto"/>
        <w:ind w:firstLine="420"/>
        <w:jc w:val="both"/>
        <w:divId w:val="488400674"/>
        <w:rPr>
          <w:sz w:val="21"/>
          <w:szCs w:val="21"/>
        </w:rPr>
      </w:pPr>
      <w:r>
        <w:rPr>
          <w:rFonts w:hint="eastAsia"/>
          <w:sz w:val="18"/>
          <w:szCs w:val="18"/>
        </w:rPr>
        <w:t>处置对子公司股权投资直至丧失控制权的各项交易属于一揽子交易的，本公司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0F627F" w:rsidRDefault="000F627F">
      <w:pPr>
        <w:pStyle w:val="a3"/>
        <w:spacing w:before="0" w:beforeAutospacing="0" w:after="0" w:afterAutospacing="0" w:line="360" w:lineRule="auto"/>
        <w:ind w:firstLine="420"/>
        <w:jc w:val="both"/>
        <w:divId w:val="488400674"/>
        <w:rPr>
          <w:sz w:val="21"/>
          <w:szCs w:val="21"/>
        </w:rPr>
      </w:pPr>
      <w:r>
        <w:rPr>
          <w:rFonts w:hint="eastAsia"/>
          <w:sz w:val="18"/>
          <w:szCs w:val="18"/>
        </w:rPr>
        <w:t>处置对子公司股权投资直至丧失控制权的各项交易不属于一揽子交易的，在丧失控制权之前，按不丧失控制权的情况下部分处置对子公司的股权投资的相关政策进行会计处理；在丧失控制权时，按处置子公司一般处理方法进行会计处理。</w:t>
      </w:r>
    </w:p>
    <w:p w:rsidR="000F627F" w:rsidRDefault="000F627F">
      <w:pPr>
        <w:widowControl/>
        <w:numPr>
          <w:ilvl w:val="0"/>
          <w:numId w:val="21"/>
        </w:numPr>
        <w:spacing w:before="100" w:beforeAutospacing="1" w:after="100" w:afterAutospacing="1"/>
        <w:divId w:val="488400674"/>
        <w:rPr>
          <w:sz w:val="18"/>
          <w:szCs w:val="18"/>
        </w:rPr>
      </w:pPr>
      <w:r>
        <w:rPr>
          <w:rFonts w:hint="eastAsia"/>
          <w:sz w:val="18"/>
          <w:szCs w:val="18"/>
        </w:rPr>
        <w:t>购买子公司少数股权</w:t>
      </w:r>
    </w:p>
    <w:p w:rsidR="000F627F" w:rsidRDefault="000F627F">
      <w:pPr>
        <w:pStyle w:val="a3"/>
        <w:spacing w:before="0" w:beforeAutospacing="0" w:after="0" w:afterAutospacing="0" w:line="360" w:lineRule="auto"/>
        <w:ind w:firstLine="420"/>
        <w:jc w:val="both"/>
        <w:divId w:val="488400674"/>
        <w:rPr>
          <w:sz w:val="21"/>
          <w:szCs w:val="21"/>
        </w:rPr>
      </w:pPr>
      <w:r>
        <w:rPr>
          <w:rFonts w:hint="eastAsia"/>
          <w:sz w:val="18"/>
          <w:szCs w:val="18"/>
        </w:rPr>
        <w:t>本公司因购买少数股权新取得的长期股权投资与按照新增持股比例计算应享有子公司自购买日（或合并日）开始持续计算的净资产份额之间的差额，调整合并资产负债表中的资本公积中的股本溢价，资本公积中的股本溢价不足冲减的，调整留存收益。</w:t>
      </w:r>
    </w:p>
    <w:p w:rsidR="000F627F" w:rsidRDefault="000F627F">
      <w:pPr>
        <w:widowControl/>
        <w:numPr>
          <w:ilvl w:val="0"/>
          <w:numId w:val="22"/>
        </w:numPr>
        <w:spacing w:before="100" w:beforeAutospacing="1" w:after="100" w:afterAutospacing="1"/>
        <w:divId w:val="488400674"/>
        <w:rPr>
          <w:sz w:val="18"/>
          <w:szCs w:val="18"/>
        </w:rPr>
      </w:pPr>
      <w:r>
        <w:rPr>
          <w:rFonts w:hint="eastAsia"/>
          <w:sz w:val="18"/>
          <w:szCs w:val="18"/>
        </w:rPr>
        <w:t>不丧失控制权的情况下部分处置对子公司的股权投资</w:t>
      </w:r>
    </w:p>
    <w:p w:rsidR="000F627F" w:rsidRDefault="000F627F">
      <w:pPr>
        <w:pStyle w:val="a3"/>
        <w:divId w:val="488400674"/>
        <w:rPr>
          <w:sz w:val="18"/>
          <w:szCs w:val="18"/>
        </w:rPr>
      </w:pPr>
      <w:r>
        <w:rPr>
          <w:rFonts w:hint="eastAsia"/>
          <w:sz w:val="18"/>
          <w:szCs w:val="18"/>
        </w:rPr>
        <w:t>   在不丧失控制权的情况下因部分处置对子公司的长期股权投资而取得的处置价款与处置长期股权投资相对应享有子公司自购买日或</w:t>
      </w:r>
      <w:proofErr w:type="gramStart"/>
      <w:r>
        <w:rPr>
          <w:rFonts w:hint="eastAsia"/>
          <w:sz w:val="18"/>
          <w:szCs w:val="18"/>
        </w:rPr>
        <w:t>合并日</w:t>
      </w:r>
      <w:proofErr w:type="gramEnd"/>
      <w:r>
        <w:rPr>
          <w:rFonts w:hint="eastAsia"/>
          <w:sz w:val="18"/>
          <w:szCs w:val="18"/>
        </w:rPr>
        <w:t xml:space="preserve">开始持续计算的净资产份额之间的差额，调整合并资产负债表中的资本公积中的股本溢价，资本公积中的股本溢价不足冲减的，调整留存收益。 </w:t>
      </w:r>
    </w:p>
    <w:p w:rsidR="000D58D8" w:rsidRDefault="000F627F">
      <w:pPr>
        <w:pStyle w:val="3"/>
        <w:spacing w:line="280" w:lineRule="exact"/>
        <w:jc w:val="left"/>
        <w:rPr>
          <w:rFonts w:ascii="宋体" w:hAnsi="宋体" w:cs="宋体"/>
          <w:b/>
          <w:bCs/>
        </w:rPr>
      </w:pPr>
      <w:bookmarkStart w:id="184" w:name="_Toc989072"/>
      <w:r>
        <w:rPr>
          <w:rFonts w:ascii="宋体" w:hAnsi="宋体" w:cs="宋体"/>
          <w:b/>
          <w:bCs/>
        </w:rPr>
        <w:t>8、合营安排分类及共同经营会计处理方法</w:t>
      </w:r>
      <w:bookmarkEnd w:id="184"/>
    </w:p>
    <w:p w:rsidR="000F627F" w:rsidRDefault="000F627F">
      <w:pPr>
        <w:widowControl/>
        <w:numPr>
          <w:ilvl w:val="0"/>
          <w:numId w:val="23"/>
        </w:numPr>
        <w:spacing w:before="100" w:beforeAutospacing="1" w:after="100" w:afterAutospacing="1"/>
        <w:divId w:val="1628396037"/>
        <w:rPr>
          <w:sz w:val="18"/>
          <w:szCs w:val="18"/>
        </w:rPr>
      </w:pPr>
      <w:r>
        <w:rPr>
          <w:rFonts w:hint="eastAsia"/>
          <w:sz w:val="18"/>
          <w:szCs w:val="18"/>
        </w:rPr>
        <w:t>．</w:t>
      </w:r>
      <w:r>
        <w:rPr>
          <w:rFonts w:ascii="Times New Roman" w:hAnsi="Times New Roman" w:cs="Times New Roman"/>
          <w:sz w:val="18"/>
          <w:szCs w:val="18"/>
        </w:rPr>
        <w:t xml:space="preserve">   </w:t>
      </w:r>
      <w:r>
        <w:rPr>
          <w:rStyle w:val="a5"/>
          <w:rFonts w:hint="eastAsia"/>
          <w:sz w:val="18"/>
          <w:szCs w:val="18"/>
        </w:rPr>
        <w:t>合营安排的分类</w:t>
      </w:r>
    </w:p>
    <w:p w:rsidR="000F627F" w:rsidRDefault="000F627F">
      <w:pPr>
        <w:pStyle w:val="a3"/>
        <w:spacing w:before="0" w:beforeAutospacing="0" w:after="0" w:afterAutospacing="0" w:line="360" w:lineRule="auto"/>
        <w:ind w:firstLine="420"/>
        <w:jc w:val="both"/>
        <w:divId w:val="1628396037"/>
        <w:rPr>
          <w:sz w:val="21"/>
          <w:szCs w:val="21"/>
        </w:rPr>
      </w:pPr>
      <w:r>
        <w:rPr>
          <w:rFonts w:hint="eastAsia"/>
          <w:sz w:val="18"/>
          <w:szCs w:val="18"/>
        </w:rPr>
        <w:t>本公司根据合营安排的结构、法律形式以及合营安排中约定的条款、其他相关事实和情况等因素，将合营安排分为共同经营和合营企业。</w:t>
      </w:r>
    </w:p>
    <w:p w:rsidR="000F627F" w:rsidRDefault="000F627F">
      <w:pPr>
        <w:pStyle w:val="a3"/>
        <w:spacing w:before="0" w:beforeAutospacing="0" w:after="0" w:afterAutospacing="0" w:line="360" w:lineRule="auto"/>
        <w:ind w:firstLine="420"/>
        <w:jc w:val="both"/>
        <w:divId w:val="1628396037"/>
        <w:rPr>
          <w:sz w:val="21"/>
          <w:szCs w:val="21"/>
        </w:rPr>
      </w:pPr>
      <w:r>
        <w:rPr>
          <w:rFonts w:hint="eastAsia"/>
          <w:sz w:val="18"/>
          <w:szCs w:val="18"/>
        </w:rPr>
        <w:t>未通过单独主体达成的合营安排，划分为共同经营；通过单独主体达成的合营安排，通常划分为合营企业；但有确凿证据表明满足下列任</w:t>
      </w:r>
      <w:proofErr w:type="gramStart"/>
      <w:r>
        <w:rPr>
          <w:rFonts w:hint="eastAsia"/>
          <w:sz w:val="18"/>
          <w:szCs w:val="18"/>
        </w:rPr>
        <w:t>一</w:t>
      </w:r>
      <w:proofErr w:type="gramEnd"/>
      <w:r>
        <w:rPr>
          <w:rFonts w:hint="eastAsia"/>
          <w:sz w:val="18"/>
          <w:szCs w:val="18"/>
        </w:rPr>
        <w:t>条件并且符合相关法律法规规定的合营安排划分为共同经营：</w:t>
      </w:r>
    </w:p>
    <w:p w:rsidR="000F627F" w:rsidRDefault="000F627F">
      <w:pPr>
        <w:widowControl/>
        <w:numPr>
          <w:ilvl w:val="1"/>
          <w:numId w:val="24"/>
        </w:numPr>
        <w:spacing w:before="100" w:beforeAutospacing="1" w:after="100" w:afterAutospacing="1"/>
        <w:divId w:val="1628396037"/>
        <w:rPr>
          <w:sz w:val="18"/>
          <w:szCs w:val="18"/>
        </w:rPr>
      </w:pPr>
      <w:r>
        <w:rPr>
          <w:rFonts w:hint="eastAsia"/>
          <w:sz w:val="18"/>
          <w:szCs w:val="18"/>
        </w:rPr>
        <w:t>合营安排的法律形式表明，合营方对该安排中的相关资产和负债分别享有权利和承担义务。</w:t>
      </w:r>
    </w:p>
    <w:p w:rsidR="000F627F" w:rsidRDefault="000F627F">
      <w:pPr>
        <w:widowControl/>
        <w:numPr>
          <w:ilvl w:val="1"/>
          <w:numId w:val="24"/>
        </w:numPr>
        <w:spacing w:before="100" w:beforeAutospacing="1" w:after="100" w:afterAutospacing="1"/>
        <w:divId w:val="1628396037"/>
        <w:rPr>
          <w:sz w:val="18"/>
          <w:szCs w:val="18"/>
        </w:rPr>
      </w:pPr>
      <w:r>
        <w:rPr>
          <w:rFonts w:hint="eastAsia"/>
          <w:sz w:val="18"/>
          <w:szCs w:val="18"/>
        </w:rPr>
        <w:t>合营安排的合同条款约定，合营方对该安排中的相关资产和负债分别享有权利和承担义务。</w:t>
      </w:r>
    </w:p>
    <w:p w:rsidR="000F627F" w:rsidRDefault="000F627F">
      <w:pPr>
        <w:widowControl/>
        <w:numPr>
          <w:ilvl w:val="1"/>
          <w:numId w:val="24"/>
        </w:numPr>
        <w:spacing w:before="100" w:beforeAutospacing="1" w:after="100" w:afterAutospacing="1"/>
        <w:divId w:val="1628396037"/>
        <w:rPr>
          <w:sz w:val="18"/>
          <w:szCs w:val="18"/>
        </w:rPr>
      </w:pPr>
      <w:r>
        <w:rPr>
          <w:rFonts w:hint="eastAsia"/>
          <w:sz w:val="18"/>
          <w:szCs w:val="18"/>
        </w:rPr>
        <w:t>其他相关事实和情况表明，合营方对该安排中的相关资产和负债分别享有权利和承担义务，如合营方享有与合营安排相关的几乎所有产出，并且该安排中负债的清偿持续依赖于合营方的支持。</w:t>
      </w:r>
    </w:p>
    <w:p w:rsidR="000F627F" w:rsidRDefault="000F627F">
      <w:pPr>
        <w:widowControl/>
        <w:numPr>
          <w:ilvl w:val="0"/>
          <w:numId w:val="25"/>
        </w:numPr>
        <w:spacing w:before="100" w:beforeAutospacing="1" w:after="100" w:afterAutospacing="1"/>
        <w:divId w:val="1628396037"/>
        <w:rPr>
          <w:sz w:val="18"/>
          <w:szCs w:val="18"/>
        </w:rPr>
      </w:pPr>
      <w:r>
        <w:rPr>
          <w:rFonts w:ascii="Times New Roman" w:hAnsi="Times New Roman" w:cs="Times New Roman"/>
          <w:sz w:val="18"/>
          <w:szCs w:val="18"/>
        </w:rPr>
        <w:lastRenderedPageBreak/>
        <w:t xml:space="preserve">  </w:t>
      </w:r>
      <w:r>
        <w:rPr>
          <w:rStyle w:val="a5"/>
          <w:rFonts w:hint="eastAsia"/>
          <w:sz w:val="18"/>
          <w:szCs w:val="18"/>
        </w:rPr>
        <w:t>共同经营会计处理方法</w:t>
      </w:r>
    </w:p>
    <w:p w:rsidR="000F627F" w:rsidRDefault="000F627F">
      <w:pPr>
        <w:pStyle w:val="a3"/>
        <w:spacing w:before="0" w:beforeAutospacing="0" w:after="0" w:afterAutospacing="0" w:line="360" w:lineRule="auto"/>
        <w:ind w:firstLine="420"/>
        <w:jc w:val="both"/>
        <w:divId w:val="1628396037"/>
        <w:rPr>
          <w:sz w:val="21"/>
          <w:szCs w:val="21"/>
        </w:rPr>
      </w:pPr>
      <w:r>
        <w:rPr>
          <w:rFonts w:hint="eastAsia"/>
          <w:sz w:val="18"/>
          <w:szCs w:val="18"/>
        </w:rPr>
        <w:t>本公司确认共同经营中利益份额中与本公司相关的下列项目，并按照相关企业会计准则的规定进行会计处理：</w:t>
      </w:r>
    </w:p>
    <w:p w:rsidR="000F627F" w:rsidRDefault="000F627F">
      <w:pPr>
        <w:widowControl/>
        <w:numPr>
          <w:ilvl w:val="1"/>
          <w:numId w:val="26"/>
        </w:numPr>
        <w:spacing w:before="100" w:beforeAutospacing="1" w:after="100" w:afterAutospacing="1"/>
        <w:divId w:val="1628396037"/>
        <w:rPr>
          <w:sz w:val="18"/>
          <w:szCs w:val="18"/>
        </w:rPr>
      </w:pPr>
      <w:r>
        <w:rPr>
          <w:rFonts w:hint="eastAsia"/>
          <w:sz w:val="18"/>
          <w:szCs w:val="18"/>
        </w:rPr>
        <w:t>确认单独所持有的资产，以及按其份额确认共同持有的资产；</w:t>
      </w:r>
    </w:p>
    <w:p w:rsidR="000F627F" w:rsidRDefault="000F627F">
      <w:pPr>
        <w:widowControl/>
        <w:numPr>
          <w:ilvl w:val="1"/>
          <w:numId w:val="26"/>
        </w:numPr>
        <w:spacing w:before="100" w:beforeAutospacing="1" w:after="100" w:afterAutospacing="1"/>
        <w:divId w:val="1628396037"/>
        <w:rPr>
          <w:sz w:val="18"/>
          <w:szCs w:val="18"/>
        </w:rPr>
      </w:pPr>
      <w:r>
        <w:rPr>
          <w:rFonts w:hint="eastAsia"/>
          <w:sz w:val="18"/>
          <w:szCs w:val="18"/>
        </w:rPr>
        <w:t>确认单独所承担的负债，以及按其份额确认共同承担的负债；</w:t>
      </w:r>
    </w:p>
    <w:p w:rsidR="000F627F" w:rsidRDefault="000F627F">
      <w:pPr>
        <w:widowControl/>
        <w:numPr>
          <w:ilvl w:val="1"/>
          <w:numId w:val="26"/>
        </w:numPr>
        <w:spacing w:before="100" w:beforeAutospacing="1" w:after="100" w:afterAutospacing="1"/>
        <w:divId w:val="1628396037"/>
        <w:rPr>
          <w:sz w:val="18"/>
          <w:szCs w:val="18"/>
        </w:rPr>
      </w:pPr>
      <w:r>
        <w:rPr>
          <w:rFonts w:hint="eastAsia"/>
          <w:sz w:val="18"/>
          <w:szCs w:val="18"/>
        </w:rPr>
        <w:t>确认出售其享有的共同经营产出份额所产生的收入；</w:t>
      </w:r>
    </w:p>
    <w:p w:rsidR="000F627F" w:rsidRDefault="000F627F">
      <w:pPr>
        <w:widowControl/>
        <w:numPr>
          <w:ilvl w:val="1"/>
          <w:numId w:val="26"/>
        </w:numPr>
        <w:spacing w:before="100" w:beforeAutospacing="1" w:after="100" w:afterAutospacing="1"/>
        <w:divId w:val="1628396037"/>
        <w:rPr>
          <w:sz w:val="18"/>
          <w:szCs w:val="18"/>
        </w:rPr>
      </w:pPr>
      <w:r>
        <w:rPr>
          <w:rFonts w:hint="eastAsia"/>
          <w:sz w:val="18"/>
          <w:szCs w:val="18"/>
        </w:rPr>
        <w:t>按其份额确认共同经营因出售产出所产生的收入；</w:t>
      </w:r>
    </w:p>
    <w:p w:rsidR="000F627F" w:rsidRDefault="000F627F">
      <w:pPr>
        <w:widowControl/>
        <w:numPr>
          <w:ilvl w:val="1"/>
          <w:numId w:val="26"/>
        </w:numPr>
        <w:spacing w:before="100" w:beforeAutospacing="1" w:after="100" w:afterAutospacing="1"/>
        <w:divId w:val="1628396037"/>
        <w:rPr>
          <w:sz w:val="18"/>
          <w:szCs w:val="18"/>
        </w:rPr>
      </w:pPr>
      <w:r>
        <w:rPr>
          <w:rFonts w:hint="eastAsia"/>
          <w:sz w:val="18"/>
          <w:szCs w:val="18"/>
        </w:rPr>
        <w:t>确认单独所发生的费用，以及按其份额确认共同经营发生的费用。</w:t>
      </w:r>
    </w:p>
    <w:p w:rsidR="000F627F" w:rsidRDefault="000F627F">
      <w:pPr>
        <w:pStyle w:val="a3"/>
        <w:spacing w:before="0" w:beforeAutospacing="0" w:after="0" w:afterAutospacing="0" w:line="360" w:lineRule="auto"/>
        <w:ind w:firstLine="420"/>
        <w:jc w:val="both"/>
        <w:divId w:val="1628396037"/>
        <w:rPr>
          <w:sz w:val="21"/>
          <w:szCs w:val="21"/>
        </w:rPr>
      </w:pPr>
      <w:r>
        <w:rPr>
          <w:rFonts w:hint="eastAsia"/>
          <w:sz w:val="18"/>
          <w:szCs w:val="18"/>
        </w:rPr>
        <w:t>本公司向共同经营投出或出售资产等（该资产构成业务的除外），在该资产等由共同经营出售给第三方之前，仅</w:t>
      </w:r>
      <w:proofErr w:type="gramStart"/>
      <w:r>
        <w:rPr>
          <w:rFonts w:hint="eastAsia"/>
          <w:sz w:val="18"/>
          <w:szCs w:val="18"/>
        </w:rPr>
        <w:t>确认因</w:t>
      </w:r>
      <w:proofErr w:type="gramEnd"/>
      <w:r>
        <w:rPr>
          <w:rFonts w:hint="eastAsia"/>
          <w:sz w:val="18"/>
          <w:szCs w:val="18"/>
        </w:rPr>
        <w:t>该交易产生的损益中归属于共同经营其他参与方的部分。投出或出售的资产发生符合《企业会计准则第</w:t>
      </w:r>
      <w:r>
        <w:rPr>
          <w:rFonts w:ascii="Times New Roman" w:hAnsi="Times New Roman" w:cs="Times New Roman"/>
          <w:sz w:val="18"/>
          <w:szCs w:val="18"/>
        </w:rPr>
        <w:t>8</w:t>
      </w:r>
      <w:r>
        <w:rPr>
          <w:rFonts w:hint="eastAsia"/>
          <w:sz w:val="18"/>
          <w:szCs w:val="18"/>
        </w:rPr>
        <w:t>号——资产减值》等规定的资产减值损失的，本公司全额确认该损失。</w:t>
      </w:r>
    </w:p>
    <w:p w:rsidR="000F627F" w:rsidRDefault="000F627F">
      <w:pPr>
        <w:pStyle w:val="a3"/>
        <w:spacing w:before="0" w:beforeAutospacing="0" w:after="0" w:afterAutospacing="0" w:line="360" w:lineRule="auto"/>
        <w:ind w:firstLine="420"/>
        <w:jc w:val="both"/>
        <w:divId w:val="1628396037"/>
        <w:rPr>
          <w:sz w:val="21"/>
          <w:szCs w:val="21"/>
        </w:rPr>
      </w:pPr>
      <w:r>
        <w:rPr>
          <w:rFonts w:hint="eastAsia"/>
          <w:sz w:val="18"/>
          <w:szCs w:val="18"/>
        </w:rPr>
        <w:t>本公司</w:t>
      </w:r>
      <w:proofErr w:type="gramStart"/>
      <w:r>
        <w:rPr>
          <w:rFonts w:hint="eastAsia"/>
          <w:sz w:val="18"/>
          <w:szCs w:val="18"/>
        </w:rPr>
        <w:t>自共同</w:t>
      </w:r>
      <w:proofErr w:type="gramEnd"/>
      <w:r>
        <w:rPr>
          <w:rFonts w:hint="eastAsia"/>
          <w:sz w:val="18"/>
          <w:szCs w:val="18"/>
        </w:rPr>
        <w:t>经营购买资产等（该资产构成业务的除外），在将该资产等出售给第三方之前，仅</w:t>
      </w:r>
      <w:proofErr w:type="gramStart"/>
      <w:r>
        <w:rPr>
          <w:rFonts w:hint="eastAsia"/>
          <w:sz w:val="18"/>
          <w:szCs w:val="18"/>
        </w:rPr>
        <w:t>确认因</w:t>
      </w:r>
      <w:proofErr w:type="gramEnd"/>
      <w:r>
        <w:rPr>
          <w:rFonts w:hint="eastAsia"/>
          <w:sz w:val="18"/>
          <w:szCs w:val="18"/>
        </w:rPr>
        <w:t>该交易产生的损益中归属于共同经营其他参与方的部分。购入的资产发生符合《企业会计准则第</w:t>
      </w:r>
      <w:r>
        <w:rPr>
          <w:rFonts w:ascii="Times New Roman" w:hAnsi="Times New Roman" w:cs="Times New Roman"/>
          <w:sz w:val="18"/>
          <w:szCs w:val="18"/>
        </w:rPr>
        <w:t>8</w:t>
      </w:r>
      <w:r>
        <w:rPr>
          <w:rFonts w:hint="eastAsia"/>
          <w:sz w:val="18"/>
          <w:szCs w:val="18"/>
        </w:rPr>
        <w:t>号——资产减值》等规定的资产减值损失的，本公司按承担的份额确认该部分损失。</w:t>
      </w:r>
    </w:p>
    <w:p w:rsidR="000F627F" w:rsidRDefault="000F627F">
      <w:pPr>
        <w:pStyle w:val="a3"/>
        <w:spacing w:before="0" w:beforeAutospacing="0" w:after="0" w:afterAutospacing="0" w:line="360" w:lineRule="auto"/>
        <w:ind w:firstLine="420"/>
        <w:jc w:val="both"/>
        <w:divId w:val="1628396037"/>
        <w:rPr>
          <w:sz w:val="21"/>
          <w:szCs w:val="21"/>
        </w:rPr>
      </w:pPr>
      <w:r>
        <w:rPr>
          <w:rFonts w:hint="eastAsia"/>
          <w:sz w:val="18"/>
          <w:szCs w:val="18"/>
        </w:rPr>
        <w:t>本公司对共同经营不享有共同控制，如果本公司享有</w:t>
      </w:r>
      <w:proofErr w:type="gramStart"/>
      <w:r>
        <w:rPr>
          <w:rFonts w:hint="eastAsia"/>
          <w:sz w:val="18"/>
          <w:szCs w:val="18"/>
        </w:rPr>
        <w:t>该共同</w:t>
      </w:r>
      <w:proofErr w:type="gramEnd"/>
      <w:r>
        <w:rPr>
          <w:rFonts w:hint="eastAsia"/>
          <w:sz w:val="18"/>
          <w:szCs w:val="18"/>
        </w:rPr>
        <w:t>经营相关资产且承担</w:t>
      </w:r>
      <w:proofErr w:type="gramStart"/>
      <w:r>
        <w:rPr>
          <w:rFonts w:hint="eastAsia"/>
          <w:sz w:val="18"/>
          <w:szCs w:val="18"/>
        </w:rPr>
        <w:t>该共同</w:t>
      </w:r>
      <w:proofErr w:type="gramEnd"/>
      <w:r>
        <w:rPr>
          <w:rFonts w:hint="eastAsia"/>
          <w:sz w:val="18"/>
          <w:szCs w:val="18"/>
        </w:rPr>
        <w:t>经营相关负债的，仍按上述原则进行会计处理，否则，应当按照相关企业会计准则的规定进行会计处理。</w:t>
      </w:r>
    </w:p>
    <w:p w:rsidR="000D58D8" w:rsidRDefault="000F627F">
      <w:pPr>
        <w:pStyle w:val="3"/>
        <w:spacing w:line="280" w:lineRule="exact"/>
        <w:jc w:val="left"/>
        <w:rPr>
          <w:rFonts w:ascii="宋体" w:hAnsi="宋体" w:cs="宋体"/>
          <w:b/>
          <w:bCs/>
        </w:rPr>
      </w:pPr>
      <w:bookmarkStart w:id="185" w:name="_Toc989073"/>
      <w:r>
        <w:rPr>
          <w:rFonts w:ascii="宋体" w:hAnsi="宋体" w:cs="宋体"/>
          <w:b/>
          <w:bCs/>
        </w:rPr>
        <w:t>9、现金及现金等价物的确定标准</w:t>
      </w:r>
      <w:bookmarkEnd w:id="185"/>
    </w:p>
    <w:p w:rsidR="000F627F" w:rsidRDefault="000F627F">
      <w:pPr>
        <w:pStyle w:val="a3"/>
        <w:spacing w:before="0" w:beforeAutospacing="0" w:after="0" w:afterAutospacing="0" w:line="360" w:lineRule="auto"/>
        <w:ind w:firstLine="420"/>
        <w:jc w:val="both"/>
        <w:divId w:val="86729188"/>
        <w:rPr>
          <w:sz w:val="21"/>
          <w:szCs w:val="21"/>
        </w:rPr>
      </w:pPr>
      <w:r>
        <w:rPr>
          <w:rFonts w:hint="eastAsia"/>
          <w:sz w:val="18"/>
          <w:szCs w:val="18"/>
        </w:rPr>
        <w:t>在编制现金流量表时，将本公司库存现金以及可以随时用于支付的存款确认为现金。将同时具备期限短（一般从购买日起三个月内到期）、流动性强、易于转换为已知金额的现金、价值变动风险很小四个条件的投资，确定为现金等价物。</w:t>
      </w:r>
    </w:p>
    <w:p w:rsidR="000D58D8" w:rsidRDefault="000F627F">
      <w:pPr>
        <w:pStyle w:val="3"/>
        <w:spacing w:line="280" w:lineRule="exact"/>
        <w:jc w:val="left"/>
        <w:rPr>
          <w:rFonts w:ascii="宋体" w:hAnsi="宋体" w:cs="宋体"/>
          <w:b/>
          <w:bCs/>
        </w:rPr>
      </w:pPr>
      <w:bookmarkStart w:id="186" w:name="_Toc989074"/>
      <w:r>
        <w:rPr>
          <w:rFonts w:ascii="宋体" w:hAnsi="宋体" w:cs="宋体"/>
          <w:b/>
          <w:bCs/>
        </w:rPr>
        <w:t>10、外币业务和外币报表折算</w:t>
      </w:r>
      <w:bookmarkEnd w:id="186"/>
    </w:p>
    <w:p w:rsidR="000F627F" w:rsidRDefault="000F627F">
      <w:pPr>
        <w:widowControl/>
        <w:numPr>
          <w:ilvl w:val="0"/>
          <w:numId w:val="27"/>
        </w:numPr>
        <w:spacing w:before="100" w:beforeAutospacing="1" w:after="100" w:afterAutospacing="1"/>
        <w:divId w:val="1768621304"/>
        <w:rPr>
          <w:sz w:val="18"/>
          <w:szCs w:val="18"/>
        </w:rPr>
      </w:pPr>
      <w:r>
        <w:rPr>
          <w:rFonts w:ascii="Times New Roman" w:hAnsi="Times New Roman" w:cs="Times New Roman"/>
          <w:sz w:val="18"/>
          <w:szCs w:val="18"/>
        </w:rPr>
        <w:t xml:space="preserve"> </w:t>
      </w:r>
      <w:r>
        <w:rPr>
          <w:rFonts w:hint="eastAsia"/>
          <w:sz w:val="18"/>
          <w:szCs w:val="18"/>
        </w:rPr>
        <w:t>外币业务</w:t>
      </w:r>
    </w:p>
    <w:p w:rsidR="000F627F" w:rsidRDefault="000F627F">
      <w:pPr>
        <w:pStyle w:val="a3"/>
        <w:spacing w:before="0" w:beforeAutospacing="0" w:after="0" w:afterAutospacing="0" w:line="360" w:lineRule="auto"/>
        <w:ind w:firstLine="420"/>
        <w:jc w:val="both"/>
        <w:divId w:val="1768621304"/>
        <w:rPr>
          <w:sz w:val="21"/>
          <w:szCs w:val="21"/>
        </w:rPr>
      </w:pPr>
      <w:r>
        <w:rPr>
          <w:rFonts w:hint="eastAsia"/>
          <w:sz w:val="18"/>
          <w:szCs w:val="18"/>
        </w:rPr>
        <w:t>外币业务交易在初始确认时，采用交易发生日的即期汇率作为折算汇率折合成人民币记账。</w:t>
      </w:r>
    </w:p>
    <w:p w:rsidR="000F627F" w:rsidRDefault="000F627F">
      <w:pPr>
        <w:pStyle w:val="a3"/>
        <w:spacing w:before="0" w:beforeAutospacing="0" w:after="0" w:afterAutospacing="0" w:line="360" w:lineRule="auto"/>
        <w:ind w:firstLine="420"/>
        <w:jc w:val="both"/>
        <w:divId w:val="1768621304"/>
        <w:rPr>
          <w:sz w:val="21"/>
          <w:szCs w:val="21"/>
        </w:rPr>
      </w:pPr>
      <w:r>
        <w:rPr>
          <w:rFonts w:hint="eastAsia"/>
          <w:sz w:val="18"/>
          <w:szCs w:val="18"/>
        </w:rPr>
        <w:t>资产负债表日，外币货币性项目按资产负债表日即期汇率折算，由此产生的汇兑差额，除属于与购建符合资本化条件的资产相关的外币专门借款产生的汇兑差额按照借款费用资本化的原则处理外，均计入当期损益。以历史成本计量的外币非货币性项目，仍采用交易发生日的即期汇率折算，不改变其记账本位币金额。</w:t>
      </w:r>
    </w:p>
    <w:p w:rsidR="000F627F" w:rsidRDefault="000F627F">
      <w:pPr>
        <w:pStyle w:val="a3"/>
        <w:spacing w:before="0" w:beforeAutospacing="0" w:after="0" w:afterAutospacing="0" w:line="360" w:lineRule="auto"/>
        <w:ind w:firstLine="420"/>
        <w:jc w:val="both"/>
        <w:divId w:val="1768621304"/>
        <w:rPr>
          <w:sz w:val="21"/>
          <w:szCs w:val="21"/>
        </w:rPr>
      </w:pPr>
      <w:bookmarkStart w:id="187" w:name="_Hlk62131940"/>
      <w:bookmarkEnd w:id="187"/>
      <w:r>
        <w:rPr>
          <w:rFonts w:hint="eastAsia"/>
          <w:sz w:val="18"/>
          <w:szCs w:val="18"/>
        </w:rPr>
        <w:t>以公允价值计量的外币非货币性项目，采用公允价值确定日的即期汇率折算，折算后的记账本位</w:t>
      </w:r>
      <w:proofErr w:type="gramStart"/>
      <w:r>
        <w:rPr>
          <w:rFonts w:hint="eastAsia"/>
          <w:sz w:val="18"/>
          <w:szCs w:val="18"/>
        </w:rPr>
        <w:t>币金额</w:t>
      </w:r>
      <w:proofErr w:type="gramEnd"/>
      <w:r>
        <w:rPr>
          <w:rFonts w:hint="eastAsia"/>
          <w:sz w:val="18"/>
          <w:szCs w:val="18"/>
        </w:rPr>
        <w:t>与原记账本位</w:t>
      </w:r>
      <w:proofErr w:type="gramStart"/>
      <w:r>
        <w:rPr>
          <w:rFonts w:hint="eastAsia"/>
          <w:sz w:val="18"/>
          <w:szCs w:val="18"/>
        </w:rPr>
        <w:t>币金额</w:t>
      </w:r>
      <w:proofErr w:type="gramEnd"/>
      <w:r>
        <w:rPr>
          <w:rFonts w:hint="eastAsia"/>
          <w:sz w:val="18"/>
          <w:szCs w:val="18"/>
        </w:rPr>
        <w:t>的差额，作为公允价值变动</w:t>
      </w:r>
      <w:r>
        <w:rPr>
          <w:rFonts w:ascii="Times New Roman" w:hAnsi="Times New Roman" w:cs="Times New Roman"/>
          <w:sz w:val="18"/>
          <w:szCs w:val="18"/>
        </w:rPr>
        <w:t>(</w:t>
      </w:r>
      <w:r>
        <w:rPr>
          <w:rFonts w:hint="eastAsia"/>
          <w:sz w:val="18"/>
          <w:szCs w:val="18"/>
        </w:rPr>
        <w:t>含汇率变动</w:t>
      </w:r>
      <w:r>
        <w:rPr>
          <w:rFonts w:ascii="Times New Roman" w:hAnsi="Times New Roman" w:cs="Times New Roman"/>
          <w:sz w:val="18"/>
          <w:szCs w:val="18"/>
        </w:rPr>
        <w:t>)</w:t>
      </w:r>
      <w:r>
        <w:rPr>
          <w:rFonts w:hint="eastAsia"/>
          <w:sz w:val="18"/>
          <w:szCs w:val="18"/>
        </w:rPr>
        <w:t>处理，计入当期损益或确认为其他综合收益。</w:t>
      </w:r>
    </w:p>
    <w:p w:rsidR="000F627F" w:rsidRDefault="000F627F">
      <w:pPr>
        <w:widowControl/>
        <w:numPr>
          <w:ilvl w:val="0"/>
          <w:numId w:val="28"/>
        </w:numPr>
        <w:spacing w:before="100" w:beforeAutospacing="1" w:after="100" w:afterAutospacing="1"/>
        <w:divId w:val="1768621304"/>
        <w:rPr>
          <w:sz w:val="18"/>
          <w:szCs w:val="18"/>
        </w:rPr>
      </w:pPr>
      <w:r>
        <w:rPr>
          <w:rFonts w:ascii="Times New Roman" w:hAnsi="Times New Roman" w:cs="Times New Roman"/>
          <w:sz w:val="18"/>
          <w:szCs w:val="18"/>
        </w:rPr>
        <w:lastRenderedPageBreak/>
        <w:t xml:space="preserve">  </w:t>
      </w:r>
      <w:r>
        <w:rPr>
          <w:rFonts w:hint="eastAsia"/>
          <w:sz w:val="18"/>
          <w:szCs w:val="18"/>
        </w:rPr>
        <w:t>外币财务报表的折算</w:t>
      </w:r>
    </w:p>
    <w:p w:rsidR="000F627F" w:rsidRDefault="000F627F">
      <w:pPr>
        <w:pStyle w:val="a3"/>
        <w:spacing w:before="0" w:beforeAutospacing="0" w:after="0" w:afterAutospacing="0" w:line="360" w:lineRule="auto"/>
        <w:ind w:firstLine="420"/>
        <w:jc w:val="both"/>
        <w:divId w:val="1768621304"/>
        <w:rPr>
          <w:sz w:val="21"/>
          <w:szCs w:val="21"/>
        </w:rPr>
      </w:pPr>
      <w:r>
        <w:rPr>
          <w:rFonts w:hint="eastAsia"/>
          <w:sz w:val="18"/>
          <w:szCs w:val="18"/>
        </w:rPr>
        <w:t>资产负债表中的资产和负债项目，采用资产负债表日的即期汇率折算；所有者权益项目除</w:t>
      </w:r>
      <w:r>
        <w:rPr>
          <w:rFonts w:ascii="Times New Roman" w:hAnsi="Times New Roman" w:cs="Times New Roman"/>
          <w:sz w:val="18"/>
          <w:szCs w:val="18"/>
        </w:rPr>
        <w:t>“</w:t>
      </w:r>
      <w:r>
        <w:rPr>
          <w:rFonts w:hint="eastAsia"/>
          <w:sz w:val="18"/>
          <w:szCs w:val="18"/>
        </w:rPr>
        <w:t>未分配利润</w:t>
      </w:r>
      <w:r>
        <w:rPr>
          <w:rFonts w:ascii="Times New Roman" w:hAnsi="Times New Roman" w:cs="Times New Roman"/>
          <w:sz w:val="18"/>
          <w:szCs w:val="18"/>
        </w:rPr>
        <w:t>”</w:t>
      </w:r>
      <w:r>
        <w:rPr>
          <w:rFonts w:hint="eastAsia"/>
          <w:sz w:val="18"/>
          <w:szCs w:val="18"/>
        </w:rPr>
        <w:t>项目外，其他项目采用发生时的即期汇率折算。利润表中的收入和费用项目，采用加权平均汇率折算。按照上述折算产生的外币财务报表折算差额计入其他综合收益。</w:t>
      </w:r>
    </w:p>
    <w:p w:rsidR="000F627F" w:rsidRDefault="000F627F">
      <w:pPr>
        <w:pStyle w:val="a3"/>
        <w:spacing w:before="0" w:beforeAutospacing="0" w:after="0" w:afterAutospacing="0" w:line="360" w:lineRule="auto"/>
        <w:ind w:firstLine="420"/>
        <w:jc w:val="both"/>
        <w:divId w:val="1768621304"/>
        <w:rPr>
          <w:sz w:val="21"/>
          <w:szCs w:val="21"/>
        </w:rPr>
      </w:pPr>
      <w:r>
        <w:rPr>
          <w:rFonts w:hint="eastAsia"/>
          <w:sz w:val="18"/>
          <w:szCs w:val="18"/>
        </w:rPr>
        <w:t>处置境外经营时，将资产负债表中其他综合收益项目中列示的、与该境外经营相关的外币财务报表折算差额，自其他综合收益项目转入处置当期损益；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0D58D8" w:rsidRDefault="000F627F">
      <w:pPr>
        <w:pStyle w:val="3"/>
        <w:spacing w:line="280" w:lineRule="exact"/>
        <w:jc w:val="left"/>
        <w:rPr>
          <w:rFonts w:ascii="宋体" w:hAnsi="宋体" w:cs="宋体"/>
          <w:b/>
          <w:bCs/>
        </w:rPr>
      </w:pPr>
      <w:bookmarkStart w:id="188" w:name="_Toc989075"/>
      <w:r>
        <w:rPr>
          <w:rFonts w:ascii="宋体" w:hAnsi="宋体" w:cs="宋体"/>
          <w:b/>
          <w:bCs/>
        </w:rPr>
        <w:t>11、金融工具</w:t>
      </w:r>
      <w:bookmarkEnd w:id="188"/>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本公司在成为金融工具合同的一方时确认一项金融资产或金融负债。</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实际利率法是指计算金融资产或金融负债的摊</w:t>
      </w:r>
      <w:proofErr w:type="gramStart"/>
      <w:r>
        <w:rPr>
          <w:rFonts w:hint="eastAsia"/>
          <w:sz w:val="18"/>
          <w:szCs w:val="18"/>
        </w:rPr>
        <w:t>余成本</w:t>
      </w:r>
      <w:proofErr w:type="gramEnd"/>
      <w:r>
        <w:rPr>
          <w:rFonts w:hint="eastAsia"/>
          <w:sz w:val="18"/>
          <w:szCs w:val="18"/>
        </w:rPr>
        <w:t>以及将利息收入或利息费用分摊计入各会计期间的方法。</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实际利率，是指将金融资产或金融负债在预计存续期的估计未来现金流量，折现为该金融资产账面余额或该金融负债摊</w:t>
      </w:r>
      <w:proofErr w:type="gramStart"/>
      <w:r>
        <w:rPr>
          <w:rFonts w:hint="eastAsia"/>
          <w:sz w:val="18"/>
          <w:szCs w:val="18"/>
        </w:rPr>
        <w:t>余成本</w:t>
      </w:r>
      <w:proofErr w:type="gramEnd"/>
      <w:r>
        <w:rPr>
          <w:rFonts w:hint="eastAsia"/>
          <w:sz w:val="18"/>
          <w:szCs w:val="18"/>
        </w:rPr>
        <w:t>所使用的利率。在确定实际利率时，在考虑金融资产或金融负债所有合同条款</w:t>
      </w:r>
      <w:r>
        <w:rPr>
          <w:rFonts w:ascii="Times New Roman" w:hAnsi="Times New Roman" w:cs="Times New Roman"/>
          <w:sz w:val="18"/>
          <w:szCs w:val="18"/>
        </w:rPr>
        <w:t>(</w:t>
      </w:r>
      <w:r>
        <w:rPr>
          <w:rFonts w:hint="eastAsia"/>
          <w:sz w:val="18"/>
          <w:szCs w:val="18"/>
        </w:rPr>
        <w:t>如提前还款、展期、看涨期权或其他类似期权等</w:t>
      </w:r>
      <w:r>
        <w:rPr>
          <w:rFonts w:ascii="Times New Roman" w:hAnsi="Times New Roman" w:cs="Times New Roman"/>
          <w:sz w:val="18"/>
          <w:szCs w:val="18"/>
        </w:rPr>
        <w:t>)</w:t>
      </w:r>
      <w:r>
        <w:rPr>
          <w:rFonts w:hint="eastAsia"/>
          <w:sz w:val="18"/>
          <w:szCs w:val="18"/>
        </w:rPr>
        <w:t>的基础上估计预期现金流量，但不考虑预期信用损失。</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金融资产或金融负债的摊</w:t>
      </w:r>
      <w:proofErr w:type="gramStart"/>
      <w:r>
        <w:rPr>
          <w:rFonts w:hint="eastAsia"/>
          <w:sz w:val="18"/>
          <w:szCs w:val="18"/>
        </w:rPr>
        <w:t>余成本</w:t>
      </w:r>
      <w:proofErr w:type="gramEnd"/>
      <w:r>
        <w:rPr>
          <w:rFonts w:hint="eastAsia"/>
          <w:sz w:val="18"/>
          <w:szCs w:val="18"/>
        </w:rPr>
        <w:t>是以该金融资产或金融负债的初始确认金额扣除已偿还的本金，加上或减去采用实际利率法将该初始确认金额与到期</w:t>
      </w:r>
      <w:proofErr w:type="gramStart"/>
      <w:r>
        <w:rPr>
          <w:rFonts w:hint="eastAsia"/>
          <w:sz w:val="18"/>
          <w:szCs w:val="18"/>
        </w:rPr>
        <w:t>日金额</w:t>
      </w:r>
      <w:proofErr w:type="gramEnd"/>
      <w:r>
        <w:rPr>
          <w:rFonts w:hint="eastAsia"/>
          <w:sz w:val="18"/>
          <w:szCs w:val="18"/>
        </w:rPr>
        <w:t>之间的差额进行摊销形成的累计摊销额，再扣除累计计提的损失准备</w:t>
      </w:r>
      <w:r>
        <w:rPr>
          <w:rFonts w:ascii="Times New Roman" w:hAnsi="Times New Roman" w:cs="Times New Roman"/>
          <w:sz w:val="18"/>
          <w:szCs w:val="18"/>
        </w:rPr>
        <w:t>(</w:t>
      </w:r>
      <w:r>
        <w:rPr>
          <w:rFonts w:hint="eastAsia"/>
          <w:sz w:val="18"/>
          <w:szCs w:val="18"/>
        </w:rPr>
        <w:t>仅适用于金融资产</w:t>
      </w:r>
      <w:r>
        <w:rPr>
          <w:rFonts w:ascii="Times New Roman" w:hAnsi="Times New Roman" w:cs="Times New Roman"/>
          <w:sz w:val="18"/>
          <w:szCs w:val="18"/>
        </w:rPr>
        <w:t>)</w:t>
      </w:r>
      <w:r>
        <w:rPr>
          <w:rFonts w:hint="eastAsia"/>
          <w:sz w:val="18"/>
          <w:szCs w:val="18"/>
        </w:rPr>
        <w:t>。</w:t>
      </w:r>
    </w:p>
    <w:p w:rsidR="000F627F" w:rsidRDefault="000F627F">
      <w:pPr>
        <w:widowControl/>
        <w:numPr>
          <w:ilvl w:val="0"/>
          <w:numId w:val="29"/>
        </w:numPr>
        <w:spacing w:before="100" w:beforeAutospacing="1" w:after="100" w:afterAutospacing="1"/>
        <w:divId w:val="1552813807"/>
        <w:rPr>
          <w:sz w:val="18"/>
          <w:szCs w:val="18"/>
        </w:rPr>
      </w:pPr>
      <w:r>
        <w:rPr>
          <w:rFonts w:ascii="Times New Roman" w:hAnsi="Times New Roman" w:cs="Times New Roman"/>
          <w:sz w:val="18"/>
          <w:szCs w:val="18"/>
        </w:rPr>
        <w:t xml:space="preserve"> </w:t>
      </w:r>
      <w:r>
        <w:rPr>
          <w:rFonts w:hint="eastAsia"/>
          <w:sz w:val="18"/>
          <w:szCs w:val="18"/>
        </w:rPr>
        <w:t>金融资产的分类、确认和计量</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本公司根据所管理金融资产的业务模式和金融资产的合同现金流量特征，将金融资产划分为以下三类：</w:t>
      </w:r>
    </w:p>
    <w:p w:rsidR="000F627F" w:rsidRDefault="000F627F">
      <w:pPr>
        <w:widowControl/>
        <w:numPr>
          <w:ilvl w:val="1"/>
          <w:numId w:val="30"/>
        </w:numPr>
        <w:spacing w:before="100" w:beforeAutospacing="1" w:after="100" w:afterAutospacing="1"/>
        <w:divId w:val="1552813807"/>
        <w:rPr>
          <w:sz w:val="18"/>
          <w:szCs w:val="18"/>
        </w:rPr>
      </w:pPr>
      <w:r>
        <w:rPr>
          <w:rFonts w:hint="eastAsia"/>
          <w:sz w:val="18"/>
          <w:szCs w:val="18"/>
        </w:rPr>
        <w:t>以摊</w:t>
      </w:r>
      <w:proofErr w:type="gramStart"/>
      <w:r>
        <w:rPr>
          <w:rFonts w:hint="eastAsia"/>
          <w:sz w:val="18"/>
          <w:szCs w:val="18"/>
        </w:rPr>
        <w:t>余成本</w:t>
      </w:r>
      <w:proofErr w:type="gramEnd"/>
      <w:r>
        <w:rPr>
          <w:rFonts w:hint="eastAsia"/>
          <w:sz w:val="18"/>
          <w:szCs w:val="18"/>
        </w:rPr>
        <w:t>计量的金融资产。</w:t>
      </w:r>
    </w:p>
    <w:p w:rsidR="000F627F" w:rsidRDefault="000F627F">
      <w:pPr>
        <w:widowControl/>
        <w:numPr>
          <w:ilvl w:val="1"/>
          <w:numId w:val="30"/>
        </w:numPr>
        <w:spacing w:before="100" w:beforeAutospacing="1" w:after="100" w:afterAutospacing="1"/>
        <w:divId w:val="1552813807"/>
        <w:rPr>
          <w:sz w:val="18"/>
          <w:szCs w:val="18"/>
        </w:rPr>
      </w:pPr>
      <w:r>
        <w:rPr>
          <w:rFonts w:hint="eastAsia"/>
          <w:sz w:val="18"/>
          <w:szCs w:val="18"/>
        </w:rPr>
        <w:t>以公允价值计量且其变动计入其他综合收益的金融资产。</w:t>
      </w:r>
    </w:p>
    <w:p w:rsidR="000F627F" w:rsidRDefault="000F627F">
      <w:pPr>
        <w:widowControl/>
        <w:numPr>
          <w:ilvl w:val="1"/>
          <w:numId w:val="30"/>
        </w:numPr>
        <w:spacing w:before="100" w:beforeAutospacing="1" w:after="100" w:afterAutospacing="1"/>
        <w:divId w:val="1552813807"/>
        <w:rPr>
          <w:sz w:val="18"/>
          <w:szCs w:val="18"/>
        </w:rPr>
      </w:pPr>
      <w:r>
        <w:rPr>
          <w:rFonts w:hint="eastAsia"/>
          <w:sz w:val="18"/>
          <w:szCs w:val="18"/>
        </w:rPr>
        <w:t>以公允价值计量且其变动计入当期损益的金融资产。</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金融资产在初始确认时以公允价值计量，但是因销售商品或提供服务等产生的应收账款或应收票据未包含重大融资成分或不考虑不超过一年的融资成分的，按照交易价格进行初始计量。</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对于以公允价值计量且其变动计入当期损益的金融资产，相关交易费用直接计入当期损益，其他类别的金融资产相关交易费用计入其初始确认金额。</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lastRenderedPageBreak/>
        <w:t>金融资产的后续计量取决于其分类，当且仅当本公司改变管理金融资产的业务模式时，才对所有受影响的相关金融资产进行重分类。</w:t>
      </w:r>
    </w:p>
    <w:p w:rsidR="000F627F" w:rsidRDefault="000F627F" w:rsidP="007814F1">
      <w:pPr>
        <w:widowControl/>
        <w:spacing w:before="100" w:beforeAutospacing="1" w:after="100" w:afterAutospacing="1"/>
        <w:ind w:left="720"/>
        <w:divId w:val="1552813807"/>
        <w:rPr>
          <w:sz w:val="18"/>
          <w:szCs w:val="18"/>
        </w:rPr>
      </w:pPr>
      <w:r>
        <w:rPr>
          <w:rFonts w:hint="eastAsia"/>
          <w:sz w:val="18"/>
          <w:szCs w:val="18"/>
        </w:rPr>
        <w:t>分类为以摊</w:t>
      </w:r>
      <w:proofErr w:type="gramStart"/>
      <w:r>
        <w:rPr>
          <w:rFonts w:hint="eastAsia"/>
          <w:sz w:val="18"/>
          <w:szCs w:val="18"/>
        </w:rPr>
        <w:t>余成本</w:t>
      </w:r>
      <w:proofErr w:type="gramEnd"/>
      <w:r>
        <w:rPr>
          <w:rFonts w:hint="eastAsia"/>
          <w:sz w:val="18"/>
          <w:szCs w:val="18"/>
        </w:rPr>
        <w:t>计量的金融资产</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金融资产的合同条款规定在特定日期产生的现金流量仅为对本金和以</w:t>
      </w:r>
      <w:proofErr w:type="gramStart"/>
      <w:r>
        <w:rPr>
          <w:rFonts w:hint="eastAsia"/>
          <w:sz w:val="18"/>
          <w:szCs w:val="18"/>
        </w:rPr>
        <w:t>未偿付本</w:t>
      </w:r>
      <w:proofErr w:type="gramEnd"/>
      <w:r>
        <w:rPr>
          <w:rFonts w:hint="eastAsia"/>
          <w:sz w:val="18"/>
          <w:szCs w:val="18"/>
        </w:rPr>
        <w:t>金金额为基础的利息的支付，且管理该金融资产的业务模式是以收取合同现金流量为目标，则本公司将该金融资产分类为以摊</w:t>
      </w:r>
      <w:proofErr w:type="gramStart"/>
      <w:r>
        <w:rPr>
          <w:rFonts w:hint="eastAsia"/>
          <w:sz w:val="18"/>
          <w:szCs w:val="18"/>
        </w:rPr>
        <w:t>余成本</w:t>
      </w:r>
      <w:proofErr w:type="gramEnd"/>
      <w:r>
        <w:rPr>
          <w:rFonts w:hint="eastAsia"/>
          <w:sz w:val="18"/>
          <w:szCs w:val="18"/>
        </w:rPr>
        <w:t>计量的金融资产。本公司分类为以摊</w:t>
      </w:r>
      <w:proofErr w:type="gramStart"/>
      <w:r>
        <w:rPr>
          <w:rFonts w:hint="eastAsia"/>
          <w:sz w:val="18"/>
          <w:szCs w:val="18"/>
        </w:rPr>
        <w:t>余成本</w:t>
      </w:r>
      <w:proofErr w:type="gramEnd"/>
      <w:r>
        <w:rPr>
          <w:rFonts w:hint="eastAsia"/>
          <w:sz w:val="18"/>
          <w:szCs w:val="18"/>
        </w:rPr>
        <w:t>计量的金融资产包括货币资金、应收票据、应收账款、其他应收款、长期应收款等。</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本公司对此类金融资产采用实际利率法确认利息收入，</w:t>
      </w:r>
      <w:proofErr w:type="gramStart"/>
      <w:r>
        <w:rPr>
          <w:rFonts w:hint="eastAsia"/>
          <w:sz w:val="18"/>
          <w:szCs w:val="18"/>
        </w:rPr>
        <w:t>按摊余成本</w:t>
      </w:r>
      <w:proofErr w:type="gramEnd"/>
      <w:r>
        <w:rPr>
          <w:rFonts w:hint="eastAsia"/>
          <w:sz w:val="18"/>
          <w:szCs w:val="18"/>
        </w:rPr>
        <w:t>进行后续计量，其发生减值时或终止确认、修改产生的利得或损失，计入当期损益。除下列情况外，本公司根据金融资产账面余额乘以实际利率计算确定利息收入：</w:t>
      </w:r>
    </w:p>
    <w:p w:rsidR="000F627F" w:rsidRDefault="000F627F">
      <w:pPr>
        <w:pStyle w:val="a3"/>
        <w:spacing w:before="0" w:beforeAutospacing="0" w:after="0" w:afterAutospacing="0" w:line="360" w:lineRule="auto"/>
        <w:ind w:firstLine="420"/>
        <w:jc w:val="both"/>
        <w:divId w:val="1552813807"/>
        <w:rPr>
          <w:sz w:val="21"/>
          <w:szCs w:val="21"/>
        </w:rPr>
      </w:pPr>
      <w:r>
        <w:rPr>
          <w:rFonts w:ascii="Times New Roman" w:hAnsi="Times New Roman" w:cs="Times New Roman"/>
          <w:sz w:val="18"/>
          <w:szCs w:val="18"/>
        </w:rPr>
        <w:t>1</w:t>
      </w:r>
      <w:r>
        <w:rPr>
          <w:rFonts w:hint="eastAsia"/>
          <w:sz w:val="18"/>
          <w:szCs w:val="18"/>
        </w:rPr>
        <w:t>）对于</w:t>
      </w:r>
      <w:proofErr w:type="gramStart"/>
      <w:r>
        <w:rPr>
          <w:rFonts w:hint="eastAsia"/>
          <w:sz w:val="18"/>
          <w:szCs w:val="18"/>
        </w:rPr>
        <w:t>购入或源生</w:t>
      </w:r>
      <w:proofErr w:type="gramEnd"/>
      <w:r>
        <w:rPr>
          <w:rFonts w:hint="eastAsia"/>
          <w:sz w:val="18"/>
          <w:szCs w:val="18"/>
        </w:rPr>
        <w:t>的已发生信用减值的金融资产，本公司自初始确认起，按照该金融资产的摊</w:t>
      </w:r>
      <w:proofErr w:type="gramStart"/>
      <w:r>
        <w:rPr>
          <w:rFonts w:hint="eastAsia"/>
          <w:sz w:val="18"/>
          <w:szCs w:val="18"/>
        </w:rPr>
        <w:t>余成本</w:t>
      </w:r>
      <w:proofErr w:type="gramEnd"/>
      <w:r>
        <w:rPr>
          <w:rFonts w:hint="eastAsia"/>
          <w:sz w:val="18"/>
          <w:szCs w:val="18"/>
        </w:rPr>
        <w:t>和经信用调整的实际利率计算确定其利息收入。</w:t>
      </w:r>
    </w:p>
    <w:p w:rsidR="000F627F" w:rsidRDefault="000F627F">
      <w:pPr>
        <w:pStyle w:val="a3"/>
        <w:spacing w:before="0" w:beforeAutospacing="0" w:after="0" w:afterAutospacing="0" w:line="360" w:lineRule="auto"/>
        <w:ind w:firstLine="420"/>
        <w:jc w:val="both"/>
        <w:divId w:val="1552813807"/>
        <w:rPr>
          <w:sz w:val="21"/>
          <w:szCs w:val="21"/>
        </w:rPr>
      </w:pPr>
      <w:r>
        <w:rPr>
          <w:rFonts w:ascii="Times New Roman" w:hAnsi="Times New Roman" w:cs="Times New Roman"/>
          <w:sz w:val="18"/>
          <w:szCs w:val="18"/>
        </w:rPr>
        <w:t>2</w:t>
      </w:r>
      <w:r>
        <w:rPr>
          <w:rFonts w:hint="eastAsia"/>
          <w:sz w:val="18"/>
          <w:szCs w:val="18"/>
        </w:rPr>
        <w:t>）</w:t>
      </w:r>
      <w:r>
        <w:rPr>
          <w:rFonts w:ascii="Times New Roman" w:hAnsi="Times New Roman" w:cs="Times New Roman"/>
          <w:sz w:val="18"/>
          <w:szCs w:val="18"/>
        </w:rPr>
        <w:t xml:space="preserve"> </w:t>
      </w:r>
      <w:r>
        <w:rPr>
          <w:rFonts w:hint="eastAsia"/>
          <w:sz w:val="18"/>
          <w:szCs w:val="18"/>
        </w:rPr>
        <w:t>对于</w:t>
      </w:r>
      <w:proofErr w:type="gramStart"/>
      <w:r>
        <w:rPr>
          <w:rFonts w:hint="eastAsia"/>
          <w:sz w:val="18"/>
          <w:szCs w:val="18"/>
        </w:rPr>
        <w:t>购入或源生</w:t>
      </w:r>
      <w:proofErr w:type="gramEnd"/>
      <w:r>
        <w:rPr>
          <w:rFonts w:hint="eastAsia"/>
          <w:sz w:val="18"/>
          <w:szCs w:val="18"/>
        </w:rPr>
        <w:t>的未发生信用减值、但在后续期间成为已发生信用减值的金融资产，本公司在后续期间，按照该金融资产的摊</w:t>
      </w:r>
      <w:proofErr w:type="gramStart"/>
      <w:r>
        <w:rPr>
          <w:rFonts w:hint="eastAsia"/>
          <w:sz w:val="18"/>
          <w:szCs w:val="18"/>
        </w:rPr>
        <w:t>余成本</w:t>
      </w:r>
      <w:proofErr w:type="gramEnd"/>
      <w:r>
        <w:rPr>
          <w:rFonts w:hint="eastAsia"/>
          <w:sz w:val="18"/>
          <w:szCs w:val="18"/>
        </w:rPr>
        <w:t>和实际利率计算确定其利息收入。若该金融工具在后续期间因其信用风险有所改善而不再存在信用减值，</w:t>
      </w:r>
      <w:proofErr w:type="gramStart"/>
      <w:r>
        <w:rPr>
          <w:rFonts w:hint="eastAsia"/>
          <w:sz w:val="18"/>
          <w:szCs w:val="18"/>
        </w:rPr>
        <w:t>本公司转按实际</w:t>
      </w:r>
      <w:proofErr w:type="gramEnd"/>
      <w:r>
        <w:rPr>
          <w:rFonts w:hint="eastAsia"/>
          <w:sz w:val="18"/>
          <w:szCs w:val="18"/>
        </w:rPr>
        <w:t>利率乘以该金融资产账面余额来计算确定利息收入。</w:t>
      </w:r>
    </w:p>
    <w:p w:rsidR="000F627F" w:rsidRDefault="000F627F" w:rsidP="007814F1">
      <w:pPr>
        <w:widowControl/>
        <w:spacing w:before="100" w:beforeAutospacing="1" w:after="100" w:afterAutospacing="1"/>
        <w:ind w:firstLineChars="200" w:firstLine="360"/>
        <w:divId w:val="1552813807"/>
        <w:rPr>
          <w:sz w:val="18"/>
          <w:szCs w:val="18"/>
        </w:rPr>
      </w:pPr>
      <w:r>
        <w:rPr>
          <w:rFonts w:hint="eastAsia"/>
          <w:sz w:val="18"/>
          <w:szCs w:val="18"/>
        </w:rPr>
        <w:t>分类为以公允价值计量且其变动计入其他综合收益的金融资产</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金融资产的合同条款规定在特定日期产生的现金流量仅为对本金和以</w:t>
      </w:r>
      <w:proofErr w:type="gramStart"/>
      <w:r>
        <w:rPr>
          <w:rFonts w:hint="eastAsia"/>
          <w:sz w:val="18"/>
          <w:szCs w:val="18"/>
        </w:rPr>
        <w:t>未偿付本</w:t>
      </w:r>
      <w:proofErr w:type="gramEnd"/>
      <w:r>
        <w:rPr>
          <w:rFonts w:hint="eastAsia"/>
          <w:sz w:val="18"/>
          <w:szCs w:val="18"/>
        </w:rPr>
        <w:t>金金额为基础的利息的支付，且管理该金融资产的业务模式既以收取合同现金流量为目标又以出售该金融资产为目标，则本公司将该金融资产分类为以公允价值计量且其变动计入其他综合收益的金融资产。</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对此类金融资产采用实际利率法确认利息收入。除利息收入、减值损失及汇兑差额确认为当期损益外，其余公允价值变动计入其他综合收益。当该金融资产终止确认时，之前计入其他综合收益的累计利得或损失从其他综合收益中转出，计入当期损益。</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以公允价值计量且变动计入其他综合收益的应收票据及应收账款列报为应收款项融资，其他此类金融资产列报为其他债权投资，其中：自资产负债表日起一年内到期的其他债权投资列报为一年内到期的非流动资产，原到期日在一年以内的其他债权投资列报为其他流动资产。</w:t>
      </w:r>
    </w:p>
    <w:p w:rsidR="000F627F" w:rsidRDefault="000F627F" w:rsidP="007814F1">
      <w:pPr>
        <w:widowControl/>
        <w:spacing w:before="100" w:beforeAutospacing="1" w:after="100" w:afterAutospacing="1"/>
        <w:ind w:firstLineChars="200" w:firstLine="360"/>
        <w:divId w:val="1552813807"/>
        <w:rPr>
          <w:sz w:val="18"/>
          <w:szCs w:val="18"/>
        </w:rPr>
      </w:pPr>
      <w:r>
        <w:rPr>
          <w:rFonts w:hint="eastAsia"/>
          <w:sz w:val="18"/>
          <w:szCs w:val="18"/>
        </w:rPr>
        <w:t>指定为以公允价值计量且其变动计入其他综合收益的金融资产</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在初始确认时，本公司可以单项金融资产为基础不可撤销地将</w:t>
      </w:r>
      <w:proofErr w:type="gramStart"/>
      <w:r>
        <w:rPr>
          <w:rFonts w:hint="eastAsia"/>
          <w:sz w:val="18"/>
          <w:szCs w:val="18"/>
        </w:rPr>
        <w:t>非交易</w:t>
      </w:r>
      <w:proofErr w:type="gramEnd"/>
      <w:r>
        <w:rPr>
          <w:rFonts w:hint="eastAsia"/>
          <w:sz w:val="18"/>
          <w:szCs w:val="18"/>
        </w:rPr>
        <w:t>性权益工具投资指定为以公允价值计量且其变动计入其他综合收益的金融资产。</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lastRenderedPageBreak/>
        <w:t>此类金融资产的公允价值变动计入其他综合收益，不需计提减值准备。该金融资产终止确认时，之前计入其他综合收益的累计利得或损失从其他综合收益中转出，计入留存收益。本公司持有该权益工具投资期间，在本公司收取股利的权利已经确立，与股利相关的经济利益很可能流入本公司，且股利的金额能够可靠计量时，确认股利收入并计入当期损益。本公司对此类金融资产在其他权益工具投资项目下列报。</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权益工具投资满足下列条件之一的，属于以公允价值计量且其变动计入当期损益的金融资产：取得该金融资产的目的主要是为了近期出售；初始确认时属于集中管理的可辨认金融资产工具组合的一部分，且有客观证据表明近期实际存在短期获利模式；属于衍生工具（符合财务担保合同定义的以及被指定为有效套</w:t>
      </w:r>
      <w:proofErr w:type="gramStart"/>
      <w:r>
        <w:rPr>
          <w:rFonts w:hint="eastAsia"/>
          <w:sz w:val="18"/>
          <w:szCs w:val="18"/>
        </w:rPr>
        <w:t>期工具</w:t>
      </w:r>
      <w:proofErr w:type="gramEnd"/>
      <w:r>
        <w:rPr>
          <w:rFonts w:hint="eastAsia"/>
          <w:sz w:val="18"/>
          <w:szCs w:val="18"/>
        </w:rPr>
        <w:t>的衍生工具除外）。</w:t>
      </w:r>
    </w:p>
    <w:p w:rsidR="000F627F" w:rsidRDefault="000F627F">
      <w:pPr>
        <w:widowControl/>
        <w:numPr>
          <w:ilvl w:val="0"/>
          <w:numId w:val="34"/>
        </w:numPr>
        <w:spacing w:before="100" w:beforeAutospacing="1" w:after="100" w:afterAutospacing="1"/>
        <w:divId w:val="1552813807"/>
        <w:rPr>
          <w:sz w:val="18"/>
          <w:szCs w:val="18"/>
        </w:rPr>
      </w:pPr>
      <w:r>
        <w:rPr>
          <w:rFonts w:hint="eastAsia"/>
          <w:sz w:val="18"/>
          <w:szCs w:val="18"/>
        </w:rPr>
        <w:t>分类为以公允价值计量且其变动计入当期损益的金融资产</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不符合分类为以摊</w:t>
      </w:r>
      <w:proofErr w:type="gramStart"/>
      <w:r>
        <w:rPr>
          <w:rFonts w:hint="eastAsia"/>
          <w:sz w:val="18"/>
          <w:szCs w:val="18"/>
        </w:rPr>
        <w:t>余成本</w:t>
      </w:r>
      <w:proofErr w:type="gramEnd"/>
      <w:r>
        <w:rPr>
          <w:rFonts w:hint="eastAsia"/>
          <w:sz w:val="18"/>
          <w:szCs w:val="18"/>
        </w:rPr>
        <w:t>计量或以公允价值计量且其变动计入其他综合收益的金融资产条件、亦不指定为以公允价值计量且其变动计入其他综合收益的金融资产均分类为以公允价值计量且其变动计入当期损益的金融资产。</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本公司对此类金融资产采用公允价值进行后续计量，将公允价值变动形成的利得或损失以及与此类金融资产相关的股利和利息收入计入当期损益。</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本公司对此类金融资产根据其流动性在交易性金融资产、其他非流动金融资产项目列报。</w:t>
      </w:r>
    </w:p>
    <w:p w:rsidR="000F627F" w:rsidRDefault="000F627F">
      <w:pPr>
        <w:widowControl/>
        <w:numPr>
          <w:ilvl w:val="0"/>
          <w:numId w:val="35"/>
        </w:numPr>
        <w:spacing w:before="100" w:beforeAutospacing="1" w:after="100" w:afterAutospacing="1"/>
        <w:divId w:val="1552813807"/>
        <w:rPr>
          <w:sz w:val="18"/>
          <w:szCs w:val="18"/>
        </w:rPr>
      </w:pPr>
      <w:r>
        <w:rPr>
          <w:rFonts w:hint="eastAsia"/>
          <w:sz w:val="18"/>
          <w:szCs w:val="18"/>
        </w:rPr>
        <w:t>指定为以公允价值计量且其变动计入当期损益的金融资产</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在初始确认时，本公司为了消除或显著减少会计错配，可以单项金融资产为基础不可撤销地将金融资产指定为以公允价值计量且其变动计入当期损益的金融资产。</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混合合同包含一项或多项嵌入衍生工具，且其主合同不属于以上金融资产的，本公司可以将其整体指定为以公允价值计量且其变动计入当期损益的金融工具。但下列情况除外：</w:t>
      </w:r>
      <w:r>
        <w:rPr>
          <w:rFonts w:ascii="Times New Roman" w:hAnsi="Times New Roman" w:cs="Times New Roman"/>
          <w:sz w:val="18"/>
          <w:szCs w:val="18"/>
        </w:rPr>
        <w:t xml:space="preserve"> </w:t>
      </w:r>
    </w:p>
    <w:p w:rsidR="000F627F" w:rsidRDefault="000F627F">
      <w:pPr>
        <w:widowControl/>
        <w:numPr>
          <w:ilvl w:val="0"/>
          <w:numId w:val="36"/>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嵌入衍生工具不会对混合合同的现金流量产生重大改变。</w:t>
      </w:r>
    </w:p>
    <w:p w:rsidR="000F627F" w:rsidRDefault="000F627F">
      <w:pPr>
        <w:widowControl/>
        <w:numPr>
          <w:ilvl w:val="0"/>
          <w:numId w:val="36"/>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在初次确定类似的混合合同是否需要分拆时，几乎不需分析就能明确其包含的嵌入衍生工具不应分拆。如嵌入贷款的提前还款权，允许持有人以接近摊</w:t>
      </w:r>
      <w:proofErr w:type="gramStart"/>
      <w:r>
        <w:rPr>
          <w:rFonts w:hint="eastAsia"/>
          <w:sz w:val="18"/>
          <w:szCs w:val="18"/>
        </w:rPr>
        <w:t>余成本</w:t>
      </w:r>
      <w:proofErr w:type="gramEnd"/>
      <w:r>
        <w:rPr>
          <w:rFonts w:hint="eastAsia"/>
          <w:sz w:val="18"/>
          <w:szCs w:val="18"/>
        </w:rPr>
        <w:t>的金额提前偿还贷款，该提前还款权不需要分拆。</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本公司对此类金融资产采用公允价值进行后续计量，将公允价值变动形成的利得或损失以及与此类金融资产相关的股利和利息收入计入当期损益。</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本公司对此类金融资产根据其流动性在交易性金融资产、其他非流动金融资产项目列报。</w:t>
      </w:r>
    </w:p>
    <w:p w:rsidR="000F627F" w:rsidRDefault="000F627F">
      <w:pPr>
        <w:widowControl/>
        <w:numPr>
          <w:ilvl w:val="0"/>
          <w:numId w:val="37"/>
        </w:numPr>
        <w:spacing w:before="100" w:beforeAutospacing="1" w:after="100" w:afterAutospacing="1"/>
        <w:divId w:val="1552813807"/>
        <w:rPr>
          <w:sz w:val="18"/>
          <w:szCs w:val="18"/>
        </w:rPr>
      </w:pPr>
      <w:r>
        <w:rPr>
          <w:rFonts w:ascii="Times New Roman" w:hAnsi="Times New Roman" w:cs="Times New Roman"/>
          <w:sz w:val="18"/>
          <w:szCs w:val="18"/>
        </w:rPr>
        <w:t xml:space="preserve"> </w:t>
      </w:r>
      <w:r>
        <w:rPr>
          <w:rFonts w:hint="eastAsia"/>
          <w:sz w:val="18"/>
          <w:szCs w:val="18"/>
        </w:rPr>
        <w:t>金融负债的分类、确认和计量</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lastRenderedPageBreak/>
        <w:t>本公司根据所发行金融工具的合同条款及其所反映的经济实质而非仅以法律形式，结合金融负债和权益工具的定义，在初始确认时将该金融工具或其组成部分分类为金融负债或权益工具。金融负债在初始确认时分类为：以公允价值计量且其变动计入当期损益的金融负债、其他金融负债、被指定为有效套</w:t>
      </w:r>
      <w:proofErr w:type="gramStart"/>
      <w:r>
        <w:rPr>
          <w:rFonts w:hint="eastAsia"/>
          <w:sz w:val="18"/>
          <w:szCs w:val="18"/>
        </w:rPr>
        <w:t>期工具</w:t>
      </w:r>
      <w:proofErr w:type="gramEnd"/>
      <w:r>
        <w:rPr>
          <w:rFonts w:hint="eastAsia"/>
          <w:sz w:val="18"/>
          <w:szCs w:val="18"/>
        </w:rPr>
        <w:t>的衍生工具。</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金融负债在初始确认时以公允价值计量。对于以公允价值计量且其变动计入当期损益的金融负债，相关的交易费用直接计入当期损益；对于其他类别的金融负债，相关交易费用计入初始确认金额。</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金融负债的后续计量取决于其分类：</w:t>
      </w:r>
    </w:p>
    <w:p w:rsidR="000F627F" w:rsidRDefault="000F627F">
      <w:pPr>
        <w:widowControl/>
        <w:numPr>
          <w:ilvl w:val="0"/>
          <w:numId w:val="38"/>
        </w:numPr>
        <w:spacing w:before="100" w:beforeAutospacing="1" w:after="100" w:afterAutospacing="1"/>
        <w:divId w:val="1552813807"/>
        <w:rPr>
          <w:sz w:val="18"/>
          <w:szCs w:val="18"/>
        </w:rPr>
      </w:pPr>
      <w:r>
        <w:rPr>
          <w:rFonts w:hint="eastAsia"/>
          <w:sz w:val="18"/>
          <w:szCs w:val="18"/>
        </w:rPr>
        <w:t>以公允价值计量且其变动计入当期损益的金融负债</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此类金融负债包括交易性金融负债（</w:t>
      </w:r>
      <w:proofErr w:type="gramStart"/>
      <w:r>
        <w:rPr>
          <w:rFonts w:hint="eastAsia"/>
          <w:sz w:val="18"/>
          <w:szCs w:val="18"/>
        </w:rPr>
        <w:t>含属于</w:t>
      </w:r>
      <w:proofErr w:type="gramEnd"/>
      <w:r>
        <w:rPr>
          <w:rFonts w:hint="eastAsia"/>
          <w:sz w:val="18"/>
          <w:szCs w:val="18"/>
        </w:rPr>
        <w:t>金融负债的衍生工具）和初始确认时指定为以公允价值计量且其变动计入当期损益的金融负债。</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满足下列条件之一的，属于交易性金融负债：承担相关金融负债的目的主要是为了在近期内出售或回购；属于集中管理的可辨认金融工具组合的一部分，且有客观证据表明企业近期采用短期获利方式模式；属于衍生工具，但是，被指定且为有效套</w:t>
      </w:r>
      <w:proofErr w:type="gramStart"/>
      <w:r>
        <w:rPr>
          <w:rFonts w:hint="eastAsia"/>
          <w:sz w:val="18"/>
          <w:szCs w:val="18"/>
        </w:rPr>
        <w:t>期工具</w:t>
      </w:r>
      <w:proofErr w:type="gramEnd"/>
      <w:r>
        <w:rPr>
          <w:rFonts w:hint="eastAsia"/>
          <w:sz w:val="18"/>
          <w:szCs w:val="18"/>
        </w:rPr>
        <w:t>的衍生工具、符合财务担保合同的衍生工具除外。交易性金融负债（</w:t>
      </w:r>
      <w:proofErr w:type="gramStart"/>
      <w:r>
        <w:rPr>
          <w:rFonts w:hint="eastAsia"/>
          <w:sz w:val="18"/>
          <w:szCs w:val="18"/>
        </w:rPr>
        <w:t>含属于</w:t>
      </w:r>
      <w:proofErr w:type="gramEnd"/>
      <w:r>
        <w:rPr>
          <w:rFonts w:hint="eastAsia"/>
          <w:sz w:val="18"/>
          <w:szCs w:val="18"/>
        </w:rPr>
        <w:t>金融负债的衍生工具），按照公允价值进行后续计量，除与套期会计有关外，所有公允价值变动均计入当期损益。</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在初始确认时，为了提供更相关的会计信息，本公司将满足下列条件之一的金融负债不可撤销地指定为以公允价值计量且其变动计入当期损益的金融负债：</w:t>
      </w:r>
    </w:p>
    <w:p w:rsidR="000F627F" w:rsidRDefault="000F627F">
      <w:pPr>
        <w:widowControl/>
        <w:numPr>
          <w:ilvl w:val="0"/>
          <w:numId w:val="39"/>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能够消除或显著减少会计错配。</w:t>
      </w:r>
    </w:p>
    <w:p w:rsidR="000F627F" w:rsidRDefault="000F627F">
      <w:pPr>
        <w:widowControl/>
        <w:numPr>
          <w:ilvl w:val="0"/>
          <w:numId w:val="39"/>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根据正式书面文件载明的企业风险管理或投资策略，以公允价值为基础对金融负债组合或金融资产和金融负债组合进行管理和业绩评价，并在企业内部以此为基础向关键管理人员报告。</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对此类金融负债采用公允价值进行后续计量，除由本公司自身信用风险变动引起的公允价值变动计入其他综合收益之外，其他公允价值变动计入当期损益。除非由本公司自身信用风险变动引起的公允价值变动计入其他综合收益会造成或扩大损益中的会计错配，本公司将所有公允价值变动（包括自身信用风险变动的影响金额）计入当期损益。</w:t>
      </w:r>
    </w:p>
    <w:p w:rsidR="000F627F" w:rsidRDefault="000F627F">
      <w:pPr>
        <w:widowControl/>
        <w:numPr>
          <w:ilvl w:val="0"/>
          <w:numId w:val="40"/>
        </w:numPr>
        <w:spacing w:before="100" w:beforeAutospacing="1" w:after="100" w:afterAutospacing="1"/>
        <w:divId w:val="1552813807"/>
        <w:rPr>
          <w:sz w:val="18"/>
          <w:szCs w:val="18"/>
        </w:rPr>
      </w:pPr>
      <w:r>
        <w:rPr>
          <w:rFonts w:hint="eastAsia"/>
          <w:sz w:val="18"/>
          <w:szCs w:val="18"/>
        </w:rPr>
        <w:t>其他金融负债</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除下列各项外，公司将金融负债分类为以摊</w:t>
      </w:r>
      <w:proofErr w:type="gramStart"/>
      <w:r>
        <w:rPr>
          <w:rFonts w:hint="eastAsia"/>
          <w:sz w:val="18"/>
          <w:szCs w:val="18"/>
        </w:rPr>
        <w:t>余成本</w:t>
      </w:r>
      <w:proofErr w:type="gramEnd"/>
      <w:r>
        <w:rPr>
          <w:rFonts w:hint="eastAsia"/>
          <w:sz w:val="18"/>
          <w:szCs w:val="18"/>
        </w:rPr>
        <w:t>计量的金融负债，对此类金融负债采用实际利率法，按照摊</w:t>
      </w:r>
      <w:proofErr w:type="gramStart"/>
      <w:r>
        <w:rPr>
          <w:rFonts w:hint="eastAsia"/>
          <w:sz w:val="18"/>
          <w:szCs w:val="18"/>
        </w:rPr>
        <w:t>余成本</w:t>
      </w:r>
      <w:proofErr w:type="gramEnd"/>
      <w:r>
        <w:rPr>
          <w:rFonts w:hint="eastAsia"/>
          <w:sz w:val="18"/>
          <w:szCs w:val="18"/>
        </w:rPr>
        <w:t>进行后续计量，终止确认或摊销产生的利得或损失计入当期损益：</w:t>
      </w:r>
    </w:p>
    <w:p w:rsidR="000F627F" w:rsidRDefault="000F627F">
      <w:pPr>
        <w:widowControl/>
        <w:numPr>
          <w:ilvl w:val="0"/>
          <w:numId w:val="41"/>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以公允价值计量且其变动计入当期损益的金融负债。</w:t>
      </w:r>
    </w:p>
    <w:p w:rsidR="000F627F" w:rsidRDefault="000F627F">
      <w:pPr>
        <w:widowControl/>
        <w:numPr>
          <w:ilvl w:val="0"/>
          <w:numId w:val="41"/>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金融资产转移不符合终止确认条件或继续涉入被转移金融资产所形成的金融负债。</w:t>
      </w:r>
    </w:p>
    <w:p w:rsidR="000F627F" w:rsidRDefault="000F627F">
      <w:pPr>
        <w:widowControl/>
        <w:numPr>
          <w:ilvl w:val="0"/>
          <w:numId w:val="41"/>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不属于本条前两类情形的财务担保合同，以及不属于本条第</w:t>
      </w:r>
      <w:r>
        <w:rPr>
          <w:rFonts w:ascii="Times New Roman" w:hAnsi="Times New Roman" w:cs="Times New Roman"/>
          <w:sz w:val="18"/>
          <w:szCs w:val="18"/>
        </w:rPr>
        <w:t>1</w:t>
      </w:r>
      <w:r>
        <w:rPr>
          <w:rFonts w:hint="eastAsia"/>
          <w:sz w:val="18"/>
          <w:szCs w:val="18"/>
        </w:rPr>
        <w:t>）类情形的以低于市场利率贷款的贷款承诺。</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lastRenderedPageBreak/>
        <w:t>财务担保合同是指当特定债务人到期不能按照最初或修改后的债务工具条款偿付债务时，要求发行方向蒙受损失的合同持有人赔付特定金额的合同。不属于指定为以公允价值计量且其变动计入当期损益的金融负债的财务担保合同，在初始确认后按照损失准备金额以及初始确认金额扣除担保期内的累计摊销额后的余额孰高进行计量。</w:t>
      </w:r>
    </w:p>
    <w:p w:rsidR="000F627F" w:rsidRDefault="000F627F">
      <w:pPr>
        <w:widowControl/>
        <w:numPr>
          <w:ilvl w:val="0"/>
          <w:numId w:val="42"/>
        </w:numPr>
        <w:spacing w:before="100" w:beforeAutospacing="1" w:after="100" w:afterAutospacing="1"/>
        <w:divId w:val="1552813807"/>
        <w:rPr>
          <w:sz w:val="18"/>
          <w:szCs w:val="18"/>
        </w:rPr>
      </w:pPr>
      <w:r>
        <w:rPr>
          <w:rFonts w:ascii="Times New Roman" w:hAnsi="Times New Roman" w:cs="Times New Roman"/>
          <w:sz w:val="18"/>
          <w:szCs w:val="18"/>
        </w:rPr>
        <w:t xml:space="preserve">   </w:t>
      </w:r>
      <w:r>
        <w:rPr>
          <w:rFonts w:hint="eastAsia"/>
          <w:sz w:val="18"/>
          <w:szCs w:val="18"/>
        </w:rPr>
        <w:t>金融资产和金融负债的终止确认</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w:t>
      </w:r>
      <w:r>
        <w:rPr>
          <w:rFonts w:ascii="Times New Roman" w:hAnsi="Times New Roman" w:cs="Times New Roman"/>
          <w:sz w:val="18"/>
          <w:szCs w:val="18"/>
        </w:rPr>
        <w:t>1</w:t>
      </w:r>
      <w:r>
        <w:rPr>
          <w:rFonts w:hint="eastAsia"/>
          <w:sz w:val="18"/>
          <w:szCs w:val="18"/>
        </w:rPr>
        <w:t>）金融资产满足下列条件之一的，终止确认金融资产，即从其账户和资产负债表内予以转销：</w:t>
      </w:r>
    </w:p>
    <w:p w:rsidR="000F627F" w:rsidRDefault="000F627F">
      <w:pPr>
        <w:widowControl/>
        <w:numPr>
          <w:ilvl w:val="0"/>
          <w:numId w:val="43"/>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收取该金融资产现金流量的合同权利终止。</w:t>
      </w:r>
    </w:p>
    <w:p w:rsidR="000F627F" w:rsidRDefault="000F627F">
      <w:pPr>
        <w:widowControl/>
        <w:numPr>
          <w:ilvl w:val="0"/>
          <w:numId w:val="43"/>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该金融资产已转移，且</w:t>
      </w:r>
      <w:proofErr w:type="gramStart"/>
      <w:r>
        <w:rPr>
          <w:rFonts w:hint="eastAsia"/>
          <w:sz w:val="18"/>
          <w:szCs w:val="18"/>
        </w:rPr>
        <w:t>该转移</w:t>
      </w:r>
      <w:proofErr w:type="gramEnd"/>
      <w:r>
        <w:rPr>
          <w:rFonts w:hint="eastAsia"/>
          <w:sz w:val="18"/>
          <w:szCs w:val="18"/>
        </w:rPr>
        <w:t>满足金融资产终止确认的规定。</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w:t>
      </w:r>
      <w:r>
        <w:rPr>
          <w:rFonts w:ascii="Times New Roman" w:hAnsi="Times New Roman" w:cs="Times New Roman"/>
          <w:sz w:val="18"/>
          <w:szCs w:val="18"/>
        </w:rPr>
        <w:t>2</w:t>
      </w:r>
      <w:r>
        <w:rPr>
          <w:rFonts w:hint="eastAsia"/>
          <w:sz w:val="18"/>
          <w:szCs w:val="18"/>
        </w:rPr>
        <w:t>）金融负债终止确认条件</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金融负债（或其一部分）的现时义务已经解除的，则终止确认该金融负债（或该部分金融负债）。</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与借出方之间签订协议，以承担新金融负债方式替换原金融负债，且新金融负债与原金融负债的合同条款实质上不同的，或对原金融负债（或其一部分）的合同条款做出实质性修改的，则终止确认原金融负债，同时确认一项新金融负债，账面价值与支付的对价（包括转出的非现金资产或承担的负债）之间的差额，计入当期损益。</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回购金融负债一部分的，按照继续确认部分和终止确认部分在回购日各自的公允价值占整体公允价值的比例，对该金融负债整体的账面价值进行分配。分配给终止确认部分的账面价值与支付的对价（包括转出的非现金资产或承担的负债）之间的差额，应当计入当期损益。</w:t>
      </w:r>
    </w:p>
    <w:p w:rsidR="000F627F" w:rsidRDefault="000F627F">
      <w:pPr>
        <w:widowControl/>
        <w:numPr>
          <w:ilvl w:val="0"/>
          <w:numId w:val="44"/>
        </w:numPr>
        <w:spacing w:before="100" w:beforeAutospacing="1" w:after="100" w:afterAutospacing="1"/>
        <w:divId w:val="1552813807"/>
        <w:rPr>
          <w:sz w:val="18"/>
          <w:szCs w:val="18"/>
        </w:rPr>
      </w:pPr>
      <w:r>
        <w:rPr>
          <w:rFonts w:hint="eastAsia"/>
          <w:sz w:val="18"/>
          <w:szCs w:val="18"/>
        </w:rPr>
        <w:t>金融资产转移的确认依据和计量方法</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本公司在发生金融资产转移时，评估其保留金融资产所有权上的风险和报酬的程度，并分别下列情形处理：</w:t>
      </w:r>
    </w:p>
    <w:p w:rsidR="000F627F" w:rsidRDefault="000F627F">
      <w:pPr>
        <w:widowControl/>
        <w:numPr>
          <w:ilvl w:val="1"/>
          <w:numId w:val="45"/>
        </w:numPr>
        <w:spacing w:before="100" w:beforeAutospacing="1" w:after="100" w:afterAutospacing="1"/>
        <w:divId w:val="1552813807"/>
        <w:rPr>
          <w:sz w:val="18"/>
          <w:szCs w:val="18"/>
        </w:rPr>
      </w:pPr>
      <w:r>
        <w:rPr>
          <w:rFonts w:hint="eastAsia"/>
          <w:sz w:val="18"/>
          <w:szCs w:val="18"/>
        </w:rPr>
        <w:t>转移了金融资产所有权上几乎所有风险和报酬的，则终止确认该金融资产，并将转移中产生或保留的权利和义务单独确认为资产或负债。</w:t>
      </w:r>
    </w:p>
    <w:p w:rsidR="000F627F" w:rsidRDefault="000F627F">
      <w:pPr>
        <w:widowControl/>
        <w:numPr>
          <w:ilvl w:val="1"/>
          <w:numId w:val="45"/>
        </w:numPr>
        <w:spacing w:before="100" w:beforeAutospacing="1" w:after="100" w:afterAutospacing="1"/>
        <w:divId w:val="1552813807"/>
        <w:rPr>
          <w:sz w:val="18"/>
          <w:szCs w:val="18"/>
        </w:rPr>
      </w:pPr>
      <w:r>
        <w:rPr>
          <w:rFonts w:hint="eastAsia"/>
          <w:sz w:val="18"/>
          <w:szCs w:val="18"/>
        </w:rPr>
        <w:t>保留了金融资产所有权上几乎所有风险和报酬的，则继续确认该金融资产。</w:t>
      </w:r>
    </w:p>
    <w:p w:rsidR="000F627F" w:rsidRDefault="000F627F">
      <w:pPr>
        <w:widowControl/>
        <w:numPr>
          <w:ilvl w:val="1"/>
          <w:numId w:val="45"/>
        </w:numPr>
        <w:spacing w:before="100" w:beforeAutospacing="1" w:after="100" w:afterAutospacing="1"/>
        <w:divId w:val="1552813807"/>
        <w:rPr>
          <w:sz w:val="18"/>
          <w:szCs w:val="18"/>
        </w:rPr>
      </w:pPr>
      <w:r>
        <w:rPr>
          <w:rFonts w:hint="eastAsia"/>
          <w:sz w:val="18"/>
          <w:szCs w:val="18"/>
        </w:rPr>
        <w:t>既没有转移也没有保留金融资产所有权上几乎所有风险和报酬的（即除本条（</w:t>
      </w:r>
      <w:r>
        <w:rPr>
          <w:rFonts w:ascii="Times New Roman" w:hAnsi="Times New Roman" w:cs="Times New Roman"/>
          <w:sz w:val="18"/>
          <w:szCs w:val="18"/>
        </w:rPr>
        <w:t>1</w:t>
      </w:r>
      <w:r>
        <w:rPr>
          <w:rFonts w:hint="eastAsia"/>
          <w:sz w:val="18"/>
          <w:szCs w:val="18"/>
        </w:rPr>
        <w:t>）、（</w:t>
      </w:r>
      <w:r>
        <w:rPr>
          <w:rFonts w:ascii="Times New Roman" w:hAnsi="Times New Roman" w:cs="Times New Roman"/>
          <w:sz w:val="18"/>
          <w:szCs w:val="18"/>
        </w:rPr>
        <w:t>2</w:t>
      </w:r>
      <w:r>
        <w:rPr>
          <w:rFonts w:hint="eastAsia"/>
          <w:sz w:val="18"/>
          <w:szCs w:val="18"/>
        </w:rPr>
        <w:t>）之外的其他情形），则根据其是否保留了对金融资产的控制，分别下列情形处理：</w:t>
      </w:r>
    </w:p>
    <w:p w:rsidR="000F627F" w:rsidRDefault="000F627F">
      <w:pPr>
        <w:widowControl/>
        <w:numPr>
          <w:ilvl w:val="0"/>
          <w:numId w:val="46"/>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未保留对该金融资产控制的，则终止确认该金融资产，并将转移中产生或保留的权利和义务单独确认为资产或负债。</w:t>
      </w:r>
    </w:p>
    <w:p w:rsidR="000F627F" w:rsidRDefault="000F627F">
      <w:pPr>
        <w:widowControl/>
        <w:numPr>
          <w:ilvl w:val="0"/>
          <w:numId w:val="46"/>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保留了对该金融资产控制的，则按照其继续涉入被转移金融资产的程度继续确认有关金融资产，并相应确认相关负债。继续涉入被转移金融资产的程度，是指本公司承担的被转移金融资产价值变动风险或报酬的程度。</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在判断金融资产转移是否满足上述金融资产终止确认条件时，采用实质重于形式的原则。公司将金融资产转移区分为金融资产整体转移和部分转移。</w:t>
      </w:r>
    </w:p>
    <w:p w:rsidR="000F627F" w:rsidRDefault="000F627F">
      <w:pPr>
        <w:widowControl/>
        <w:numPr>
          <w:ilvl w:val="0"/>
          <w:numId w:val="47"/>
        </w:numPr>
        <w:spacing w:before="100" w:beforeAutospacing="1" w:after="100" w:afterAutospacing="1"/>
        <w:divId w:val="1552813807"/>
        <w:rPr>
          <w:sz w:val="18"/>
          <w:szCs w:val="18"/>
        </w:rPr>
      </w:pPr>
      <w:r>
        <w:rPr>
          <w:rFonts w:hint="eastAsia"/>
          <w:sz w:val="18"/>
          <w:szCs w:val="18"/>
        </w:rPr>
        <w:lastRenderedPageBreak/>
        <w:t>金融资产整体转移满足终止确认条件的，将下列两项金额的差额计入当期损益：</w:t>
      </w:r>
    </w:p>
    <w:p w:rsidR="000F627F" w:rsidRDefault="000F627F">
      <w:pPr>
        <w:widowControl/>
        <w:numPr>
          <w:ilvl w:val="0"/>
          <w:numId w:val="48"/>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被转移金融资产在终止确认日的账面价值。</w:t>
      </w:r>
    </w:p>
    <w:p w:rsidR="000F627F" w:rsidRDefault="000F627F">
      <w:pPr>
        <w:widowControl/>
        <w:numPr>
          <w:ilvl w:val="0"/>
          <w:numId w:val="48"/>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因转移金融资产而收到的对价，与</w:t>
      </w:r>
      <w:proofErr w:type="gramStart"/>
      <w:r>
        <w:rPr>
          <w:rFonts w:hint="eastAsia"/>
          <w:sz w:val="18"/>
          <w:szCs w:val="18"/>
        </w:rPr>
        <w:t>原直接</w:t>
      </w:r>
      <w:proofErr w:type="gramEnd"/>
      <w:r>
        <w:rPr>
          <w:rFonts w:hint="eastAsia"/>
          <w:sz w:val="18"/>
          <w:szCs w:val="18"/>
        </w:rPr>
        <w:t>计入其他综合收益的公允价值变动累计额中对应终止确认部分的金额（涉及转移的金融资产为以公允价值计量且其变动计入其他综合收益的金融资产）之</w:t>
      </w:r>
      <w:proofErr w:type="gramStart"/>
      <w:r>
        <w:rPr>
          <w:rFonts w:hint="eastAsia"/>
          <w:sz w:val="18"/>
          <w:szCs w:val="18"/>
        </w:rPr>
        <w:t>和</w:t>
      </w:r>
      <w:proofErr w:type="gramEnd"/>
      <w:r>
        <w:rPr>
          <w:rFonts w:hint="eastAsia"/>
          <w:sz w:val="18"/>
          <w:szCs w:val="18"/>
        </w:rPr>
        <w:t>。</w:t>
      </w:r>
    </w:p>
    <w:p w:rsidR="000F627F" w:rsidRDefault="000F627F">
      <w:pPr>
        <w:widowControl/>
        <w:numPr>
          <w:ilvl w:val="0"/>
          <w:numId w:val="49"/>
        </w:numPr>
        <w:spacing w:before="100" w:beforeAutospacing="1" w:after="100" w:afterAutospacing="1"/>
        <w:divId w:val="1552813807"/>
        <w:rPr>
          <w:sz w:val="18"/>
          <w:szCs w:val="18"/>
        </w:rPr>
      </w:pPr>
      <w:r>
        <w:rPr>
          <w:rFonts w:hint="eastAsia"/>
          <w:sz w:val="18"/>
          <w:szCs w:val="18"/>
        </w:rPr>
        <w:t>金融资产部分转移且该被转移部分整体满足终止确认条件的，将转移前金融资产整体的账面价值，在终止确认部分和继续确认部分（在此种情形下，所保留的服务资产应当视同继续确认金融资产的一部分）之间，按照</w:t>
      </w:r>
      <w:proofErr w:type="gramStart"/>
      <w:r>
        <w:rPr>
          <w:rFonts w:hint="eastAsia"/>
          <w:sz w:val="18"/>
          <w:szCs w:val="18"/>
        </w:rPr>
        <w:t>转移日</w:t>
      </w:r>
      <w:proofErr w:type="gramEnd"/>
      <w:r>
        <w:rPr>
          <w:rFonts w:hint="eastAsia"/>
          <w:sz w:val="18"/>
          <w:szCs w:val="18"/>
        </w:rPr>
        <w:t>各自的相对公允价值进行分摊，并将下列两项金额的差额计入当期损益：</w:t>
      </w:r>
    </w:p>
    <w:p w:rsidR="000F627F" w:rsidRDefault="000F627F">
      <w:pPr>
        <w:widowControl/>
        <w:numPr>
          <w:ilvl w:val="0"/>
          <w:numId w:val="50"/>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终止确认部分在终止确认日的账面价值。</w:t>
      </w:r>
    </w:p>
    <w:p w:rsidR="000F627F" w:rsidRDefault="000F627F">
      <w:pPr>
        <w:widowControl/>
        <w:numPr>
          <w:ilvl w:val="0"/>
          <w:numId w:val="50"/>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终止确认部分收到的对价，与原计入其他综合收益的公允价值变动累计额中对应终止确认部分的金额（涉及转移的金融资产为以公允价值计量且其变动计入其他综合收益的金融资产）之</w:t>
      </w:r>
      <w:proofErr w:type="gramStart"/>
      <w:r>
        <w:rPr>
          <w:rFonts w:hint="eastAsia"/>
          <w:sz w:val="18"/>
          <w:szCs w:val="18"/>
        </w:rPr>
        <w:t>和</w:t>
      </w:r>
      <w:proofErr w:type="gramEnd"/>
      <w:r>
        <w:rPr>
          <w:rFonts w:hint="eastAsia"/>
          <w:sz w:val="18"/>
          <w:szCs w:val="18"/>
        </w:rPr>
        <w:t>。</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金融资产转移不满足终止确认条件的，继续确认该金融资产，所收到的对价确认为一项金融负债。</w:t>
      </w:r>
    </w:p>
    <w:p w:rsidR="000F627F" w:rsidRDefault="000F627F">
      <w:pPr>
        <w:widowControl/>
        <w:numPr>
          <w:ilvl w:val="0"/>
          <w:numId w:val="51"/>
        </w:numPr>
        <w:spacing w:before="100" w:beforeAutospacing="1" w:after="100" w:afterAutospacing="1"/>
        <w:divId w:val="1552813807"/>
        <w:rPr>
          <w:sz w:val="18"/>
          <w:szCs w:val="18"/>
        </w:rPr>
      </w:pPr>
      <w:r>
        <w:rPr>
          <w:rFonts w:hint="eastAsia"/>
          <w:sz w:val="18"/>
          <w:szCs w:val="18"/>
        </w:rPr>
        <w:t>金融资产和金融负债公允价值的确定方法</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存在活跃市场的金融资产或金融负债，以活跃市场的报价确定其公允价值，除非该项金融资产存在针对资产本身的限售期。对于针对资产本身的限售的金融资产，按照活跃市场的报价扣除市场参与者因承担指定期间内无法在公开市场上出售该金融资产的风险而要求获得的补偿金额后确定。活跃市场的报价包括易于且可定期从交易所、交易商、经纪人、行业集团、定价机构或监管机构等获得相关资产或负债的报价，且能代表在公平交易基础上实际并经常发生的市场交易。</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初始取得或衍生的金融资产或承担的金融负债，以市场交易价格作为确定其公允价值的基础。</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不存在活跃市场的金融资产或金融负债，采用估值技术确定其公允价值。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0F627F" w:rsidRDefault="000F627F">
      <w:pPr>
        <w:widowControl/>
        <w:numPr>
          <w:ilvl w:val="0"/>
          <w:numId w:val="52"/>
        </w:numPr>
        <w:spacing w:before="100" w:beforeAutospacing="1" w:after="100" w:afterAutospacing="1"/>
        <w:divId w:val="1552813807"/>
        <w:rPr>
          <w:sz w:val="18"/>
          <w:szCs w:val="18"/>
        </w:rPr>
      </w:pPr>
      <w:r>
        <w:rPr>
          <w:rFonts w:ascii="Times New Roman" w:hAnsi="Times New Roman" w:cs="Times New Roman"/>
          <w:sz w:val="18"/>
          <w:szCs w:val="18"/>
        </w:rPr>
        <w:t xml:space="preserve"> </w:t>
      </w:r>
      <w:r>
        <w:rPr>
          <w:rFonts w:hint="eastAsia"/>
          <w:sz w:val="18"/>
          <w:szCs w:val="18"/>
        </w:rPr>
        <w:t>金融工具减值</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本公司对以摊</w:t>
      </w:r>
      <w:proofErr w:type="gramStart"/>
      <w:r>
        <w:rPr>
          <w:rFonts w:hint="eastAsia"/>
          <w:sz w:val="18"/>
          <w:szCs w:val="18"/>
        </w:rPr>
        <w:t>余成本</w:t>
      </w:r>
      <w:proofErr w:type="gramEnd"/>
      <w:r>
        <w:rPr>
          <w:rFonts w:hint="eastAsia"/>
          <w:sz w:val="18"/>
          <w:szCs w:val="18"/>
        </w:rPr>
        <w:t>计量的金融资产以预期信用损失为基础进行减值会计处理并确认损失准备。</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预期信用损失，是指以发生违约的风险为权重的金融工具信用损失的加权平均值。信用损失，是指本公司按照</w:t>
      </w:r>
      <w:proofErr w:type="gramStart"/>
      <w:r>
        <w:rPr>
          <w:rFonts w:hint="eastAsia"/>
          <w:sz w:val="18"/>
          <w:szCs w:val="18"/>
        </w:rPr>
        <w:t>原实际</w:t>
      </w:r>
      <w:proofErr w:type="gramEnd"/>
      <w:r>
        <w:rPr>
          <w:rFonts w:hint="eastAsia"/>
          <w:sz w:val="18"/>
          <w:szCs w:val="18"/>
        </w:rPr>
        <w:t>利率折现的、根据合同应收的所有合同现金流量与预期收取的所有现金流量之间的差额，即全部现金短缺的现值。其中，对于本公司</w:t>
      </w:r>
      <w:proofErr w:type="gramStart"/>
      <w:r>
        <w:rPr>
          <w:rFonts w:hint="eastAsia"/>
          <w:sz w:val="18"/>
          <w:szCs w:val="18"/>
        </w:rPr>
        <w:t>购买或源生</w:t>
      </w:r>
      <w:proofErr w:type="gramEnd"/>
      <w:r>
        <w:rPr>
          <w:rFonts w:hint="eastAsia"/>
          <w:sz w:val="18"/>
          <w:szCs w:val="18"/>
        </w:rPr>
        <w:t>的已发生信用减值的金融资产，应按照该金融资产经信用调整的实际利率折现。</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对于</w:t>
      </w:r>
      <w:proofErr w:type="gramStart"/>
      <w:r>
        <w:rPr>
          <w:rFonts w:hint="eastAsia"/>
          <w:sz w:val="18"/>
          <w:szCs w:val="18"/>
        </w:rPr>
        <w:t>购买或源生</w:t>
      </w:r>
      <w:proofErr w:type="gramEnd"/>
      <w:r>
        <w:rPr>
          <w:rFonts w:hint="eastAsia"/>
          <w:sz w:val="18"/>
          <w:szCs w:val="18"/>
        </w:rPr>
        <w:t>的已发生信用减值的金融资产，在资产负债表日仅将自初始确认后整个存续期内预期信用损失的累计变动确认为损失准备。在每个资产负债表日，将整个存续期内预期信用损失的变动金额作为减值损失或利得计入当期</w:t>
      </w:r>
      <w:r>
        <w:rPr>
          <w:rFonts w:hint="eastAsia"/>
          <w:sz w:val="18"/>
          <w:szCs w:val="18"/>
        </w:rPr>
        <w:lastRenderedPageBreak/>
        <w:t>损益。即使该资产负债表日确定的整个存续期内预期信用损失小于初始确认时估计现金流量所反映的预期信用损失的金额，也将预期信用损失的有利变动确认为减值利得。</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除上述采用简化计量方法和</w:t>
      </w:r>
      <w:proofErr w:type="gramStart"/>
      <w:r>
        <w:rPr>
          <w:rFonts w:hint="eastAsia"/>
          <w:sz w:val="18"/>
          <w:szCs w:val="18"/>
        </w:rPr>
        <w:t>购买或源生</w:t>
      </w:r>
      <w:proofErr w:type="gramEnd"/>
      <w:r>
        <w:rPr>
          <w:rFonts w:hint="eastAsia"/>
          <w:sz w:val="18"/>
          <w:szCs w:val="18"/>
        </w:rPr>
        <w:t>的已发生信用减值以外的其他金融资产，本公司在每个资产负债表日评估相关金融工具的信用风险自初始确认后是否已显著增加，并按照下列情形分别计量其损失准备、确认预期信用损失及其变动：</w:t>
      </w:r>
    </w:p>
    <w:p w:rsidR="000F627F" w:rsidRDefault="000F627F">
      <w:pPr>
        <w:widowControl/>
        <w:numPr>
          <w:ilvl w:val="1"/>
          <w:numId w:val="53"/>
        </w:numPr>
        <w:spacing w:before="100" w:beforeAutospacing="1" w:after="100" w:afterAutospacing="1"/>
        <w:divId w:val="1552813807"/>
        <w:rPr>
          <w:sz w:val="18"/>
          <w:szCs w:val="18"/>
        </w:rPr>
      </w:pPr>
      <w:r>
        <w:rPr>
          <w:rFonts w:hint="eastAsia"/>
          <w:sz w:val="18"/>
          <w:szCs w:val="18"/>
        </w:rPr>
        <w:t>如果该金融工具的信用风险自初始确认后并未显著增加，处于第一阶段，则按照相当于该金融工具未来</w:t>
      </w:r>
      <w:r>
        <w:rPr>
          <w:rFonts w:ascii="Times New Roman" w:hAnsi="Times New Roman" w:cs="Times New Roman"/>
          <w:sz w:val="18"/>
          <w:szCs w:val="18"/>
        </w:rPr>
        <w:t>12</w:t>
      </w:r>
      <w:r>
        <w:rPr>
          <w:rFonts w:hint="eastAsia"/>
          <w:sz w:val="18"/>
          <w:szCs w:val="18"/>
        </w:rPr>
        <w:t>个月内预期信用损失的金额计量其损失准备，并按照账面余额和实际利率计算利息收入。</w:t>
      </w:r>
    </w:p>
    <w:p w:rsidR="000F627F" w:rsidRDefault="000F627F">
      <w:pPr>
        <w:widowControl/>
        <w:numPr>
          <w:ilvl w:val="1"/>
          <w:numId w:val="53"/>
        </w:numPr>
        <w:spacing w:before="100" w:beforeAutospacing="1" w:after="100" w:afterAutospacing="1"/>
        <w:divId w:val="1552813807"/>
        <w:rPr>
          <w:sz w:val="18"/>
          <w:szCs w:val="18"/>
        </w:rPr>
      </w:pPr>
      <w:r>
        <w:rPr>
          <w:rFonts w:hint="eastAsia"/>
          <w:sz w:val="18"/>
          <w:szCs w:val="18"/>
        </w:rPr>
        <w:t>如果该金融工具的信用风险自初始确认后已显著增加但尚未发生信用减值的，处于第二阶段，则按照相当于该金融工具整个存续期内预期信用损失的金额计量其损失准备，并按照账面余额和实际利率计算利息收入。</w:t>
      </w:r>
    </w:p>
    <w:p w:rsidR="000F627F" w:rsidRDefault="000F627F">
      <w:pPr>
        <w:widowControl/>
        <w:numPr>
          <w:ilvl w:val="1"/>
          <w:numId w:val="53"/>
        </w:numPr>
        <w:spacing w:before="100" w:beforeAutospacing="1" w:after="100" w:afterAutospacing="1"/>
        <w:divId w:val="1552813807"/>
        <w:rPr>
          <w:sz w:val="18"/>
          <w:szCs w:val="18"/>
        </w:rPr>
      </w:pPr>
      <w:r>
        <w:rPr>
          <w:rFonts w:hint="eastAsia"/>
          <w:sz w:val="18"/>
          <w:szCs w:val="18"/>
        </w:rPr>
        <w:t>如果该金融工具自初始确认后已经发生信用减值的，处于第三阶段，本公司按照相当于该金融工具整个存续期内预期信用损失的金额计量其损失准备，并按照摊</w:t>
      </w:r>
      <w:proofErr w:type="gramStart"/>
      <w:r>
        <w:rPr>
          <w:rFonts w:hint="eastAsia"/>
          <w:sz w:val="18"/>
          <w:szCs w:val="18"/>
        </w:rPr>
        <w:t>余成本</w:t>
      </w:r>
      <w:proofErr w:type="gramEnd"/>
      <w:r>
        <w:rPr>
          <w:rFonts w:hint="eastAsia"/>
          <w:sz w:val="18"/>
          <w:szCs w:val="18"/>
        </w:rPr>
        <w:t>和实际利率计算利息收入。</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金融工具信用损失准备的增加或转回金额，作为减值损失或利得计入当期损益。除分类为以公允价值计量且其变动计入其他综合收益的金融资产外，信用损失准备抵减金融资产的账面余额。对于分类为以公允价值计量且其变动计入其他综合收益的金融资产，本公司在其他综合收益中确认其信用损失准备，不减少该金融资产在资产负债表中列示的账面价值。</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在前一会计期间已经按照相当于金融工具整个存续期内预期信用损失的金额计量了损失准备，但在当期资产负债表日，该金融工具已不再属于自初始确认后信用风险显著增加的情形的，本公司在当期资产负债表</w:t>
      </w:r>
      <w:proofErr w:type="gramStart"/>
      <w:r>
        <w:rPr>
          <w:rFonts w:hint="eastAsia"/>
          <w:sz w:val="18"/>
          <w:szCs w:val="18"/>
        </w:rPr>
        <w:t>日按照</w:t>
      </w:r>
      <w:proofErr w:type="gramEnd"/>
      <w:r>
        <w:rPr>
          <w:rFonts w:hint="eastAsia"/>
          <w:sz w:val="18"/>
          <w:szCs w:val="18"/>
        </w:rPr>
        <w:t>相当于未来</w:t>
      </w:r>
      <w:r>
        <w:rPr>
          <w:rFonts w:ascii="Times New Roman" w:hAnsi="Times New Roman" w:cs="Times New Roman"/>
          <w:sz w:val="18"/>
          <w:szCs w:val="18"/>
        </w:rPr>
        <w:t>12</w:t>
      </w:r>
      <w:r>
        <w:rPr>
          <w:rFonts w:hint="eastAsia"/>
          <w:sz w:val="18"/>
          <w:szCs w:val="18"/>
        </w:rPr>
        <w:t>个月内预期信用损失的金额计量该金融工具的损失准备，由此形成的损失准备的转回金额作为减值利得计入当期损益。</w:t>
      </w:r>
    </w:p>
    <w:p w:rsidR="000F627F" w:rsidRDefault="000F627F">
      <w:pPr>
        <w:widowControl/>
        <w:numPr>
          <w:ilvl w:val="0"/>
          <w:numId w:val="54"/>
        </w:numPr>
        <w:spacing w:before="100" w:beforeAutospacing="1" w:after="100" w:afterAutospacing="1"/>
        <w:divId w:val="1552813807"/>
        <w:rPr>
          <w:sz w:val="18"/>
          <w:szCs w:val="18"/>
        </w:rPr>
      </w:pPr>
      <w:r>
        <w:rPr>
          <w:rFonts w:hint="eastAsia"/>
          <w:sz w:val="18"/>
          <w:szCs w:val="18"/>
        </w:rPr>
        <w:t>信用风险显著增加</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利用可获得的合理且有依据的前瞻性信息，通过比较金融工具在资产负债表日发生违约的风险与在初始确认日发生违约的风险，以确定金融工具的信用风险自初始确认后是否已显著增加。对于财务担保合同，本公司在应用金融工具减值规定时，将本公司成为做出不可撤销承诺的一方之日作为初始确认日。</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本公司在评估信用风险是否显著增加时会考虑如下因素：</w:t>
      </w:r>
    </w:p>
    <w:p w:rsidR="000F627F" w:rsidRDefault="000F627F">
      <w:pPr>
        <w:widowControl/>
        <w:numPr>
          <w:ilvl w:val="0"/>
          <w:numId w:val="55"/>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债务人经营成果实际或预期是否发生显著变化；</w:t>
      </w:r>
    </w:p>
    <w:p w:rsidR="000F627F" w:rsidRDefault="000F627F">
      <w:pPr>
        <w:widowControl/>
        <w:numPr>
          <w:ilvl w:val="0"/>
          <w:numId w:val="55"/>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债务人所处的监管、经济或技术环境是否发生显著不利变化；</w:t>
      </w:r>
    </w:p>
    <w:p w:rsidR="000F627F" w:rsidRDefault="000F627F">
      <w:pPr>
        <w:widowControl/>
        <w:numPr>
          <w:ilvl w:val="0"/>
          <w:numId w:val="55"/>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作为债务抵押的担保物价值或第三方提供的担保或信用增级质量是否发生显著变化，这些变化预期将降低债务人按合同规定期限还款的经济动机或者影响违约概率；</w:t>
      </w:r>
    </w:p>
    <w:p w:rsidR="000F627F" w:rsidRDefault="000F627F">
      <w:pPr>
        <w:widowControl/>
        <w:numPr>
          <w:ilvl w:val="0"/>
          <w:numId w:val="55"/>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债务人预期表现和还款行为是否发生显著变化；</w:t>
      </w:r>
    </w:p>
    <w:p w:rsidR="000F627F" w:rsidRDefault="000F627F">
      <w:pPr>
        <w:widowControl/>
        <w:numPr>
          <w:ilvl w:val="0"/>
          <w:numId w:val="55"/>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本公司对金融工具信用管理方法是否发生变化等。</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lastRenderedPageBreak/>
        <w:t>于资产负债表日，若本公司判断金融工具只具有较低的信用风险，则本公司假定该金融工具的信用风险自初始确认后并未显著增加。如果金融工具的违约风险较低，借款人在短期内履行其合同现金流量义务的能力很强，并且即使较长时期内经济形势和经营环境存在不利变化，但未必一定降低借款人履行其合同现金流量义务的能力，则该金融工具被视为具有较低的信用风险。</w:t>
      </w:r>
    </w:p>
    <w:p w:rsidR="000F627F" w:rsidRDefault="000F627F">
      <w:pPr>
        <w:widowControl/>
        <w:numPr>
          <w:ilvl w:val="0"/>
          <w:numId w:val="56"/>
        </w:numPr>
        <w:spacing w:before="100" w:beforeAutospacing="1" w:after="100" w:afterAutospacing="1"/>
        <w:divId w:val="1552813807"/>
        <w:rPr>
          <w:sz w:val="18"/>
          <w:szCs w:val="18"/>
        </w:rPr>
      </w:pPr>
      <w:r>
        <w:rPr>
          <w:rFonts w:hint="eastAsia"/>
          <w:sz w:val="18"/>
          <w:szCs w:val="18"/>
        </w:rPr>
        <w:t>已发生信用减值的金融资产</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当对金融资产预期未来现金流量具有不利影响的一项或多项事件发生时，该金融资产成为已发生信用减值的金融资产。金融资产已发生信用减值的证据包括下列可观察信息：</w:t>
      </w:r>
    </w:p>
    <w:p w:rsidR="000F627F" w:rsidRDefault="000F627F">
      <w:pPr>
        <w:widowControl/>
        <w:numPr>
          <w:ilvl w:val="0"/>
          <w:numId w:val="57"/>
        </w:numPr>
        <w:spacing w:before="100" w:beforeAutospacing="1" w:after="100" w:afterAutospacing="1"/>
        <w:divId w:val="1552813807"/>
        <w:rPr>
          <w:sz w:val="18"/>
          <w:szCs w:val="18"/>
        </w:rPr>
      </w:pPr>
    </w:p>
    <w:p w:rsidR="000F627F" w:rsidRDefault="000F627F">
      <w:pPr>
        <w:widowControl/>
        <w:numPr>
          <w:ilvl w:val="1"/>
          <w:numId w:val="57"/>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发行方或债务人发生重大财务困难；</w:t>
      </w:r>
    </w:p>
    <w:p w:rsidR="000F627F" w:rsidRDefault="000F627F">
      <w:pPr>
        <w:widowControl/>
        <w:numPr>
          <w:ilvl w:val="1"/>
          <w:numId w:val="57"/>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债务人违反合同，如偿付利息或本金违约或逾期等；</w:t>
      </w:r>
    </w:p>
    <w:p w:rsidR="000F627F" w:rsidRDefault="000F627F">
      <w:pPr>
        <w:widowControl/>
        <w:numPr>
          <w:ilvl w:val="1"/>
          <w:numId w:val="57"/>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债权人出于与债务人财务困难有关的经济或合同考虑，给予债务人在任何其他情况下都不会做出的让步；</w:t>
      </w:r>
    </w:p>
    <w:p w:rsidR="000F627F" w:rsidRDefault="000F627F">
      <w:pPr>
        <w:widowControl/>
        <w:numPr>
          <w:ilvl w:val="1"/>
          <w:numId w:val="57"/>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债务人很可能破产或进行其他财务重组；</w:t>
      </w:r>
    </w:p>
    <w:p w:rsidR="000F627F" w:rsidRDefault="000F627F">
      <w:pPr>
        <w:widowControl/>
        <w:numPr>
          <w:ilvl w:val="1"/>
          <w:numId w:val="57"/>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发行方或债务人财务困难导致该金融资产的活跃市场消失；</w:t>
      </w:r>
    </w:p>
    <w:p w:rsidR="000F627F" w:rsidRDefault="000F627F">
      <w:pPr>
        <w:widowControl/>
        <w:numPr>
          <w:ilvl w:val="1"/>
          <w:numId w:val="57"/>
        </w:numPr>
        <w:spacing w:before="100" w:beforeAutospacing="1" w:after="100" w:afterAutospacing="1"/>
        <w:divId w:val="155281380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以大幅折扣</w:t>
      </w:r>
      <w:proofErr w:type="gramStart"/>
      <w:r>
        <w:rPr>
          <w:rFonts w:hint="eastAsia"/>
          <w:sz w:val="18"/>
          <w:szCs w:val="18"/>
        </w:rPr>
        <w:t>购买或源生</w:t>
      </w:r>
      <w:proofErr w:type="gramEnd"/>
      <w:r>
        <w:rPr>
          <w:rFonts w:hint="eastAsia"/>
          <w:sz w:val="18"/>
          <w:szCs w:val="18"/>
        </w:rPr>
        <w:t>一项金融资产，该折扣反映了发生信用损失的事实。</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金融资产发生信用减值，有可能是多个事件的共同作用所致，未必是可单独识别的事件所致。</w:t>
      </w:r>
    </w:p>
    <w:p w:rsidR="000F627F" w:rsidRDefault="000F627F">
      <w:pPr>
        <w:widowControl/>
        <w:numPr>
          <w:ilvl w:val="0"/>
          <w:numId w:val="58"/>
        </w:numPr>
        <w:spacing w:before="100" w:beforeAutospacing="1" w:after="100" w:afterAutospacing="1"/>
        <w:divId w:val="1552813807"/>
        <w:rPr>
          <w:sz w:val="18"/>
          <w:szCs w:val="18"/>
        </w:rPr>
      </w:pPr>
      <w:r>
        <w:rPr>
          <w:rFonts w:hint="eastAsia"/>
          <w:sz w:val="18"/>
          <w:szCs w:val="18"/>
        </w:rPr>
        <w:t>预期信用损失的确定</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本公司基于单项和组合评估金融工具的预期信用损失，在评估预期信用损失时，考虑有关过去事项、当前状况以及未来经济状况预测的合理且有依据的信息。</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本公司以共同信用风险特征为依据，将金融工具分为不同组合。本公司采用的共同信用风险特征包括：金融工具类型、信用风险评级、账龄组合、逾期</w:t>
      </w:r>
      <w:proofErr w:type="gramStart"/>
      <w:r>
        <w:rPr>
          <w:rFonts w:hint="eastAsia"/>
          <w:sz w:val="18"/>
          <w:szCs w:val="18"/>
        </w:rPr>
        <w:t>账</w:t>
      </w:r>
      <w:proofErr w:type="gramEnd"/>
      <w:r>
        <w:rPr>
          <w:rFonts w:hint="eastAsia"/>
          <w:sz w:val="18"/>
          <w:szCs w:val="18"/>
        </w:rPr>
        <w:t>龄组合、合同结算周期、债务人所处行业等。相关金融工具的单项评估标准和组合信用风险特征详见相关金融工具的会计政策。</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本公司按照下列方法确定相关金融工具的预期信用损失：</w:t>
      </w:r>
    </w:p>
    <w:p w:rsidR="000F627F" w:rsidRDefault="000F627F">
      <w:pPr>
        <w:pStyle w:val="a3"/>
        <w:spacing w:before="0" w:beforeAutospacing="0" w:after="0" w:afterAutospacing="0" w:line="360" w:lineRule="auto"/>
        <w:ind w:firstLine="420"/>
        <w:jc w:val="both"/>
        <w:divId w:val="1552813807"/>
        <w:rPr>
          <w:sz w:val="21"/>
          <w:szCs w:val="21"/>
        </w:rPr>
      </w:pPr>
      <w:r>
        <w:rPr>
          <w:rFonts w:ascii="Times New Roman" w:hAnsi="Times New Roman" w:cs="Times New Roman"/>
          <w:sz w:val="18"/>
          <w:szCs w:val="18"/>
        </w:rPr>
        <w:t>1</w:t>
      </w:r>
      <w:r>
        <w:rPr>
          <w:rFonts w:hint="eastAsia"/>
          <w:sz w:val="18"/>
          <w:szCs w:val="18"/>
        </w:rPr>
        <w:t>）对于金融资产，信用损失为本公司应收取的合同现金流量与预期收取的现金流量之间差额的现值。</w:t>
      </w:r>
    </w:p>
    <w:p w:rsidR="000F627F" w:rsidRDefault="000F627F">
      <w:pPr>
        <w:pStyle w:val="a3"/>
        <w:spacing w:before="0" w:beforeAutospacing="0" w:after="0" w:afterAutospacing="0" w:line="360" w:lineRule="auto"/>
        <w:ind w:firstLine="420"/>
        <w:jc w:val="both"/>
        <w:divId w:val="1552813807"/>
        <w:rPr>
          <w:sz w:val="21"/>
          <w:szCs w:val="21"/>
        </w:rPr>
      </w:pPr>
      <w:r>
        <w:rPr>
          <w:rFonts w:ascii="Times New Roman" w:hAnsi="Times New Roman" w:cs="Times New Roman"/>
          <w:sz w:val="18"/>
          <w:szCs w:val="18"/>
        </w:rPr>
        <w:t>2</w:t>
      </w:r>
      <w:r>
        <w:rPr>
          <w:rFonts w:hint="eastAsia"/>
          <w:sz w:val="18"/>
          <w:szCs w:val="18"/>
        </w:rPr>
        <w:t>）对于租赁应收款项，信用损失为本公司应收取的合同现金流量与预期收取的现金流量之间差额的现值。</w:t>
      </w:r>
    </w:p>
    <w:p w:rsidR="000F627F" w:rsidRDefault="000F627F">
      <w:pPr>
        <w:pStyle w:val="a3"/>
        <w:spacing w:before="0" w:beforeAutospacing="0" w:after="0" w:afterAutospacing="0" w:line="360" w:lineRule="auto"/>
        <w:ind w:firstLine="420"/>
        <w:jc w:val="both"/>
        <w:divId w:val="1552813807"/>
        <w:rPr>
          <w:sz w:val="21"/>
          <w:szCs w:val="21"/>
        </w:rPr>
      </w:pPr>
      <w:r>
        <w:rPr>
          <w:rFonts w:ascii="Times New Roman" w:hAnsi="Times New Roman" w:cs="Times New Roman"/>
          <w:sz w:val="18"/>
          <w:szCs w:val="18"/>
        </w:rPr>
        <w:t>3</w:t>
      </w:r>
      <w:r>
        <w:rPr>
          <w:rFonts w:hint="eastAsia"/>
          <w:sz w:val="18"/>
          <w:szCs w:val="18"/>
        </w:rPr>
        <w:t>）对于财务担保合同，信用损失为本公司就该合同持有人发生的信用损失向其做出赔付的预计付款额，减去本公司预期向该合同持有人、债务人或任何其他方收取的金额之间差额的现值。</w:t>
      </w:r>
    </w:p>
    <w:p w:rsidR="000F627F" w:rsidRDefault="000F627F">
      <w:pPr>
        <w:pStyle w:val="a3"/>
        <w:spacing w:before="0" w:beforeAutospacing="0" w:after="0" w:afterAutospacing="0" w:line="360" w:lineRule="auto"/>
        <w:ind w:firstLine="420"/>
        <w:jc w:val="both"/>
        <w:divId w:val="1552813807"/>
        <w:rPr>
          <w:sz w:val="21"/>
          <w:szCs w:val="21"/>
        </w:rPr>
      </w:pPr>
      <w:r>
        <w:rPr>
          <w:rFonts w:ascii="Times New Roman" w:hAnsi="Times New Roman" w:cs="Times New Roman"/>
          <w:sz w:val="18"/>
          <w:szCs w:val="18"/>
        </w:rPr>
        <w:t>4</w:t>
      </w:r>
      <w:r>
        <w:rPr>
          <w:rFonts w:hint="eastAsia"/>
          <w:sz w:val="18"/>
          <w:szCs w:val="18"/>
        </w:rPr>
        <w:t>）对于资产负债表日已发生信用减值但并非</w:t>
      </w:r>
      <w:proofErr w:type="gramStart"/>
      <w:r>
        <w:rPr>
          <w:rFonts w:hint="eastAsia"/>
          <w:sz w:val="18"/>
          <w:szCs w:val="18"/>
        </w:rPr>
        <w:t>购买或源生</w:t>
      </w:r>
      <w:proofErr w:type="gramEnd"/>
      <w:r>
        <w:rPr>
          <w:rFonts w:hint="eastAsia"/>
          <w:sz w:val="18"/>
          <w:szCs w:val="18"/>
        </w:rPr>
        <w:t>已发生信用减值的金融资产，信用损失为该金融资产账面余额与按</w:t>
      </w:r>
      <w:proofErr w:type="gramStart"/>
      <w:r>
        <w:rPr>
          <w:rFonts w:hint="eastAsia"/>
          <w:sz w:val="18"/>
          <w:szCs w:val="18"/>
        </w:rPr>
        <w:t>原实际</w:t>
      </w:r>
      <w:proofErr w:type="gramEnd"/>
      <w:r>
        <w:rPr>
          <w:rFonts w:hint="eastAsia"/>
          <w:sz w:val="18"/>
          <w:szCs w:val="18"/>
        </w:rPr>
        <w:t>利率折现的估计未来现金流量的现值之间的差额。</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lastRenderedPageBreak/>
        <w:t>本公司计量金融工具预期信用损失的方法反映的因素包括：通过评价一系列可能的结果而确定的无偏概率加权平均金额；货币时间价值；在资产负债表日无须付出不必要的额外成本或努力即可获得的有关过去事项、当前状况以及未来经济状况预测的合理且有依据的信息。</w:t>
      </w:r>
    </w:p>
    <w:p w:rsidR="000F627F" w:rsidRDefault="000F627F">
      <w:pPr>
        <w:widowControl/>
        <w:numPr>
          <w:ilvl w:val="0"/>
          <w:numId w:val="59"/>
        </w:numPr>
        <w:spacing w:before="100" w:beforeAutospacing="1" w:after="100" w:afterAutospacing="1"/>
        <w:divId w:val="1552813807"/>
        <w:rPr>
          <w:sz w:val="18"/>
          <w:szCs w:val="18"/>
        </w:rPr>
      </w:pPr>
      <w:proofErr w:type="gramStart"/>
      <w:r>
        <w:rPr>
          <w:rFonts w:hint="eastAsia"/>
          <w:sz w:val="18"/>
          <w:szCs w:val="18"/>
        </w:rPr>
        <w:t>减记金融资产</w:t>
      </w:r>
      <w:proofErr w:type="gramEnd"/>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当本公司不再合理预期金融资产合同现金流量能够全部或部分收回的，直接</w:t>
      </w:r>
      <w:proofErr w:type="gramStart"/>
      <w:r>
        <w:rPr>
          <w:rFonts w:hint="eastAsia"/>
          <w:sz w:val="18"/>
          <w:szCs w:val="18"/>
        </w:rPr>
        <w:t>减记该</w:t>
      </w:r>
      <w:proofErr w:type="gramEnd"/>
      <w:r>
        <w:rPr>
          <w:rFonts w:hint="eastAsia"/>
          <w:sz w:val="18"/>
          <w:szCs w:val="18"/>
        </w:rPr>
        <w:t>金融资产的账面余额。这种</w:t>
      </w:r>
      <w:proofErr w:type="gramStart"/>
      <w:r>
        <w:rPr>
          <w:rFonts w:hint="eastAsia"/>
          <w:sz w:val="18"/>
          <w:szCs w:val="18"/>
        </w:rPr>
        <w:t>减记构成</w:t>
      </w:r>
      <w:proofErr w:type="gramEnd"/>
      <w:r>
        <w:rPr>
          <w:rFonts w:hint="eastAsia"/>
          <w:sz w:val="18"/>
          <w:szCs w:val="18"/>
        </w:rPr>
        <w:t>相关金融资产的终止确认。</w:t>
      </w:r>
    </w:p>
    <w:p w:rsidR="000F627F" w:rsidRDefault="000F627F">
      <w:pPr>
        <w:widowControl/>
        <w:numPr>
          <w:ilvl w:val="0"/>
          <w:numId w:val="60"/>
        </w:numPr>
        <w:spacing w:before="100" w:beforeAutospacing="1" w:after="100" w:afterAutospacing="1"/>
        <w:divId w:val="1552813807"/>
        <w:rPr>
          <w:sz w:val="18"/>
          <w:szCs w:val="18"/>
        </w:rPr>
      </w:pPr>
      <w:r>
        <w:rPr>
          <w:rFonts w:hint="eastAsia"/>
          <w:sz w:val="18"/>
          <w:szCs w:val="18"/>
        </w:rPr>
        <w:t>金融资产及金融负债的</w:t>
      </w:r>
      <w:proofErr w:type="gramStart"/>
      <w:r>
        <w:rPr>
          <w:rFonts w:hint="eastAsia"/>
          <w:sz w:val="18"/>
          <w:szCs w:val="18"/>
        </w:rPr>
        <w:t>抵销</w:t>
      </w:r>
      <w:proofErr w:type="gramEnd"/>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金融资产和金融负债在资产负债表内分别列示，没有相互</w:t>
      </w:r>
      <w:proofErr w:type="gramStart"/>
      <w:r>
        <w:rPr>
          <w:rFonts w:hint="eastAsia"/>
          <w:sz w:val="18"/>
          <w:szCs w:val="18"/>
        </w:rPr>
        <w:t>抵销</w:t>
      </w:r>
      <w:proofErr w:type="gramEnd"/>
      <w:r>
        <w:rPr>
          <w:rFonts w:hint="eastAsia"/>
          <w:sz w:val="18"/>
          <w:szCs w:val="18"/>
        </w:rPr>
        <w:t>。但是，同时满足下列条件的，以相互</w:t>
      </w:r>
      <w:proofErr w:type="gramStart"/>
      <w:r>
        <w:rPr>
          <w:rFonts w:hint="eastAsia"/>
          <w:sz w:val="18"/>
          <w:szCs w:val="18"/>
        </w:rPr>
        <w:t>抵销</w:t>
      </w:r>
      <w:proofErr w:type="gramEnd"/>
      <w:r>
        <w:rPr>
          <w:rFonts w:hint="eastAsia"/>
          <w:sz w:val="18"/>
          <w:szCs w:val="18"/>
        </w:rPr>
        <w:t>后的净额在资产负债表内列示：</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w:t>
      </w:r>
      <w:r>
        <w:rPr>
          <w:rFonts w:ascii="Times New Roman" w:hAnsi="Times New Roman" w:cs="Times New Roman"/>
          <w:sz w:val="18"/>
          <w:szCs w:val="18"/>
        </w:rPr>
        <w:t>1</w:t>
      </w:r>
      <w:r>
        <w:rPr>
          <w:rFonts w:hint="eastAsia"/>
          <w:sz w:val="18"/>
          <w:szCs w:val="18"/>
        </w:rPr>
        <w:t>）本公司具有</w:t>
      </w:r>
      <w:proofErr w:type="gramStart"/>
      <w:r>
        <w:rPr>
          <w:rFonts w:hint="eastAsia"/>
          <w:sz w:val="18"/>
          <w:szCs w:val="18"/>
        </w:rPr>
        <w:t>抵销</w:t>
      </w:r>
      <w:proofErr w:type="gramEnd"/>
      <w:r>
        <w:rPr>
          <w:rFonts w:hint="eastAsia"/>
          <w:sz w:val="18"/>
          <w:szCs w:val="18"/>
        </w:rPr>
        <w:t>已确认金额的法定权利，且该种法定权利是当前可执行的；</w:t>
      </w:r>
    </w:p>
    <w:p w:rsidR="000F627F" w:rsidRDefault="000F627F">
      <w:pPr>
        <w:pStyle w:val="a3"/>
        <w:spacing w:before="0" w:beforeAutospacing="0" w:after="0" w:afterAutospacing="0" w:line="360" w:lineRule="auto"/>
        <w:ind w:firstLine="420"/>
        <w:jc w:val="both"/>
        <w:divId w:val="1552813807"/>
        <w:rPr>
          <w:sz w:val="21"/>
          <w:szCs w:val="21"/>
        </w:rPr>
      </w:pPr>
      <w:r>
        <w:rPr>
          <w:rFonts w:hint="eastAsia"/>
          <w:sz w:val="18"/>
          <w:szCs w:val="18"/>
        </w:rPr>
        <w:t>（</w:t>
      </w:r>
      <w:r>
        <w:rPr>
          <w:rFonts w:ascii="Times New Roman" w:hAnsi="Times New Roman" w:cs="Times New Roman"/>
          <w:sz w:val="18"/>
          <w:szCs w:val="18"/>
        </w:rPr>
        <w:t>2</w:t>
      </w:r>
      <w:r>
        <w:rPr>
          <w:rFonts w:hint="eastAsia"/>
          <w:sz w:val="18"/>
          <w:szCs w:val="18"/>
        </w:rPr>
        <w:t>）本公司计划以净额结算，或同时变现该金融资产和清偿该金融负债。</w:t>
      </w:r>
    </w:p>
    <w:p w:rsidR="000D58D8" w:rsidRDefault="000F627F">
      <w:pPr>
        <w:pStyle w:val="3"/>
        <w:spacing w:line="280" w:lineRule="exact"/>
        <w:jc w:val="left"/>
        <w:rPr>
          <w:rFonts w:ascii="宋体" w:hAnsi="宋体" w:cs="宋体"/>
          <w:b/>
          <w:bCs/>
        </w:rPr>
      </w:pPr>
      <w:bookmarkStart w:id="189" w:name="_Toc989076"/>
      <w:r>
        <w:rPr>
          <w:rFonts w:ascii="宋体" w:hAnsi="宋体" w:cs="宋体"/>
          <w:b/>
          <w:bCs/>
        </w:rPr>
        <w:t>12、应收票据</w:t>
      </w:r>
      <w:bookmarkEnd w:id="189"/>
    </w:p>
    <w:p w:rsidR="000F627F" w:rsidRDefault="000F627F">
      <w:pPr>
        <w:pStyle w:val="a3"/>
        <w:spacing w:before="0" w:beforeAutospacing="0" w:after="0" w:afterAutospacing="0" w:line="360" w:lineRule="auto"/>
        <w:ind w:firstLine="420"/>
        <w:jc w:val="both"/>
        <w:divId w:val="325406752"/>
        <w:rPr>
          <w:sz w:val="21"/>
          <w:szCs w:val="21"/>
        </w:rPr>
      </w:pPr>
      <w:r>
        <w:rPr>
          <w:rFonts w:hint="eastAsia"/>
          <w:sz w:val="18"/>
          <w:szCs w:val="18"/>
        </w:rPr>
        <w:t>本公司对应收票据的预期信用损失的确定方法及会计处理方法详见本附注（十）</w:t>
      </w:r>
      <w:r>
        <w:rPr>
          <w:rFonts w:ascii="Times New Roman" w:hAnsi="Times New Roman" w:cs="Times New Roman"/>
          <w:sz w:val="18"/>
          <w:szCs w:val="18"/>
        </w:rPr>
        <w:t>6.</w:t>
      </w:r>
      <w:r>
        <w:rPr>
          <w:rFonts w:hint="eastAsia"/>
          <w:sz w:val="18"/>
          <w:szCs w:val="18"/>
        </w:rPr>
        <w:t>金融工具减值。</w:t>
      </w:r>
    </w:p>
    <w:p w:rsidR="000F627F" w:rsidRDefault="000F627F">
      <w:pPr>
        <w:pStyle w:val="a3"/>
        <w:spacing w:before="0" w:beforeAutospacing="0" w:after="0" w:afterAutospacing="0" w:line="360" w:lineRule="auto"/>
        <w:ind w:firstLine="420"/>
        <w:jc w:val="both"/>
        <w:divId w:val="325406752"/>
        <w:rPr>
          <w:sz w:val="21"/>
          <w:szCs w:val="21"/>
        </w:rPr>
      </w:pPr>
      <w:r>
        <w:rPr>
          <w:rFonts w:hint="eastAsia"/>
          <w:sz w:val="18"/>
          <w:szCs w:val="18"/>
        </w:rPr>
        <w:t>本公司对单项金额重大且在初始确认后已经发生信用减值的应收票据单独确定其信用损失。</w:t>
      </w:r>
    </w:p>
    <w:p w:rsidR="000F627F" w:rsidRDefault="000F627F">
      <w:pPr>
        <w:pStyle w:val="a3"/>
        <w:spacing w:before="0" w:beforeAutospacing="0" w:after="0" w:afterAutospacing="0" w:line="360" w:lineRule="auto"/>
        <w:ind w:firstLine="420"/>
        <w:jc w:val="both"/>
        <w:divId w:val="325406752"/>
        <w:rPr>
          <w:sz w:val="21"/>
          <w:szCs w:val="21"/>
        </w:rPr>
      </w:pPr>
      <w:r>
        <w:rPr>
          <w:rFonts w:hint="eastAsia"/>
          <w:sz w:val="18"/>
          <w:szCs w:val="18"/>
        </w:rPr>
        <w:t>当在单项工具层面无法以合理成本评估预期信用损失的充分证据时，本公司参考历史信用损失经验，结合当前状况以及对未来经济状况的判断，依据信用风险特征将</w:t>
      </w:r>
      <w:r>
        <w:rPr>
          <w:rFonts w:ascii="Times New Roman" w:hAnsi="Times New Roman" w:cs="Times New Roman"/>
          <w:sz w:val="18"/>
          <w:szCs w:val="18"/>
        </w:rPr>
        <w:t xml:space="preserve">    </w:t>
      </w:r>
      <w:r>
        <w:rPr>
          <w:rFonts w:hint="eastAsia"/>
          <w:sz w:val="18"/>
          <w:szCs w:val="18"/>
        </w:rPr>
        <w:t>应收票据划分为若干组合，在组合基础上计算预期信用损失。确定组合的依据如下：</w:t>
      </w:r>
    </w:p>
    <w:tbl>
      <w:tblPr>
        <w:tblW w:w="5000" w:type="pct"/>
        <w:tblCellMar>
          <w:left w:w="0" w:type="dxa"/>
          <w:right w:w="0" w:type="dxa"/>
        </w:tblCellMar>
        <w:tblLook w:val="04A0" w:firstRow="1" w:lastRow="0" w:firstColumn="1" w:lastColumn="0" w:noHBand="0" w:noVBand="1"/>
        <w:tblCaption w:val="D:\大华\华孚\2023年度\TB|0-合并TB-华孚时尚股份有限公司-2023年度.xlsx|W附注模板|_jds5|0|desc|||0|1"/>
      </w:tblPr>
      <w:tblGrid>
        <w:gridCol w:w="1553"/>
        <w:gridCol w:w="5168"/>
        <w:gridCol w:w="3132"/>
      </w:tblGrid>
      <w:tr w:rsidR="000F627F">
        <w:trPr>
          <w:divId w:val="325406752"/>
          <w:trHeight w:val="340"/>
        </w:trPr>
        <w:tc>
          <w:tcPr>
            <w:tcW w:w="1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组合名称</w:t>
            </w:r>
          </w:p>
        </w:tc>
        <w:tc>
          <w:tcPr>
            <w:tcW w:w="4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确定组合的依据</w:t>
            </w:r>
          </w:p>
        </w:tc>
        <w:tc>
          <w:tcPr>
            <w:tcW w:w="26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计提方法</w:t>
            </w:r>
          </w:p>
        </w:tc>
      </w:tr>
      <w:tr w:rsidR="000F627F">
        <w:trPr>
          <w:divId w:val="325406752"/>
          <w:trHeight w:val="340"/>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rsidP="007814F1">
            <w:pPr>
              <w:pStyle w:val="a3"/>
              <w:spacing w:before="0" w:beforeAutospacing="0" w:after="0" w:afterAutospacing="0"/>
              <w:rPr>
                <w:rFonts w:ascii="Times New Roman" w:hAnsi="Times New Roman" w:cs="Times New Roman"/>
                <w:sz w:val="21"/>
                <w:szCs w:val="21"/>
              </w:rPr>
            </w:pPr>
            <w:r>
              <w:rPr>
                <w:rFonts w:cs="Times New Roman" w:hint="eastAsia"/>
                <w:sz w:val="18"/>
                <w:szCs w:val="18"/>
              </w:rPr>
              <w:t>银行承兑汇票组合</w:t>
            </w:r>
          </w:p>
        </w:tc>
        <w:tc>
          <w:tcPr>
            <w:tcW w:w="4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出票人具有较高的信用评级，历史上未发生票据违约，信用损失风险极低，在短期内履行其支付合同现金流量义务的能力很强</w:t>
            </w:r>
          </w:p>
        </w:tc>
        <w:tc>
          <w:tcPr>
            <w:tcW w:w="2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参考历史信用损失经验不计提坏账准备</w:t>
            </w:r>
          </w:p>
        </w:tc>
      </w:tr>
      <w:tr w:rsidR="000F627F">
        <w:trPr>
          <w:divId w:val="325406752"/>
          <w:trHeight w:val="340"/>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rsidP="007814F1">
            <w:pPr>
              <w:pStyle w:val="a3"/>
              <w:spacing w:before="0" w:beforeAutospacing="0" w:after="0" w:afterAutospacing="0"/>
              <w:rPr>
                <w:rFonts w:ascii="Times New Roman" w:hAnsi="Times New Roman" w:cs="Times New Roman"/>
                <w:sz w:val="21"/>
                <w:szCs w:val="21"/>
              </w:rPr>
            </w:pPr>
            <w:r>
              <w:rPr>
                <w:rFonts w:cs="Times New Roman" w:hint="eastAsia"/>
                <w:sz w:val="18"/>
                <w:szCs w:val="18"/>
              </w:rPr>
              <w:t>商业承兑汇票组合</w:t>
            </w:r>
          </w:p>
        </w:tc>
        <w:tc>
          <w:tcPr>
            <w:tcW w:w="4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在以前年度实际损失率、对未来回收应收票据风险的判断及信用风险特征分析</w:t>
            </w:r>
          </w:p>
        </w:tc>
        <w:tc>
          <w:tcPr>
            <w:tcW w:w="2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按照预期损失率计提减值准，与应收账款的组合划分相同</w:t>
            </w:r>
          </w:p>
        </w:tc>
      </w:tr>
    </w:tbl>
    <w:p w:rsidR="000D58D8" w:rsidRDefault="000F627F">
      <w:pPr>
        <w:pStyle w:val="3"/>
        <w:spacing w:line="280" w:lineRule="exact"/>
        <w:jc w:val="left"/>
        <w:rPr>
          <w:rFonts w:ascii="宋体" w:hAnsi="宋体" w:cs="宋体"/>
          <w:b/>
          <w:bCs/>
        </w:rPr>
      </w:pPr>
      <w:bookmarkStart w:id="190" w:name="_Toc989077"/>
      <w:r>
        <w:rPr>
          <w:rFonts w:ascii="宋体" w:hAnsi="宋体" w:cs="宋体"/>
          <w:b/>
          <w:bCs/>
        </w:rPr>
        <w:t>13、应收账款</w:t>
      </w:r>
      <w:bookmarkEnd w:id="190"/>
    </w:p>
    <w:p w:rsidR="000F627F" w:rsidRDefault="000F627F">
      <w:pPr>
        <w:pStyle w:val="a3"/>
        <w:spacing w:before="0" w:beforeAutospacing="0" w:after="0" w:afterAutospacing="0" w:line="360" w:lineRule="auto"/>
        <w:ind w:firstLine="420"/>
        <w:jc w:val="both"/>
        <w:divId w:val="285428494"/>
        <w:rPr>
          <w:sz w:val="21"/>
          <w:szCs w:val="21"/>
        </w:rPr>
      </w:pPr>
      <w:r>
        <w:rPr>
          <w:rFonts w:hint="eastAsia"/>
          <w:sz w:val="18"/>
          <w:szCs w:val="18"/>
        </w:rPr>
        <w:t>本公司对应收账款的预期信用损失的确定方法及会计处理方法详见本附注（十）</w:t>
      </w:r>
      <w:r>
        <w:rPr>
          <w:rFonts w:ascii="Times New Roman" w:hAnsi="Times New Roman" w:cs="Times New Roman"/>
          <w:sz w:val="18"/>
          <w:szCs w:val="18"/>
        </w:rPr>
        <w:t>6.</w:t>
      </w:r>
      <w:r>
        <w:rPr>
          <w:rFonts w:hint="eastAsia"/>
          <w:sz w:val="18"/>
          <w:szCs w:val="18"/>
        </w:rPr>
        <w:t>金融工具减值。</w:t>
      </w:r>
    </w:p>
    <w:p w:rsidR="000F627F" w:rsidRDefault="000F627F">
      <w:pPr>
        <w:pStyle w:val="a3"/>
        <w:spacing w:before="0" w:beforeAutospacing="0" w:after="0" w:afterAutospacing="0" w:line="360" w:lineRule="auto"/>
        <w:ind w:firstLine="420"/>
        <w:jc w:val="both"/>
        <w:divId w:val="285428494"/>
        <w:rPr>
          <w:sz w:val="21"/>
          <w:szCs w:val="21"/>
        </w:rPr>
      </w:pPr>
      <w:r>
        <w:rPr>
          <w:rFonts w:hint="eastAsia"/>
          <w:sz w:val="18"/>
          <w:szCs w:val="18"/>
        </w:rPr>
        <w:t>本公司对单项金额重大且在初始确认后已经发生信用减值的应收账款单独确定其信用损失。</w:t>
      </w:r>
    </w:p>
    <w:p w:rsidR="000F627F" w:rsidRDefault="000F627F">
      <w:pPr>
        <w:pStyle w:val="a3"/>
        <w:spacing w:before="0" w:beforeAutospacing="0" w:after="0" w:afterAutospacing="0" w:line="360" w:lineRule="auto"/>
        <w:ind w:firstLine="420"/>
        <w:jc w:val="both"/>
        <w:divId w:val="285428494"/>
        <w:rPr>
          <w:sz w:val="21"/>
          <w:szCs w:val="21"/>
        </w:rPr>
      </w:pPr>
      <w:r>
        <w:rPr>
          <w:rFonts w:hint="eastAsia"/>
          <w:sz w:val="18"/>
          <w:szCs w:val="18"/>
        </w:rPr>
        <w:t>当在单项工具层面无法以合理成本评估预期信用损失的充分证据时，本公司参考历史信用损失经验，结合当前状况以及对未来经济状况的判断，依据信用风险特征将应收账款划分为若干组合，在组合基础上计算预期信用损失。确定组合的依据如下：</w:t>
      </w:r>
    </w:p>
    <w:tbl>
      <w:tblPr>
        <w:tblW w:w="5000" w:type="pct"/>
        <w:tblCellMar>
          <w:left w:w="0" w:type="dxa"/>
          <w:right w:w="0" w:type="dxa"/>
        </w:tblCellMar>
        <w:tblLook w:val="04A0" w:firstRow="1" w:lastRow="0" w:firstColumn="1" w:lastColumn="0" w:noHBand="0" w:noVBand="1"/>
        <w:tblCaption w:val="D:\大华\华孚\2023年度\TB|0-合并TB-华孚时尚股份有限公司-2023年度.xlsx|W附注模板|_jds6|0|desc|||0|1"/>
      </w:tblPr>
      <w:tblGrid>
        <w:gridCol w:w="1242"/>
        <w:gridCol w:w="4395"/>
        <w:gridCol w:w="4216"/>
      </w:tblGrid>
      <w:tr w:rsidR="000F627F" w:rsidTr="007814F1">
        <w:trPr>
          <w:divId w:val="285428494"/>
          <w:trHeight w:val="340"/>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lastRenderedPageBreak/>
              <w:t>组合名称</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确定组合的依据</w:t>
            </w:r>
          </w:p>
        </w:tc>
        <w:tc>
          <w:tcPr>
            <w:tcW w:w="4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计提方法</w:t>
            </w:r>
          </w:p>
        </w:tc>
      </w:tr>
      <w:tr w:rsidR="000F627F" w:rsidTr="007814F1">
        <w:trPr>
          <w:divId w:val="285428494"/>
          <w:trHeight w:val="340"/>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风险组合</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本组合以应收账款的账</w:t>
            </w:r>
            <w:proofErr w:type="gramStart"/>
            <w:r>
              <w:rPr>
                <w:rFonts w:cs="Times New Roman" w:hint="eastAsia"/>
                <w:sz w:val="18"/>
                <w:szCs w:val="18"/>
              </w:rPr>
              <w:t>龄作为</w:t>
            </w:r>
            <w:proofErr w:type="gramEnd"/>
            <w:r>
              <w:rPr>
                <w:rFonts w:cs="Times New Roman" w:hint="eastAsia"/>
                <w:sz w:val="18"/>
                <w:szCs w:val="18"/>
              </w:rPr>
              <w:t>信用风险特征</w:t>
            </w:r>
          </w:p>
        </w:tc>
        <w:tc>
          <w:tcPr>
            <w:tcW w:w="4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参考历史信用损失经验，结合当前状况以及对未来经济状况的预期计量坏账准备</w:t>
            </w:r>
          </w:p>
        </w:tc>
      </w:tr>
      <w:tr w:rsidR="000F627F" w:rsidTr="007814F1">
        <w:trPr>
          <w:divId w:val="285428494"/>
          <w:trHeight w:val="340"/>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性质组合</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根据业务性质，认定无信用风险，主要包括合并范围内关联方的款项、信用证结算的销售货款</w:t>
            </w:r>
          </w:p>
        </w:tc>
        <w:tc>
          <w:tcPr>
            <w:tcW w:w="4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参考历史信用损失经验，结合当前状况以及对未来经济状况的预期计量坏账准备</w:t>
            </w:r>
          </w:p>
        </w:tc>
      </w:tr>
    </w:tbl>
    <w:p w:rsidR="000D58D8" w:rsidRDefault="000F627F">
      <w:pPr>
        <w:pStyle w:val="3"/>
        <w:spacing w:line="280" w:lineRule="exact"/>
        <w:jc w:val="left"/>
        <w:rPr>
          <w:rFonts w:ascii="宋体" w:hAnsi="宋体" w:cs="宋体"/>
          <w:b/>
          <w:bCs/>
        </w:rPr>
      </w:pPr>
      <w:bookmarkStart w:id="191" w:name="_Toc989078"/>
      <w:r>
        <w:rPr>
          <w:rFonts w:ascii="宋体" w:hAnsi="宋体" w:cs="宋体"/>
          <w:b/>
          <w:bCs/>
        </w:rPr>
        <w:t>14、应收款项融资</w:t>
      </w:r>
      <w:bookmarkEnd w:id="191"/>
    </w:p>
    <w:p w:rsidR="000F627F" w:rsidRDefault="000F627F">
      <w:pPr>
        <w:pStyle w:val="a3"/>
        <w:spacing w:before="0" w:beforeAutospacing="0" w:after="0" w:afterAutospacing="0" w:line="360" w:lineRule="auto"/>
        <w:ind w:firstLine="420"/>
        <w:jc w:val="both"/>
        <w:divId w:val="2021010305"/>
        <w:rPr>
          <w:sz w:val="21"/>
          <w:szCs w:val="21"/>
        </w:rPr>
      </w:pPr>
      <w:r>
        <w:rPr>
          <w:rFonts w:hint="eastAsia"/>
          <w:sz w:val="18"/>
          <w:szCs w:val="18"/>
        </w:rPr>
        <w:t>分类为以公允价值计量且其变动计入其他综合收益的应收票据和应收账款，自初始确认日起到期期限在一年内（含一年）的，列示为应收款项融资；自初始确认日起到期期限在一年以上的，列示为其他债权投资。其相关会计政策详见本附注（十）。</w:t>
      </w:r>
    </w:p>
    <w:p w:rsidR="000F627F" w:rsidRDefault="000F627F">
      <w:pPr>
        <w:pStyle w:val="a3"/>
        <w:spacing w:before="0" w:beforeAutospacing="0" w:after="0" w:afterAutospacing="0" w:line="360" w:lineRule="auto"/>
        <w:ind w:firstLine="420"/>
        <w:jc w:val="both"/>
        <w:divId w:val="2021010305"/>
        <w:rPr>
          <w:sz w:val="21"/>
          <w:szCs w:val="21"/>
        </w:rPr>
      </w:pPr>
      <w:r>
        <w:rPr>
          <w:rFonts w:hint="eastAsia"/>
          <w:sz w:val="18"/>
          <w:szCs w:val="18"/>
        </w:rPr>
        <w:t>本公司对应收款项融资的预期信用损失的确定方法及会计处理方法详见本附注（十）</w:t>
      </w:r>
      <w:r>
        <w:rPr>
          <w:rFonts w:ascii="Times New Roman" w:hAnsi="Times New Roman" w:cs="Times New Roman"/>
          <w:sz w:val="18"/>
          <w:szCs w:val="18"/>
        </w:rPr>
        <w:t>6.</w:t>
      </w:r>
      <w:r>
        <w:rPr>
          <w:rFonts w:hint="eastAsia"/>
          <w:sz w:val="18"/>
          <w:szCs w:val="18"/>
        </w:rPr>
        <w:t>金融工具减值。</w:t>
      </w:r>
    </w:p>
    <w:p w:rsidR="000F627F" w:rsidRDefault="000F627F">
      <w:pPr>
        <w:pStyle w:val="a3"/>
        <w:spacing w:before="0" w:beforeAutospacing="0" w:after="0" w:afterAutospacing="0" w:line="360" w:lineRule="auto"/>
        <w:ind w:firstLine="420"/>
        <w:jc w:val="both"/>
        <w:divId w:val="2021010305"/>
        <w:rPr>
          <w:sz w:val="21"/>
          <w:szCs w:val="21"/>
        </w:rPr>
      </w:pPr>
      <w:r>
        <w:rPr>
          <w:rFonts w:hint="eastAsia"/>
          <w:sz w:val="18"/>
          <w:szCs w:val="18"/>
        </w:rPr>
        <w:t>本公司对单项金额重大且在初始确认后已经发生信用减值的应收款项融资单独确定其信用损失。</w:t>
      </w:r>
    </w:p>
    <w:p w:rsidR="000F627F" w:rsidRDefault="000F627F">
      <w:pPr>
        <w:pStyle w:val="a3"/>
        <w:divId w:val="2021010305"/>
        <w:rPr>
          <w:sz w:val="18"/>
          <w:szCs w:val="18"/>
        </w:rPr>
      </w:pPr>
      <w:r>
        <w:rPr>
          <w:rFonts w:hint="eastAsia"/>
          <w:sz w:val="18"/>
          <w:szCs w:val="18"/>
        </w:rPr>
        <w:t>当在单项工具层面无法以合理成本评估预期信用损失的充分证据时，本公司参考历史信用损失经验，结合当前状况以及对未来经济状况的判断，依据信用风险特征将应收账款划分为若干组合。</w:t>
      </w:r>
    </w:p>
    <w:p w:rsidR="000D58D8" w:rsidRDefault="000F627F">
      <w:pPr>
        <w:pStyle w:val="3"/>
        <w:spacing w:line="280" w:lineRule="exact"/>
        <w:jc w:val="left"/>
        <w:rPr>
          <w:rFonts w:ascii="宋体" w:hAnsi="宋体" w:cs="宋体"/>
          <w:b/>
          <w:bCs/>
        </w:rPr>
      </w:pPr>
      <w:bookmarkStart w:id="192" w:name="_Toc989079"/>
      <w:r>
        <w:rPr>
          <w:rFonts w:ascii="宋体" w:hAnsi="宋体" w:cs="宋体"/>
          <w:b/>
          <w:bCs/>
        </w:rPr>
        <w:t>15、其他应收款</w:t>
      </w:r>
      <w:bookmarkEnd w:id="192"/>
    </w:p>
    <w:p w:rsidR="000F627F" w:rsidRDefault="000F627F">
      <w:pPr>
        <w:pStyle w:val="a3"/>
        <w:spacing w:before="0" w:beforeAutospacing="0" w:after="0" w:afterAutospacing="0" w:line="360" w:lineRule="auto"/>
        <w:ind w:firstLine="420"/>
        <w:jc w:val="both"/>
        <w:divId w:val="1958176851"/>
        <w:rPr>
          <w:sz w:val="21"/>
          <w:szCs w:val="21"/>
        </w:rPr>
      </w:pPr>
      <w:r>
        <w:rPr>
          <w:rFonts w:hint="eastAsia"/>
          <w:sz w:val="18"/>
          <w:szCs w:val="18"/>
        </w:rPr>
        <w:t>本公司对其他应收款的预期信用损失的确定方法及会计处理方法详见本附注（十）</w:t>
      </w:r>
      <w:r>
        <w:rPr>
          <w:rFonts w:ascii="Times New Roman" w:hAnsi="Times New Roman" w:cs="Times New Roman"/>
          <w:sz w:val="18"/>
          <w:szCs w:val="18"/>
        </w:rPr>
        <w:t>6.</w:t>
      </w:r>
      <w:r>
        <w:rPr>
          <w:rFonts w:hint="eastAsia"/>
          <w:sz w:val="18"/>
          <w:szCs w:val="18"/>
        </w:rPr>
        <w:t>金融工具减值。</w:t>
      </w:r>
    </w:p>
    <w:p w:rsidR="000F627F" w:rsidRDefault="000F627F">
      <w:pPr>
        <w:pStyle w:val="a3"/>
        <w:spacing w:before="0" w:beforeAutospacing="0" w:after="0" w:afterAutospacing="0" w:line="360" w:lineRule="auto"/>
        <w:ind w:firstLine="420"/>
        <w:jc w:val="both"/>
        <w:divId w:val="1958176851"/>
        <w:rPr>
          <w:sz w:val="21"/>
          <w:szCs w:val="21"/>
        </w:rPr>
      </w:pPr>
      <w:r>
        <w:rPr>
          <w:rFonts w:hint="eastAsia"/>
          <w:sz w:val="18"/>
          <w:szCs w:val="18"/>
        </w:rPr>
        <w:t>本公司对单项金额重大且在初始确认后已经发生信用减值的其他应收款单独确定其信用损失。</w:t>
      </w:r>
    </w:p>
    <w:p w:rsidR="000F627F" w:rsidRDefault="000F627F">
      <w:pPr>
        <w:pStyle w:val="a3"/>
        <w:spacing w:before="0" w:beforeAutospacing="0" w:after="0" w:afterAutospacing="0" w:line="360" w:lineRule="auto"/>
        <w:ind w:firstLine="420"/>
        <w:jc w:val="both"/>
        <w:divId w:val="1958176851"/>
        <w:rPr>
          <w:sz w:val="21"/>
          <w:szCs w:val="21"/>
        </w:rPr>
      </w:pPr>
      <w:r>
        <w:rPr>
          <w:rFonts w:hint="eastAsia"/>
          <w:sz w:val="18"/>
          <w:szCs w:val="18"/>
        </w:rPr>
        <w:t>当在单项工具层面无法以合理成本评估预期信用损失的充分证据时，本公司参考历史信用损失经验，结合当前状况以及对未来经济状况的判断，依据信用风险特征将其他应收款划分为若干组合，在组合基础上计算预期信用损失。确定组合的依据如下：</w:t>
      </w:r>
    </w:p>
    <w:tbl>
      <w:tblPr>
        <w:tblW w:w="5000" w:type="pct"/>
        <w:tblCellMar>
          <w:left w:w="0" w:type="dxa"/>
          <w:right w:w="0" w:type="dxa"/>
        </w:tblCellMar>
        <w:tblLook w:val="04A0" w:firstRow="1" w:lastRow="0" w:firstColumn="1" w:lastColumn="0" w:noHBand="0" w:noVBand="1"/>
        <w:tblCaption w:val="D:\大华\华孚\2023年度\TB|0-合并TB-华孚时尚股份有限公司-2023年度.xlsx|W附注模板|_jds8|0|desc|||0|1"/>
      </w:tblPr>
      <w:tblGrid>
        <w:gridCol w:w="1553"/>
        <w:gridCol w:w="3658"/>
        <w:gridCol w:w="4642"/>
      </w:tblGrid>
      <w:tr w:rsidR="000F627F" w:rsidTr="007814F1">
        <w:trPr>
          <w:divId w:val="1958176851"/>
          <w:trHeight w:val="340"/>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组合名称</w:t>
            </w:r>
          </w:p>
        </w:tc>
        <w:tc>
          <w:tcPr>
            <w:tcW w:w="3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确定组合的依据</w:t>
            </w:r>
          </w:p>
        </w:tc>
        <w:tc>
          <w:tcPr>
            <w:tcW w:w="46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计提方法</w:t>
            </w:r>
          </w:p>
        </w:tc>
      </w:tr>
      <w:tr w:rsidR="000F627F" w:rsidTr="007814F1">
        <w:trPr>
          <w:divId w:val="1958176851"/>
          <w:trHeight w:val="340"/>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风险组合</w:t>
            </w:r>
          </w:p>
        </w:tc>
        <w:tc>
          <w:tcPr>
            <w:tcW w:w="3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本组合以其他应收款的账</w:t>
            </w:r>
            <w:proofErr w:type="gramStart"/>
            <w:r>
              <w:rPr>
                <w:rFonts w:cs="Times New Roman" w:hint="eastAsia"/>
                <w:sz w:val="18"/>
                <w:szCs w:val="18"/>
              </w:rPr>
              <w:t>龄作为</w:t>
            </w:r>
            <w:proofErr w:type="gramEnd"/>
            <w:r>
              <w:rPr>
                <w:rFonts w:cs="Times New Roman" w:hint="eastAsia"/>
                <w:sz w:val="18"/>
                <w:szCs w:val="18"/>
              </w:rPr>
              <w:t>信用风险特征</w:t>
            </w:r>
          </w:p>
        </w:tc>
        <w:tc>
          <w:tcPr>
            <w:tcW w:w="4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参考历史信用损失经验，结合当前状况以及对未来经济状况的预期计量坏账准备</w:t>
            </w:r>
          </w:p>
        </w:tc>
      </w:tr>
      <w:tr w:rsidR="000F627F" w:rsidTr="007814F1">
        <w:trPr>
          <w:divId w:val="1958176851"/>
          <w:trHeight w:val="340"/>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性质组合</w:t>
            </w:r>
          </w:p>
        </w:tc>
        <w:tc>
          <w:tcPr>
            <w:tcW w:w="3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根据业务性质，主要包括合并范围内关联方、出口退税款等</w:t>
            </w:r>
          </w:p>
        </w:tc>
        <w:tc>
          <w:tcPr>
            <w:tcW w:w="4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参考历史信用损失经验，结合当前状况以及对未来经济状况的预期计量坏账准备</w:t>
            </w:r>
          </w:p>
        </w:tc>
      </w:tr>
    </w:tbl>
    <w:p w:rsidR="000D58D8" w:rsidRDefault="000F627F">
      <w:pPr>
        <w:pStyle w:val="3"/>
        <w:spacing w:line="280" w:lineRule="exact"/>
        <w:jc w:val="left"/>
        <w:rPr>
          <w:rFonts w:ascii="宋体" w:hAnsi="宋体" w:cs="宋体"/>
          <w:b/>
          <w:bCs/>
        </w:rPr>
      </w:pPr>
      <w:bookmarkStart w:id="193" w:name="_Toc989080"/>
      <w:r>
        <w:rPr>
          <w:rFonts w:ascii="宋体" w:hAnsi="宋体" w:cs="宋体"/>
          <w:b/>
          <w:bCs/>
        </w:rPr>
        <w:t>16、合同资产</w:t>
      </w:r>
      <w:bookmarkEnd w:id="193"/>
    </w:p>
    <w:p w:rsidR="000F627F" w:rsidRDefault="000F627F" w:rsidP="007814F1">
      <w:pPr>
        <w:pStyle w:val="a3"/>
        <w:spacing w:before="0" w:beforeAutospacing="0" w:after="0" w:afterAutospacing="0"/>
        <w:divId w:val="1608459761"/>
        <w:rPr>
          <w:sz w:val="18"/>
          <w:szCs w:val="18"/>
        </w:rPr>
      </w:pPr>
      <w:r>
        <w:rPr>
          <w:rFonts w:hint="eastAsia"/>
          <w:sz w:val="18"/>
          <w:szCs w:val="18"/>
        </w:rPr>
        <w:t>   本公司已向客户转让商品而有权收取对价的权利，且该权利取决于时间流逝之外的其他因素的，确认为合同资产。本公司拥有的无条件</w:t>
      </w:r>
      <w:r>
        <w:rPr>
          <w:rFonts w:ascii="Times New Roman" w:hAnsi="Times New Roman" w:cs="Times New Roman"/>
          <w:sz w:val="18"/>
          <w:szCs w:val="18"/>
        </w:rPr>
        <w:t>(</w:t>
      </w:r>
      <w:r>
        <w:rPr>
          <w:rFonts w:hint="eastAsia"/>
          <w:sz w:val="18"/>
          <w:szCs w:val="18"/>
        </w:rPr>
        <w:t>即，仅取决于时间流逝</w:t>
      </w:r>
      <w:r>
        <w:rPr>
          <w:rFonts w:ascii="Times New Roman" w:hAnsi="Times New Roman" w:cs="Times New Roman"/>
          <w:sz w:val="18"/>
          <w:szCs w:val="18"/>
        </w:rPr>
        <w:t>)</w:t>
      </w:r>
      <w:r>
        <w:rPr>
          <w:rFonts w:hint="eastAsia"/>
          <w:sz w:val="18"/>
          <w:szCs w:val="18"/>
        </w:rPr>
        <w:t>向客户收取对价的权利作为应收款项单独列示。</w:t>
      </w:r>
    </w:p>
    <w:p w:rsidR="000F627F" w:rsidRDefault="000F627F">
      <w:pPr>
        <w:pStyle w:val="a3"/>
        <w:spacing w:before="0" w:beforeAutospacing="0" w:after="0" w:afterAutospacing="0" w:line="360" w:lineRule="auto"/>
        <w:ind w:firstLine="420"/>
        <w:jc w:val="both"/>
        <w:divId w:val="318772258"/>
        <w:rPr>
          <w:sz w:val="21"/>
          <w:szCs w:val="21"/>
        </w:rPr>
      </w:pPr>
      <w:r>
        <w:rPr>
          <w:rFonts w:hint="eastAsia"/>
          <w:sz w:val="18"/>
          <w:szCs w:val="18"/>
        </w:rPr>
        <w:t>本公司对合同资产的预期信用损失的确定方法及会计处理方法详见本附注（十）</w:t>
      </w:r>
      <w:r>
        <w:rPr>
          <w:rFonts w:ascii="Times New Roman" w:hAnsi="Times New Roman" w:cs="Times New Roman"/>
          <w:sz w:val="18"/>
          <w:szCs w:val="18"/>
        </w:rPr>
        <w:t>6.</w:t>
      </w:r>
      <w:r>
        <w:rPr>
          <w:rFonts w:hint="eastAsia"/>
          <w:sz w:val="18"/>
          <w:szCs w:val="18"/>
        </w:rPr>
        <w:t>金融工具减值。</w:t>
      </w:r>
    </w:p>
    <w:p w:rsidR="000F627F" w:rsidRDefault="000F627F">
      <w:pPr>
        <w:pStyle w:val="a3"/>
        <w:spacing w:before="0" w:beforeAutospacing="0" w:after="0" w:afterAutospacing="0" w:line="360" w:lineRule="auto"/>
        <w:ind w:firstLine="420"/>
        <w:jc w:val="both"/>
        <w:divId w:val="318772258"/>
        <w:rPr>
          <w:sz w:val="21"/>
          <w:szCs w:val="21"/>
        </w:rPr>
      </w:pPr>
      <w:r>
        <w:rPr>
          <w:rFonts w:hint="eastAsia"/>
          <w:sz w:val="18"/>
          <w:szCs w:val="18"/>
        </w:rPr>
        <w:t>本公司对单项金额重大且在初始确认后已经发生信用减值的合同资产单独确定其信用损失。</w:t>
      </w:r>
    </w:p>
    <w:p w:rsidR="000F627F" w:rsidRDefault="000F627F">
      <w:pPr>
        <w:pStyle w:val="a3"/>
        <w:spacing w:before="0" w:beforeAutospacing="0" w:after="0" w:afterAutospacing="0" w:line="360" w:lineRule="auto"/>
        <w:ind w:firstLine="420"/>
        <w:jc w:val="both"/>
        <w:divId w:val="318772258"/>
        <w:rPr>
          <w:sz w:val="21"/>
          <w:szCs w:val="21"/>
        </w:rPr>
      </w:pPr>
      <w:r>
        <w:rPr>
          <w:rFonts w:hint="eastAsia"/>
          <w:sz w:val="18"/>
          <w:szCs w:val="18"/>
        </w:rPr>
        <w:t>当在单项工具层面无法以合理成本评估预期信用损失的充分证据时，本公司参考历史信用损失经验，结合当前状况以及对未来经济状况的判断，依据信用风险特征将合同资产划分为若干组合，在组合基础上计算预期信用损失。</w:t>
      </w:r>
    </w:p>
    <w:p w:rsidR="000D58D8" w:rsidRDefault="000F627F">
      <w:pPr>
        <w:pStyle w:val="3"/>
        <w:spacing w:line="280" w:lineRule="exact"/>
        <w:jc w:val="left"/>
        <w:rPr>
          <w:rFonts w:ascii="宋体" w:hAnsi="宋体" w:cs="宋体"/>
          <w:b/>
          <w:bCs/>
        </w:rPr>
      </w:pPr>
      <w:bookmarkStart w:id="194" w:name="_Toc989081"/>
      <w:r>
        <w:rPr>
          <w:rFonts w:ascii="宋体" w:hAnsi="宋体" w:cs="宋体"/>
          <w:b/>
          <w:bCs/>
        </w:rPr>
        <w:lastRenderedPageBreak/>
        <w:t>17、存货</w:t>
      </w:r>
      <w:bookmarkEnd w:id="194"/>
    </w:p>
    <w:p w:rsidR="000F627F" w:rsidRDefault="000F627F" w:rsidP="007814F1">
      <w:pPr>
        <w:widowControl/>
        <w:numPr>
          <w:ilvl w:val="2"/>
          <w:numId w:val="61"/>
        </w:numPr>
        <w:tabs>
          <w:tab w:val="clear" w:pos="2160"/>
          <w:tab w:val="num" w:pos="0"/>
        </w:tabs>
        <w:spacing w:before="100" w:beforeAutospacing="1" w:after="100" w:afterAutospacing="1"/>
        <w:ind w:left="0" w:firstLine="426"/>
        <w:divId w:val="789326812"/>
        <w:rPr>
          <w:sz w:val="18"/>
          <w:szCs w:val="18"/>
        </w:rPr>
      </w:pPr>
      <w:r>
        <w:rPr>
          <w:rFonts w:hint="eastAsia"/>
          <w:sz w:val="18"/>
          <w:szCs w:val="18"/>
        </w:rPr>
        <w:t>．</w:t>
      </w:r>
      <w:r>
        <w:rPr>
          <w:rFonts w:ascii="Times New Roman" w:hAnsi="Times New Roman" w:cs="Times New Roman"/>
          <w:sz w:val="14"/>
          <w:szCs w:val="14"/>
        </w:rPr>
        <w:t>  </w:t>
      </w:r>
      <w:r>
        <w:rPr>
          <w:rFonts w:ascii="Times New Roman" w:hAnsi="Times New Roman" w:cs="Times New Roman"/>
          <w:sz w:val="18"/>
          <w:szCs w:val="18"/>
        </w:rPr>
        <w:t xml:space="preserve"> </w:t>
      </w:r>
      <w:r>
        <w:rPr>
          <w:rFonts w:hint="eastAsia"/>
          <w:sz w:val="18"/>
          <w:szCs w:val="18"/>
        </w:rPr>
        <w:t>存货类别、发出计价方法、盘存制度、低值易耗品和包装物的摊销方法</w:t>
      </w:r>
    </w:p>
    <w:p w:rsidR="000F627F" w:rsidRDefault="000F627F">
      <w:pPr>
        <w:widowControl/>
        <w:numPr>
          <w:ilvl w:val="0"/>
          <w:numId w:val="62"/>
        </w:numPr>
        <w:spacing w:before="100" w:beforeAutospacing="1" w:after="100" w:afterAutospacing="1"/>
        <w:divId w:val="789326812"/>
        <w:rPr>
          <w:sz w:val="18"/>
          <w:szCs w:val="18"/>
        </w:rPr>
      </w:pPr>
      <w:r>
        <w:rPr>
          <w:rFonts w:hint="eastAsia"/>
          <w:sz w:val="18"/>
          <w:szCs w:val="18"/>
        </w:rPr>
        <w:t>存货类别</w:t>
      </w:r>
    </w:p>
    <w:p w:rsidR="000F627F" w:rsidRDefault="000F627F">
      <w:pPr>
        <w:pStyle w:val="a3"/>
        <w:spacing w:before="0" w:beforeAutospacing="0" w:after="0" w:afterAutospacing="0" w:line="360" w:lineRule="auto"/>
        <w:ind w:firstLine="420"/>
        <w:jc w:val="both"/>
        <w:divId w:val="789326812"/>
        <w:rPr>
          <w:sz w:val="21"/>
          <w:szCs w:val="21"/>
        </w:rPr>
      </w:pPr>
      <w:r>
        <w:rPr>
          <w:rFonts w:hint="eastAsia"/>
          <w:sz w:val="18"/>
          <w:szCs w:val="18"/>
        </w:rPr>
        <w:t>存货是指本公司在日常活动中持有以备出售的产成品或商品、处在生产过程中的在产品、在生产过程或提供劳务过程中耗用的材料和物料等。主要包括原材料、周转材料、委托加工物资、在产品、自制半成品、产成品（库存商品）、发出商品等。</w:t>
      </w:r>
    </w:p>
    <w:p w:rsidR="000F627F" w:rsidRDefault="000F627F">
      <w:pPr>
        <w:widowControl/>
        <w:numPr>
          <w:ilvl w:val="0"/>
          <w:numId w:val="63"/>
        </w:numPr>
        <w:spacing w:before="100" w:beforeAutospacing="1" w:after="100" w:afterAutospacing="1"/>
        <w:divId w:val="789326812"/>
        <w:rPr>
          <w:sz w:val="18"/>
          <w:szCs w:val="18"/>
        </w:rPr>
      </w:pPr>
      <w:r>
        <w:rPr>
          <w:rFonts w:hint="eastAsia"/>
          <w:sz w:val="18"/>
          <w:szCs w:val="18"/>
        </w:rPr>
        <w:t>存货发出计价方法</w:t>
      </w:r>
    </w:p>
    <w:p w:rsidR="000F627F" w:rsidRDefault="000F627F">
      <w:pPr>
        <w:pStyle w:val="a3"/>
        <w:spacing w:before="0" w:beforeAutospacing="0" w:after="0" w:afterAutospacing="0" w:line="360" w:lineRule="auto"/>
        <w:ind w:firstLine="420"/>
        <w:jc w:val="both"/>
        <w:divId w:val="789326812"/>
        <w:rPr>
          <w:sz w:val="21"/>
          <w:szCs w:val="21"/>
        </w:rPr>
      </w:pPr>
      <w:r>
        <w:rPr>
          <w:rFonts w:hint="eastAsia"/>
          <w:sz w:val="18"/>
          <w:szCs w:val="18"/>
        </w:rPr>
        <w:t>存货在取得时，按成本进行初始计量，包括采购成本、加工成本和其他成本。存货发出时按移动加权平均法计价。</w:t>
      </w:r>
    </w:p>
    <w:p w:rsidR="000F627F" w:rsidRDefault="000F627F">
      <w:pPr>
        <w:widowControl/>
        <w:numPr>
          <w:ilvl w:val="0"/>
          <w:numId w:val="64"/>
        </w:numPr>
        <w:spacing w:before="100" w:beforeAutospacing="1" w:after="100" w:afterAutospacing="1"/>
        <w:divId w:val="789326812"/>
        <w:rPr>
          <w:sz w:val="18"/>
          <w:szCs w:val="18"/>
        </w:rPr>
      </w:pPr>
      <w:r>
        <w:rPr>
          <w:rFonts w:hint="eastAsia"/>
          <w:sz w:val="18"/>
          <w:szCs w:val="18"/>
        </w:rPr>
        <w:t>存货的盘存制度</w:t>
      </w:r>
    </w:p>
    <w:p w:rsidR="000F627F" w:rsidRDefault="000F627F">
      <w:pPr>
        <w:pStyle w:val="a3"/>
        <w:spacing w:before="0" w:beforeAutospacing="0" w:after="0" w:afterAutospacing="0" w:line="360" w:lineRule="auto"/>
        <w:ind w:firstLine="420"/>
        <w:jc w:val="both"/>
        <w:divId w:val="789326812"/>
        <w:rPr>
          <w:sz w:val="21"/>
          <w:szCs w:val="21"/>
        </w:rPr>
      </w:pPr>
      <w:r>
        <w:rPr>
          <w:rFonts w:hint="eastAsia"/>
          <w:sz w:val="18"/>
          <w:szCs w:val="18"/>
        </w:rPr>
        <w:t>存货盘存制度为永续盘存制。</w:t>
      </w:r>
    </w:p>
    <w:p w:rsidR="000F627F" w:rsidRDefault="000F627F">
      <w:pPr>
        <w:widowControl/>
        <w:numPr>
          <w:ilvl w:val="0"/>
          <w:numId w:val="65"/>
        </w:numPr>
        <w:spacing w:before="100" w:beforeAutospacing="1" w:after="100" w:afterAutospacing="1"/>
        <w:divId w:val="789326812"/>
        <w:rPr>
          <w:sz w:val="18"/>
          <w:szCs w:val="18"/>
        </w:rPr>
      </w:pPr>
      <w:r>
        <w:rPr>
          <w:rFonts w:hint="eastAsia"/>
          <w:sz w:val="18"/>
          <w:szCs w:val="18"/>
        </w:rPr>
        <w:t>低值易耗品和包装物的摊销方法</w:t>
      </w:r>
    </w:p>
    <w:p w:rsidR="000F627F" w:rsidRDefault="000F627F">
      <w:pPr>
        <w:pStyle w:val="a3"/>
        <w:spacing w:before="0" w:beforeAutospacing="0" w:after="0" w:afterAutospacing="0" w:line="360" w:lineRule="auto"/>
        <w:ind w:left="420"/>
        <w:jc w:val="both"/>
        <w:divId w:val="789326812"/>
        <w:rPr>
          <w:sz w:val="21"/>
          <w:szCs w:val="21"/>
        </w:rPr>
      </w:pPr>
      <w:r>
        <w:rPr>
          <w:rFonts w:ascii="Times New Roman" w:hAnsi="Times New Roman" w:cs="Times New Roman"/>
          <w:sz w:val="18"/>
          <w:szCs w:val="18"/>
        </w:rPr>
        <w:t>1</w:t>
      </w:r>
      <w:r>
        <w:rPr>
          <w:rFonts w:hint="eastAsia"/>
          <w:sz w:val="18"/>
          <w:szCs w:val="18"/>
        </w:rPr>
        <w:t>）低值易耗品采用一次转销法进行摊销；</w:t>
      </w:r>
    </w:p>
    <w:p w:rsidR="000F627F" w:rsidRDefault="000F627F">
      <w:pPr>
        <w:pStyle w:val="a3"/>
        <w:spacing w:before="0" w:beforeAutospacing="0" w:after="0" w:afterAutospacing="0" w:line="360" w:lineRule="auto"/>
        <w:ind w:left="420"/>
        <w:jc w:val="both"/>
        <w:divId w:val="789326812"/>
        <w:rPr>
          <w:sz w:val="21"/>
          <w:szCs w:val="21"/>
        </w:rPr>
      </w:pPr>
      <w:r>
        <w:rPr>
          <w:rFonts w:ascii="Times New Roman" w:hAnsi="Times New Roman" w:cs="Times New Roman"/>
          <w:sz w:val="18"/>
          <w:szCs w:val="18"/>
        </w:rPr>
        <w:t>2</w:t>
      </w:r>
      <w:r>
        <w:rPr>
          <w:rFonts w:hint="eastAsia"/>
          <w:sz w:val="18"/>
          <w:szCs w:val="18"/>
        </w:rPr>
        <w:t>）包装物采用一次转销法进行摊销。</w:t>
      </w:r>
    </w:p>
    <w:p w:rsidR="000F627F" w:rsidRDefault="000F627F">
      <w:pPr>
        <w:pStyle w:val="a3"/>
        <w:spacing w:before="0" w:beforeAutospacing="0" w:after="0" w:afterAutospacing="0" w:line="360" w:lineRule="auto"/>
        <w:ind w:left="420"/>
        <w:jc w:val="both"/>
        <w:divId w:val="789326812"/>
        <w:rPr>
          <w:sz w:val="21"/>
          <w:szCs w:val="21"/>
        </w:rPr>
      </w:pPr>
      <w:r>
        <w:rPr>
          <w:rFonts w:ascii="Times New Roman" w:hAnsi="Times New Roman" w:cs="Times New Roman"/>
          <w:sz w:val="18"/>
          <w:szCs w:val="18"/>
        </w:rPr>
        <w:t>3</w:t>
      </w:r>
      <w:r>
        <w:rPr>
          <w:rFonts w:hint="eastAsia"/>
          <w:sz w:val="18"/>
          <w:szCs w:val="18"/>
        </w:rPr>
        <w:t>）其他周转材料采用一次转销法进行摊销。</w:t>
      </w:r>
    </w:p>
    <w:p w:rsidR="000F627F" w:rsidRDefault="000F627F" w:rsidP="007814F1">
      <w:pPr>
        <w:widowControl/>
        <w:numPr>
          <w:ilvl w:val="2"/>
          <w:numId w:val="66"/>
        </w:numPr>
        <w:tabs>
          <w:tab w:val="clear" w:pos="2160"/>
          <w:tab w:val="num" w:pos="0"/>
        </w:tabs>
        <w:spacing w:before="100" w:beforeAutospacing="1" w:after="100" w:afterAutospacing="1"/>
        <w:ind w:left="0" w:firstLine="426"/>
        <w:divId w:val="789326812"/>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存货跌价准备的确认标准和计提方法</w:t>
      </w:r>
    </w:p>
    <w:p w:rsidR="000F627F" w:rsidRDefault="000F627F">
      <w:pPr>
        <w:pStyle w:val="a3"/>
        <w:spacing w:before="0" w:beforeAutospacing="0" w:after="0" w:afterAutospacing="0" w:line="360" w:lineRule="auto"/>
        <w:ind w:firstLine="420"/>
        <w:jc w:val="both"/>
        <w:divId w:val="789326812"/>
        <w:rPr>
          <w:sz w:val="21"/>
          <w:szCs w:val="21"/>
        </w:rPr>
      </w:pPr>
      <w:proofErr w:type="gramStart"/>
      <w:r>
        <w:rPr>
          <w:rFonts w:hint="eastAsia"/>
          <w:sz w:val="18"/>
          <w:szCs w:val="18"/>
        </w:rPr>
        <w:t>期末对</w:t>
      </w:r>
      <w:proofErr w:type="gramEnd"/>
      <w:r>
        <w:rPr>
          <w:rFonts w:hint="eastAsia"/>
          <w:sz w:val="18"/>
          <w:szCs w:val="18"/>
        </w:rPr>
        <w:t>存货进行全面清查后，按存货的成本与可变现净值孰低提取或调整存货跌价准备。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w:t>
      </w:r>
    </w:p>
    <w:p w:rsidR="000F627F" w:rsidRDefault="000F627F">
      <w:pPr>
        <w:pStyle w:val="a3"/>
        <w:spacing w:before="0" w:beforeAutospacing="0" w:after="0" w:afterAutospacing="0" w:line="360" w:lineRule="auto"/>
        <w:ind w:firstLine="420"/>
        <w:jc w:val="both"/>
        <w:divId w:val="789326812"/>
        <w:rPr>
          <w:sz w:val="21"/>
          <w:szCs w:val="21"/>
        </w:rPr>
      </w:pPr>
      <w:r>
        <w:rPr>
          <w:rFonts w:hint="eastAsia"/>
          <w:sz w:val="18"/>
          <w:szCs w:val="18"/>
        </w:rPr>
        <w:t>期末按照单个存货项目计提存货跌价准备；但对于数量繁多、单价较低的存货，按照存货类别计提存货跌价准备；与在同一地区生产和销售的产品系列相关、具有相同或类似最终用途或目的，且难以与其他项目分开计量的存货，则合并计提存货跌价准备。</w:t>
      </w:r>
    </w:p>
    <w:p w:rsidR="000F627F" w:rsidRDefault="000F627F">
      <w:pPr>
        <w:pStyle w:val="a3"/>
        <w:spacing w:before="0" w:beforeAutospacing="0" w:after="0" w:afterAutospacing="0" w:line="360" w:lineRule="auto"/>
        <w:ind w:firstLine="420"/>
        <w:jc w:val="both"/>
        <w:divId w:val="789326812"/>
        <w:rPr>
          <w:sz w:val="21"/>
          <w:szCs w:val="21"/>
        </w:rPr>
      </w:pPr>
      <w:proofErr w:type="gramStart"/>
      <w:r>
        <w:rPr>
          <w:rFonts w:hint="eastAsia"/>
          <w:sz w:val="18"/>
          <w:szCs w:val="18"/>
        </w:rPr>
        <w:lastRenderedPageBreak/>
        <w:t>以前减记</w:t>
      </w:r>
      <w:proofErr w:type="gramEnd"/>
      <w:r>
        <w:rPr>
          <w:rFonts w:hint="eastAsia"/>
          <w:sz w:val="18"/>
          <w:szCs w:val="18"/>
        </w:rPr>
        <w:t>存货价值的影响因素已经消失的，</w:t>
      </w:r>
      <w:proofErr w:type="gramStart"/>
      <w:r>
        <w:rPr>
          <w:rFonts w:hint="eastAsia"/>
          <w:sz w:val="18"/>
          <w:szCs w:val="18"/>
        </w:rPr>
        <w:t>减记的</w:t>
      </w:r>
      <w:proofErr w:type="gramEnd"/>
      <w:r>
        <w:rPr>
          <w:rFonts w:hint="eastAsia"/>
          <w:sz w:val="18"/>
          <w:szCs w:val="18"/>
        </w:rPr>
        <w:t>金额予以恢复，并在原已计提的存货跌价准备金额内转回，转回的金额计入当期损益。</w:t>
      </w:r>
    </w:p>
    <w:p w:rsidR="000D58D8" w:rsidRDefault="000F627F">
      <w:pPr>
        <w:pStyle w:val="3"/>
        <w:spacing w:line="280" w:lineRule="exact"/>
        <w:jc w:val="left"/>
        <w:rPr>
          <w:rFonts w:ascii="宋体" w:hAnsi="宋体" w:cs="宋体"/>
          <w:b/>
          <w:bCs/>
        </w:rPr>
      </w:pPr>
      <w:bookmarkStart w:id="195" w:name="_Toc989082"/>
      <w:r>
        <w:rPr>
          <w:rFonts w:ascii="宋体" w:hAnsi="宋体" w:cs="宋体"/>
          <w:b/>
          <w:bCs/>
        </w:rPr>
        <w:t>18、持有待售资产</w:t>
      </w:r>
      <w:bookmarkEnd w:id="195"/>
    </w:p>
    <w:p w:rsidR="000F627F" w:rsidRDefault="000F627F">
      <w:pPr>
        <w:widowControl/>
        <w:numPr>
          <w:ilvl w:val="0"/>
          <w:numId w:val="67"/>
        </w:numPr>
        <w:spacing w:before="100" w:beforeAutospacing="1" w:after="100" w:afterAutospacing="1"/>
        <w:divId w:val="616839180"/>
        <w:rPr>
          <w:sz w:val="18"/>
          <w:szCs w:val="18"/>
        </w:rPr>
      </w:pPr>
      <w:r>
        <w:rPr>
          <w:rFonts w:hint="eastAsia"/>
          <w:sz w:val="18"/>
          <w:szCs w:val="18"/>
        </w:rPr>
        <w:t>．</w:t>
      </w:r>
      <w:r>
        <w:rPr>
          <w:rFonts w:ascii="Times New Roman" w:hAnsi="Times New Roman" w:cs="Times New Roman"/>
          <w:sz w:val="14"/>
          <w:szCs w:val="14"/>
        </w:rPr>
        <w:t xml:space="preserve"> </w:t>
      </w:r>
      <w:r>
        <w:rPr>
          <w:rFonts w:hint="eastAsia"/>
          <w:sz w:val="18"/>
          <w:szCs w:val="18"/>
        </w:rPr>
        <w:t>划分为持有待售确认标准</w:t>
      </w:r>
    </w:p>
    <w:p w:rsidR="000F627F" w:rsidRDefault="000F627F">
      <w:pPr>
        <w:pStyle w:val="a3"/>
        <w:spacing w:before="0" w:beforeAutospacing="0" w:after="0" w:afterAutospacing="0" w:line="360" w:lineRule="auto"/>
        <w:ind w:firstLine="420"/>
        <w:jc w:val="both"/>
        <w:divId w:val="616839180"/>
        <w:rPr>
          <w:sz w:val="21"/>
          <w:szCs w:val="21"/>
        </w:rPr>
      </w:pPr>
      <w:r>
        <w:rPr>
          <w:rFonts w:hint="eastAsia"/>
          <w:sz w:val="18"/>
          <w:szCs w:val="18"/>
        </w:rPr>
        <w:t>本公司将同时满足下列条件的非流动资产或</w:t>
      </w:r>
      <w:proofErr w:type="gramStart"/>
      <w:r>
        <w:rPr>
          <w:rFonts w:hint="eastAsia"/>
          <w:sz w:val="18"/>
          <w:szCs w:val="18"/>
        </w:rPr>
        <w:t>处置组</w:t>
      </w:r>
      <w:proofErr w:type="gramEnd"/>
      <w:r>
        <w:rPr>
          <w:rFonts w:hint="eastAsia"/>
          <w:sz w:val="18"/>
          <w:szCs w:val="18"/>
        </w:rPr>
        <w:t>确认为持有待售组成部分：</w:t>
      </w:r>
    </w:p>
    <w:p w:rsidR="000F627F" w:rsidRDefault="000F627F">
      <w:pPr>
        <w:pStyle w:val="a3"/>
        <w:spacing w:before="0" w:beforeAutospacing="0" w:after="0" w:afterAutospacing="0" w:line="360" w:lineRule="auto"/>
        <w:ind w:firstLine="420"/>
        <w:jc w:val="both"/>
        <w:divId w:val="616839180"/>
        <w:rPr>
          <w:sz w:val="21"/>
          <w:szCs w:val="21"/>
        </w:rPr>
      </w:pPr>
      <w:r>
        <w:rPr>
          <w:rFonts w:hint="eastAsia"/>
          <w:sz w:val="18"/>
          <w:szCs w:val="18"/>
        </w:rPr>
        <w:t>（</w:t>
      </w:r>
      <w:r>
        <w:rPr>
          <w:rFonts w:ascii="Times New Roman" w:hAnsi="Times New Roman" w:cs="Times New Roman"/>
          <w:sz w:val="18"/>
          <w:szCs w:val="18"/>
        </w:rPr>
        <w:t>1</w:t>
      </w:r>
      <w:r>
        <w:rPr>
          <w:rFonts w:hint="eastAsia"/>
          <w:sz w:val="18"/>
          <w:szCs w:val="18"/>
        </w:rPr>
        <w:t>）根据类似交易中出售此类资产或</w:t>
      </w:r>
      <w:proofErr w:type="gramStart"/>
      <w:r>
        <w:rPr>
          <w:rFonts w:hint="eastAsia"/>
          <w:sz w:val="18"/>
          <w:szCs w:val="18"/>
        </w:rPr>
        <w:t>处置组</w:t>
      </w:r>
      <w:proofErr w:type="gramEnd"/>
      <w:r>
        <w:rPr>
          <w:rFonts w:hint="eastAsia"/>
          <w:sz w:val="18"/>
          <w:szCs w:val="18"/>
        </w:rPr>
        <w:t>的惯例，在当前状况下即可立即出售；</w:t>
      </w:r>
    </w:p>
    <w:p w:rsidR="000F627F" w:rsidRDefault="000F627F">
      <w:pPr>
        <w:pStyle w:val="a3"/>
        <w:spacing w:before="0" w:beforeAutospacing="0" w:after="0" w:afterAutospacing="0" w:line="360" w:lineRule="auto"/>
        <w:ind w:firstLine="420"/>
        <w:jc w:val="both"/>
        <w:divId w:val="616839180"/>
        <w:rPr>
          <w:sz w:val="21"/>
          <w:szCs w:val="21"/>
        </w:rPr>
      </w:pPr>
      <w:r>
        <w:rPr>
          <w:rFonts w:hint="eastAsia"/>
          <w:sz w:val="18"/>
          <w:szCs w:val="18"/>
        </w:rPr>
        <w:t>（</w:t>
      </w:r>
      <w:r>
        <w:rPr>
          <w:rFonts w:ascii="Times New Roman" w:hAnsi="Times New Roman" w:cs="Times New Roman"/>
          <w:sz w:val="18"/>
          <w:szCs w:val="18"/>
        </w:rPr>
        <w:t>2</w:t>
      </w:r>
      <w:r>
        <w:rPr>
          <w:rFonts w:hint="eastAsia"/>
          <w:sz w:val="18"/>
          <w:szCs w:val="18"/>
        </w:rPr>
        <w:t>）</w:t>
      </w:r>
      <w:proofErr w:type="gramStart"/>
      <w:r>
        <w:rPr>
          <w:rFonts w:hint="eastAsia"/>
          <w:sz w:val="18"/>
          <w:szCs w:val="18"/>
        </w:rPr>
        <w:t>出售极</w:t>
      </w:r>
      <w:proofErr w:type="gramEnd"/>
      <w:r>
        <w:rPr>
          <w:rFonts w:hint="eastAsia"/>
          <w:sz w:val="18"/>
          <w:szCs w:val="18"/>
        </w:rPr>
        <w:t>可能发生，即本公司已经就一项出售计划</w:t>
      </w:r>
      <w:proofErr w:type="gramStart"/>
      <w:r>
        <w:rPr>
          <w:rFonts w:hint="eastAsia"/>
          <w:sz w:val="18"/>
          <w:szCs w:val="18"/>
        </w:rPr>
        <w:t>作出</w:t>
      </w:r>
      <w:proofErr w:type="gramEnd"/>
      <w:r>
        <w:rPr>
          <w:rFonts w:hint="eastAsia"/>
          <w:sz w:val="18"/>
          <w:szCs w:val="18"/>
        </w:rPr>
        <w:t>决议，并已获得监管部门批准，且获得确定的购买承诺，预计出售将在一年内完成。</w:t>
      </w:r>
    </w:p>
    <w:p w:rsidR="000F627F" w:rsidRDefault="000F627F">
      <w:pPr>
        <w:pStyle w:val="a3"/>
        <w:spacing w:before="0" w:beforeAutospacing="0" w:after="0" w:afterAutospacing="0" w:line="360" w:lineRule="auto"/>
        <w:ind w:firstLine="420"/>
        <w:jc w:val="both"/>
        <w:divId w:val="616839180"/>
        <w:rPr>
          <w:sz w:val="21"/>
          <w:szCs w:val="21"/>
        </w:rPr>
      </w:pPr>
      <w:r>
        <w:rPr>
          <w:rFonts w:hint="eastAsia"/>
          <w:sz w:val="18"/>
          <w:szCs w:val="18"/>
        </w:rPr>
        <w:t>确定的购买承诺，是指本公司与其他方签订的具有法律约束力的购买协议，该协议包含交易价格、时间和足够严厉的违约惩罚等重要条款，使协议出现重大调整或者撤销的可能性极小。</w:t>
      </w:r>
    </w:p>
    <w:p w:rsidR="000F627F" w:rsidRDefault="000F627F">
      <w:pPr>
        <w:widowControl/>
        <w:numPr>
          <w:ilvl w:val="0"/>
          <w:numId w:val="68"/>
        </w:numPr>
        <w:spacing w:before="100" w:beforeAutospacing="1" w:after="100" w:afterAutospacing="1"/>
        <w:divId w:val="616839180"/>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持有待售核算方法</w:t>
      </w:r>
    </w:p>
    <w:p w:rsidR="000F627F" w:rsidRDefault="000F627F">
      <w:pPr>
        <w:pStyle w:val="a3"/>
        <w:spacing w:before="0" w:beforeAutospacing="0" w:after="0" w:afterAutospacing="0" w:line="360" w:lineRule="auto"/>
        <w:ind w:firstLine="420"/>
        <w:jc w:val="both"/>
        <w:divId w:val="616839180"/>
        <w:rPr>
          <w:sz w:val="21"/>
          <w:szCs w:val="21"/>
        </w:rPr>
      </w:pPr>
      <w:r>
        <w:rPr>
          <w:rFonts w:hint="eastAsia"/>
          <w:sz w:val="18"/>
          <w:szCs w:val="18"/>
        </w:rPr>
        <w:t>本公司对于持有待售的非流动资产或</w:t>
      </w:r>
      <w:proofErr w:type="gramStart"/>
      <w:r>
        <w:rPr>
          <w:rFonts w:hint="eastAsia"/>
          <w:sz w:val="18"/>
          <w:szCs w:val="18"/>
        </w:rPr>
        <w:t>处置组不计</w:t>
      </w:r>
      <w:proofErr w:type="gramEnd"/>
      <w:r>
        <w:rPr>
          <w:rFonts w:hint="eastAsia"/>
          <w:sz w:val="18"/>
          <w:szCs w:val="18"/>
        </w:rPr>
        <w:t>提折旧或摊销，其账面价值高于公允价值减去出售费用后的净额的，应当将账面价值</w:t>
      </w:r>
      <w:proofErr w:type="gramStart"/>
      <w:r>
        <w:rPr>
          <w:rFonts w:hint="eastAsia"/>
          <w:sz w:val="18"/>
          <w:szCs w:val="18"/>
        </w:rPr>
        <w:t>减记至</w:t>
      </w:r>
      <w:proofErr w:type="gramEnd"/>
      <w:r>
        <w:rPr>
          <w:rFonts w:hint="eastAsia"/>
          <w:sz w:val="18"/>
          <w:szCs w:val="18"/>
        </w:rPr>
        <w:t>公允价值减去出售费用后的净额，</w:t>
      </w:r>
      <w:proofErr w:type="gramStart"/>
      <w:r>
        <w:rPr>
          <w:rFonts w:hint="eastAsia"/>
          <w:sz w:val="18"/>
          <w:szCs w:val="18"/>
        </w:rPr>
        <w:t>减记的</w:t>
      </w:r>
      <w:proofErr w:type="gramEnd"/>
      <w:r>
        <w:rPr>
          <w:rFonts w:hint="eastAsia"/>
          <w:sz w:val="18"/>
          <w:szCs w:val="18"/>
        </w:rPr>
        <w:t>金额确认为资产减值损失，计入当期损益，同时计提持有待售资产减值准备。</w:t>
      </w:r>
    </w:p>
    <w:p w:rsidR="000F627F" w:rsidRDefault="000F627F">
      <w:pPr>
        <w:pStyle w:val="a3"/>
        <w:spacing w:before="0" w:beforeAutospacing="0" w:after="0" w:afterAutospacing="0" w:line="360" w:lineRule="auto"/>
        <w:ind w:firstLine="420"/>
        <w:jc w:val="both"/>
        <w:divId w:val="616839180"/>
        <w:rPr>
          <w:sz w:val="21"/>
          <w:szCs w:val="21"/>
        </w:rPr>
      </w:pPr>
      <w:r>
        <w:rPr>
          <w:rFonts w:hint="eastAsia"/>
          <w:sz w:val="18"/>
          <w:szCs w:val="18"/>
        </w:rPr>
        <w:t>对于取得日划分为持有待售类别的非流动资产或处置组，在初始计量时比较假定其不划分为持有待售类别情况下的初始计量金额和公允价值减去出售费用后的净额，以两者孰低计量。</w:t>
      </w:r>
    </w:p>
    <w:p w:rsidR="000F627F" w:rsidRDefault="000F627F">
      <w:pPr>
        <w:pStyle w:val="a3"/>
        <w:spacing w:before="0" w:beforeAutospacing="0" w:after="0" w:afterAutospacing="0" w:line="360" w:lineRule="auto"/>
        <w:ind w:firstLine="420"/>
        <w:jc w:val="both"/>
        <w:divId w:val="616839180"/>
        <w:rPr>
          <w:sz w:val="21"/>
          <w:szCs w:val="21"/>
        </w:rPr>
      </w:pPr>
      <w:r>
        <w:rPr>
          <w:rFonts w:hint="eastAsia"/>
          <w:sz w:val="18"/>
          <w:szCs w:val="18"/>
        </w:rPr>
        <w:t>上述原则适用于所有非流动资产，但不包括采用公允价值模式进行后续计量的投资性房地产、采用公允价值减去出售费用后的净额计量的生物资产、职工薪</w:t>
      </w:r>
      <w:proofErr w:type="gramStart"/>
      <w:r>
        <w:rPr>
          <w:rFonts w:hint="eastAsia"/>
          <w:sz w:val="18"/>
          <w:szCs w:val="18"/>
        </w:rPr>
        <w:t>酬</w:t>
      </w:r>
      <w:proofErr w:type="gramEnd"/>
      <w:r>
        <w:rPr>
          <w:rFonts w:hint="eastAsia"/>
          <w:sz w:val="18"/>
          <w:szCs w:val="18"/>
        </w:rPr>
        <w:t>形成的资产、递延所得税资产、由金融工具相关会计准则规范的金融资产、由保险合同相关会计准则规范的保险合同所产生的权利。</w:t>
      </w:r>
    </w:p>
    <w:p w:rsidR="000D58D8" w:rsidRDefault="000F627F">
      <w:pPr>
        <w:pStyle w:val="3"/>
        <w:spacing w:line="280" w:lineRule="exact"/>
        <w:jc w:val="left"/>
        <w:rPr>
          <w:rFonts w:ascii="宋体" w:hAnsi="宋体" w:cs="宋体"/>
          <w:b/>
          <w:bCs/>
        </w:rPr>
      </w:pPr>
      <w:bookmarkStart w:id="196" w:name="_Toc989083"/>
      <w:r>
        <w:rPr>
          <w:rFonts w:ascii="宋体" w:hAnsi="宋体" w:cs="宋体"/>
          <w:b/>
          <w:bCs/>
        </w:rPr>
        <w:t>19、债权投资</w:t>
      </w:r>
      <w:bookmarkEnd w:id="196"/>
    </w:p>
    <w:p w:rsidR="000F627F" w:rsidRDefault="000F627F">
      <w:pPr>
        <w:pStyle w:val="a3"/>
        <w:spacing w:before="0" w:beforeAutospacing="0" w:after="0" w:afterAutospacing="0" w:line="360" w:lineRule="auto"/>
        <w:ind w:firstLine="420"/>
        <w:jc w:val="both"/>
        <w:divId w:val="921648261"/>
        <w:rPr>
          <w:sz w:val="21"/>
          <w:szCs w:val="21"/>
        </w:rPr>
      </w:pPr>
      <w:r>
        <w:rPr>
          <w:rFonts w:hint="eastAsia"/>
          <w:sz w:val="18"/>
          <w:szCs w:val="18"/>
        </w:rPr>
        <w:t>本公司对债权投资的预期信用损失的确定方法及会计处理方法详见本附注（十）</w:t>
      </w:r>
      <w:r>
        <w:rPr>
          <w:rFonts w:ascii="Times New Roman" w:hAnsi="Times New Roman" w:cs="Times New Roman"/>
          <w:sz w:val="18"/>
          <w:szCs w:val="18"/>
        </w:rPr>
        <w:t>6.</w:t>
      </w:r>
      <w:r>
        <w:rPr>
          <w:rFonts w:hint="eastAsia"/>
          <w:sz w:val="18"/>
          <w:szCs w:val="18"/>
        </w:rPr>
        <w:t>金融工具减值。</w:t>
      </w:r>
    </w:p>
    <w:p w:rsidR="000D58D8" w:rsidRDefault="000F627F">
      <w:pPr>
        <w:pStyle w:val="3"/>
        <w:spacing w:line="280" w:lineRule="exact"/>
        <w:jc w:val="left"/>
        <w:rPr>
          <w:rFonts w:ascii="宋体" w:hAnsi="宋体" w:cs="宋体"/>
          <w:b/>
          <w:bCs/>
        </w:rPr>
      </w:pPr>
      <w:bookmarkStart w:id="197" w:name="_Toc989084"/>
      <w:r>
        <w:rPr>
          <w:rFonts w:ascii="宋体" w:hAnsi="宋体" w:cs="宋体"/>
          <w:b/>
          <w:bCs/>
        </w:rPr>
        <w:t>20、其他债权投资</w:t>
      </w:r>
      <w:bookmarkEnd w:id="197"/>
    </w:p>
    <w:p w:rsidR="000F627F" w:rsidRDefault="000F627F">
      <w:pPr>
        <w:pStyle w:val="a3"/>
        <w:divId w:val="1508865468"/>
        <w:rPr>
          <w:sz w:val="18"/>
          <w:szCs w:val="18"/>
        </w:rPr>
      </w:pPr>
      <w:r>
        <w:rPr>
          <w:rFonts w:hint="eastAsia"/>
          <w:sz w:val="18"/>
          <w:szCs w:val="18"/>
        </w:rPr>
        <w:t>本公司对其他债权投资的预期信用损失的确定方法及会计处理方法详见本附注（十）</w:t>
      </w:r>
      <w:r>
        <w:rPr>
          <w:rFonts w:ascii="Times New Roman" w:hAnsi="Times New Roman" w:cs="Times New Roman"/>
          <w:sz w:val="18"/>
          <w:szCs w:val="18"/>
        </w:rPr>
        <w:t>6.</w:t>
      </w:r>
      <w:r>
        <w:rPr>
          <w:rFonts w:hint="eastAsia"/>
          <w:sz w:val="18"/>
          <w:szCs w:val="18"/>
        </w:rPr>
        <w:t xml:space="preserve">金融工具减值。 </w:t>
      </w:r>
    </w:p>
    <w:p w:rsidR="000D58D8" w:rsidRDefault="000F627F">
      <w:pPr>
        <w:pStyle w:val="3"/>
        <w:spacing w:line="280" w:lineRule="exact"/>
        <w:jc w:val="left"/>
        <w:rPr>
          <w:rFonts w:ascii="宋体" w:hAnsi="宋体" w:cs="宋体"/>
          <w:b/>
          <w:bCs/>
        </w:rPr>
      </w:pPr>
      <w:bookmarkStart w:id="198" w:name="_Toc989085"/>
      <w:r>
        <w:rPr>
          <w:rFonts w:ascii="宋体" w:hAnsi="宋体" w:cs="宋体"/>
          <w:b/>
          <w:bCs/>
        </w:rPr>
        <w:t>21、长期应收款</w:t>
      </w:r>
      <w:bookmarkEnd w:id="198"/>
    </w:p>
    <w:p w:rsidR="000F627F" w:rsidRDefault="000F627F">
      <w:pPr>
        <w:pStyle w:val="a3"/>
        <w:spacing w:before="0" w:beforeAutospacing="0" w:after="0" w:afterAutospacing="0" w:line="360" w:lineRule="auto"/>
        <w:ind w:firstLine="420"/>
        <w:jc w:val="both"/>
        <w:divId w:val="1134441953"/>
        <w:rPr>
          <w:sz w:val="21"/>
          <w:szCs w:val="21"/>
        </w:rPr>
      </w:pPr>
      <w:r>
        <w:rPr>
          <w:rFonts w:hint="eastAsia"/>
          <w:sz w:val="18"/>
          <w:szCs w:val="18"/>
        </w:rPr>
        <w:t>本公司对长期应收款的预期信用损失的确定方法及会计处理方法详见本附注（十）</w:t>
      </w:r>
      <w:r>
        <w:rPr>
          <w:rFonts w:ascii="Times New Roman" w:hAnsi="Times New Roman" w:cs="Times New Roman"/>
          <w:sz w:val="18"/>
          <w:szCs w:val="18"/>
        </w:rPr>
        <w:t>6.</w:t>
      </w:r>
      <w:r>
        <w:rPr>
          <w:rFonts w:hint="eastAsia"/>
          <w:sz w:val="18"/>
          <w:szCs w:val="18"/>
        </w:rPr>
        <w:t>金融工具减值。</w:t>
      </w:r>
    </w:p>
    <w:p w:rsidR="000F627F" w:rsidRDefault="000F627F">
      <w:pPr>
        <w:pStyle w:val="a3"/>
        <w:spacing w:before="0" w:beforeAutospacing="0" w:after="0" w:afterAutospacing="0" w:line="360" w:lineRule="auto"/>
        <w:ind w:firstLine="420"/>
        <w:jc w:val="both"/>
        <w:divId w:val="1134441953"/>
        <w:rPr>
          <w:sz w:val="21"/>
          <w:szCs w:val="21"/>
        </w:rPr>
      </w:pPr>
      <w:r>
        <w:rPr>
          <w:rFonts w:hint="eastAsia"/>
          <w:sz w:val="18"/>
          <w:szCs w:val="18"/>
        </w:rPr>
        <w:lastRenderedPageBreak/>
        <w:t>本公司对单项金额重大且在初始确认后已经发生信用减值的长期应收款单独确定其信用损失。</w:t>
      </w:r>
    </w:p>
    <w:p w:rsidR="000F627F" w:rsidRDefault="000F627F">
      <w:pPr>
        <w:pStyle w:val="a3"/>
        <w:spacing w:before="0" w:beforeAutospacing="0" w:after="0" w:afterAutospacing="0" w:line="360" w:lineRule="auto"/>
        <w:ind w:firstLine="420"/>
        <w:jc w:val="both"/>
        <w:divId w:val="1134441953"/>
        <w:rPr>
          <w:sz w:val="21"/>
          <w:szCs w:val="21"/>
        </w:rPr>
      </w:pPr>
      <w:r>
        <w:rPr>
          <w:rFonts w:hint="eastAsia"/>
          <w:sz w:val="18"/>
          <w:szCs w:val="18"/>
        </w:rPr>
        <w:t>当在单项工具层面无法以合理成本评估预期信用损失的充分证据时，本公司参考历史信用损失经验，结合当前状况以及对未来经济状况的判断，依据信用风险特征将长期应收款划分为若干组合，在组合基础上计算预期信用损失。确定组合的依据如下：</w:t>
      </w:r>
    </w:p>
    <w:tbl>
      <w:tblPr>
        <w:tblW w:w="5000" w:type="pct"/>
        <w:tblCellMar>
          <w:left w:w="0" w:type="dxa"/>
          <w:right w:w="0" w:type="dxa"/>
        </w:tblCellMar>
        <w:tblLook w:val="04A0" w:firstRow="1" w:lastRow="0" w:firstColumn="1" w:lastColumn="0" w:noHBand="0" w:noVBand="1"/>
        <w:tblCaption w:val="D:\大华\华孚\2023年度\TB|0-合并TB-华孚时尚股份有限公司-2023年度.xlsx|W附注模板|_jds10|0|desc|||0|1"/>
      </w:tblPr>
      <w:tblGrid>
        <w:gridCol w:w="1553"/>
        <w:gridCol w:w="3942"/>
        <w:gridCol w:w="4358"/>
      </w:tblGrid>
      <w:tr w:rsidR="000F627F" w:rsidTr="00134FC9">
        <w:trPr>
          <w:divId w:val="1134441953"/>
          <w:trHeight w:val="340"/>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组合名称</w:t>
            </w:r>
          </w:p>
        </w:tc>
        <w:tc>
          <w:tcPr>
            <w:tcW w:w="39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确定组合的依据</w:t>
            </w:r>
          </w:p>
        </w:tc>
        <w:tc>
          <w:tcPr>
            <w:tcW w:w="43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计提方法</w:t>
            </w:r>
          </w:p>
        </w:tc>
      </w:tr>
      <w:tr w:rsidR="000F627F" w:rsidTr="00134FC9">
        <w:trPr>
          <w:divId w:val="1134441953"/>
          <w:trHeight w:val="340"/>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风险组合</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本组合以长期应收款的账</w:t>
            </w:r>
            <w:proofErr w:type="gramStart"/>
            <w:r>
              <w:rPr>
                <w:rFonts w:cs="Times New Roman" w:hint="eastAsia"/>
                <w:sz w:val="18"/>
                <w:szCs w:val="18"/>
              </w:rPr>
              <w:t>龄作为</w:t>
            </w:r>
            <w:proofErr w:type="gramEnd"/>
            <w:r>
              <w:rPr>
                <w:rFonts w:cs="Times New Roman" w:hint="eastAsia"/>
                <w:sz w:val="18"/>
                <w:szCs w:val="18"/>
              </w:rPr>
              <w:t>信用风险特征</w:t>
            </w:r>
          </w:p>
        </w:tc>
        <w:tc>
          <w:tcPr>
            <w:tcW w:w="4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参考历史信用损失经验，结合当前状况以及对未来经济状况的预期计量坏账准备</w:t>
            </w:r>
          </w:p>
        </w:tc>
      </w:tr>
      <w:tr w:rsidR="000F627F" w:rsidTr="00134FC9">
        <w:trPr>
          <w:divId w:val="1134441953"/>
          <w:trHeight w:val="340"/>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性质组合</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根据业务性质，主要包括合并范围内关联方的款项、出口退税款</w:t>
            </w:r>
          </w:p>
        </w:tc>
        <w:tc>
          <w:tcPr>
            <w:tcW w:w="4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参考历史信用损失经验，结合当前状况以及对未来经济状况的预期计量坏账准备</w:t>
            </w:r>
          </w:p>
        </w:tc>
      </w:tr>
    </w:tbl>
    <w:p w:rsidR="000D58D8" w:rsidRDefault="000F627F">
      <w:pPr>
        <w:pStyle w:val="3"/>
        <w:spacing w:line="280" w:lineRule="exact"/>
        <w:jc w:val="left"/>
        <w:rPr>
          <w:rFonts w:ascii="宋体" w:hAnsi="宋体" w:cs="宋体"/>
          <w:b/>
          <w:bCs/>
        </w:rPr>
      </w:pPr>
      <w:bookmarkStart w:id="199" w:name="_Toc989086"/>
      <w:r>
        <w:rPr>
          <w:rFonts w:ascii="宋体" w:hAnsi="宋体" w:cs="宋体"/>
          <w:b/>
          <w:bCs/>
        </w:rPr>
        <w:t>22、长期股权投资</w:t>
      </w:r>
      <w:bookmarkEnd w:id="199"/>
    </w:p>
    <w:p w:rsidR="000F627F" w:rsidRDefault="000F627F">
      <w:pPr>
        <w:widowControl/>
        <w:numPr>
          <w:ilvl w:val="0"/>
          <w:numId w:val="69"/>
        </w:numPr>
        <w:spacing w:before="100" w:beforeAutospacing="1" w:after="100" w:afterAutospacing="1"/>
        <w:divId w:val="1498836891"/>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初始投资成本的确定</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w:t>
      </w:r>
      <w:r>
        <w:rPr>
          <w:rFonts w:ascii="Times New Roman" w:hAnsi="Times New Roman" w:cs="Times New Roman"/>
          <w:sz w:val="18"/>
          <w:szCs w:val="18"/>
        </w:rPr>
        <w:t>1</w:t>
      </w:r>
      <w:r>
        <w:rPr>
          <w:rFonts w:hint="eastAsia"/>
          <w:sz w:val="18"/>
          <w:szCs w:val="18"/>
        </w:rPr>
        <w:t>）企业合并形成的长期股权投资，具体会计政策详见本附注（五）同</w:t>
      </w:r>
      <w:proofErr w:type="gramStart"/>
      <w:r>
        <w:rPr>
          <w:rFonts w:hint="eastAsia"/>
          <w:sz w:val="18"/>
          <w:szCs w:val="18"/>
        </w:rPr>
        <w:t>一控制</w:t>
      </w:r>
      <w:proofErr w:type="gramEnd"/>
      <w:r>
        <w:rPr>
          <w:rFonts w:hint="eastAsia"/>
          <w:sz w:val="18"/>
          <w:szCs w:val="18"/>
        </w:rPr>
        <w:t>下和非同</w:t>
      </w:r>
      <w:proofErr w:type="gramStart"/>
      <w:r>
        <w:rPr>
          <w:rFonts w:hint="eastAsia"/>
          <w:sz w:val="18"/>
          <w:szCs w:val="18"/>
        </w:rPr>
        <w:t>一控制</w:t>
      </w:r>
      <w:proofErr w:type="gramEnd"/>
      <w:r>
        <w:rPr>
          <w:rFonts w:hint="eastAsia"/>
          <w:sz w:val="18"/>
          <w:szCs w:val="18"/>
        </w:rPr>
        <w:t>下企业合并的会计处理方法。</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w:t>
      </w:r>
      <w:r>
        <w:rPr>
          <w:rFonts w:ascii="Times New Roman" w:hAnsi="Times New Roman" w:cs="Times New Roman"/>
          <w:sz w:val="18"/>
          <w:szCs w:val="18"/>
        </w:rPr>
        <w:t>2</w:t>
      </w:r>
      <w:r>
        <w:rPr>
          <w:rFonts w:hint="eastAsia"/>
          <w:sz w:val="18"/>
          <w:szCs w:val="18"/>
        </w:rPr>
        <w:t>）其他方式取得的长期股权投资</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以支付现金方式取得的长期股权投资，按照实际支付的购买价款作为初始投资成本。初始投资成本包括与取得长期股权投资直接相关的费用、税金及其他必要支出。</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以发行权益</w:t>
      </w:r>
      <w:proofErr w:type="gramStart"/>
      <w:r>
        <w:rPr>
          <w:rFonts w:hint="eastAsia"/>
          <w:sz w:val="18"/>
          <w:szCs w:val="18"/>
        </w:rPr>
        <w:t>性证券</w:t>
      </w:r>
      <w:proofErr w:type="gramEnd"/>
      <w:r>
        <w:rPr>
          <w:rFonts w:hint="eastAsia"/>
          <w:sz w:val="18"/>
          <w:szCs w:val="18"/>
        </w:rPr>
        <w:t>取得的长期股权投资，按照发行权益</w:t>
      </w:r>
      <w:proofErr w:type="gramStart"/>
      <w:r>
        <w:rPr>
          <w:rFonts w:hint="eastAsia"/>
          <w:sz w:val="18"/>
          <w:szCs w:val="18"/>
        </w:rPr>
        <w:t>性证券</w:t>
      </w:r>
      <w:proofErr w:type="gramEnd"/>
      <w:r>
        <w:rPr>
          <w:rFonts w:hint="eastAsia"/>
          <w:sz w:val="18"/>
          <w:szCs w:val="18"/>
        </w:rPr>
        <w:t>的公允价值作为初始投资成本；发行或取得自身权益工具时发生的交易费用，可直接归属于权益性交易的从权益中扣减。</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在非货币性资产交换具备商业实质和换入资产或换出资产的公允价值能够可靠计量的前提下，非货币性资产交换换入的长期股权投资以换出资产的公允价值为基础确定其初始投资成本，除非有确凿证据表明换入资产的公允价值更加可靠；不满足上述前提的非货币性资产交换，以换出资产的账面价值和应支付的相关税费作为换入长期股权投资的初始投资成本。</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通过债务重组取得的长期股权投资，其初始投资成本按照公允价值为基础确定。</w:t>
      </w:r>
    </w:p>
    <w:p w:rsidR="000F627F" w:rsidRDefault="000F627F">
      <w:pPr>
        <w:widowControl/>
        <w:numPr>
          <w:ilvl w:val="0"/>
          <w:numId w:val="70"/>
        </w:numPr>
        <w:spacing w:before="100" w:beforeAutospacing="1" w:after="100" w:afterAutospacing="1"/>
        <w:divId w:val="1498836891"/>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后续计量及损益确认</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w:t>
      </w:r>
      <w:r>
        <w:rPr>
          <w:rFonts w:ascii="Times New Roman" w:hAnsi="Times New Roman" w:cs="Times New Roman"/>
          <w:sz w:val="18"/>
          <w:szCs w:val="18"/>
        </w:rPr>
        <w:t>1</w:t>
      </w:r>
      <w:r>
        <w:rPr>
          <w:rFonts w:hint="eastAsia"/>
          <w:sz w:val="18"/>
          <w:szCs w:val="18"/>
        </w:rPr>
        <w:t>）成本法</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本公司能够对被投资单位实施控制的长期股权投资采用成本法核算，并按照初始投资成本计价，追加或收回投资调整长期股权投资的成本。</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除取得投资时实际支付的价款或对价中包含的已宣告但尚未发放的现金股利或利润外，本公司按照享有被投资单位宣告分派的现金股利或利润确认为当期投资收益。</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w:t>
      </w:r>
      <w:r>
        <w:rPr>
          <w:rFonts w:ascii="Times New Roman" w:hAnsi="Times New Roman" w:cs="Times New Roman"/>
          <w:sz w:val="18"/>
          <w:szCs w:val="18"/>
        </w:rPr>
        <w:t>2</w:t>
      </w:r>
      <w:r>
        <w:rPr>
          <w:rFonts w:hint="eastAsia"/>
          <w:sz w:val="18"/>
          <w:szCs w:val="18"/>
        </w:rPr>
        <w:t>）权益法</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lastRenderedPageBreak/>
        <w:t>本公司对联营企业和合营企业的长期股权投资采用权益法核算；对于其中一部分通过风险投资机构、共同基金、信托公司或包括投</w:t>
      </w:r>
      <w:proofErr w:type="gramStart"/>
      <w:r>
        <w:rPr>
          <w:rFonts w:hint="eastAsia"/>
          <w:sz w:val="18"/>
          <w:szCs w:val="18"/>
        </w:rPr>
        <w:t>连险基金</w:t>
      </w:r>
      <w:proofErr w:type="gramEnd"/>
      <w:r>
        <w:rPr>
          <w:rFonts w:hint="eastAsia"/>
          <w:sz w:val="18"/>
          <w:szCs w:val="18"/>
        </w:rPr>
        <w:t>在内的类似主体间接持有的联营企业的权益性投资，采用公允价值计量且其变动计入损益。</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长期股权投资的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本公司取得长期股权投资后，按照应享有或应分担的被投资单位实现的净损益和其他综合收益的份额，分别确认投资收益和其他综合收益，同时调整长期股权投资的账面价值；并按照被投资单位宣告分派的利润或现金股利计算应享有的部分，相应减少长期股权投资的账面价值；对于被投资单位除净损益、其他综合收益和利润分配以外所有者权益的其他变动，调整长期股权投资的账面价值并计入所有者权益。</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本公司在确认应享有被投资单位净损益的份额时，以取得投资时被投资单位各项可辨认资产等的公允价值为基础，对被投资单位的净利润进行调整后确认。本公司与联营企业、合营企业之间发生的未实现内部交易损益按照应享有的比例计算归属于本公司的部分予以</w:t>
      </w:r>
      <w:proofErr w:type="gramStart"/>
      <w:r>
        <w:rPr>
          <w:rFonts w:hint="eastAsia"/>
          <w:sz w:val="18"/>
          <w:szCs w:val="18"/>
        </w:rPr>
        <w:t>抵销</w:t>
      </w:r>
      <w:proofErr w:type="gramEnd"/>
      <w:r>
        <w:rPr>
          <w:rFonts w:hint="eastAsia"/>
          <w:sz w:val="18"/>
          <w:szCs w:val="18"/>
        </w:rPr>
        <w:t>，在此基础上确认投资损益。</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本公司确认应分担被投资单位发生的亏损时，按照以下顺序进行处理：首先，冲减长期股权投资的账面价值。其次，长期股权投资的账面价值不足以冲减的，以其他实质上构成对被投资单位净投资的长期权益账面价值为限继续确认投资损失，冲减长期应收项目等的账面价值。最后，经过上述处理，按照投资合同或协议约定企业仍承担额外义务的，按预计承担的义务确认预计负债，计入当期投资损失。</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被投资单位以后期间实现盈利的，公司在扣除未确认的亏损分担额后，按与上述相反的顺序处理，</w:t>
      </w:r>
      <w:proofErr w:type="gramStart"/>
      <w:r>
        <w:rPr>
          <w:rFonts w:hint="eastAsia"/>
          <w:sz w:val="18"/>
          <w:szCs w:val="18"/>
        </w:rPr>
        <w:t>减记已</w:t>
      </w:r>
      <w:proofErr w:type="gramEnd"/>
      <w:r>
        <w:rPr>
          <w:rFonts w:hint="eastAsia"/>
          <w:sz w:val="18"/>
          <w:szCs w:val="18"/>
        </w:rPr>
        <w:t>确认预计负债的账面余额、恢复其他实质上构成对被投资单位净投资的长期权益及长期股权投资的账面价值后，恢复确认投资收益。</w:t>
      </w:r>
    </w:p>
    <w:p w:rsidR="000F627F" w:rsidRDefault="000F627F">
      <w:pPr>
        <w:widowControl/>
        <w:numPr>
          <w:ilvl w:val="0"/>
          <w:numId w:val="71"/>
        </w:numPr>
        <w:spacing w:before="100" w:beforeAutospacing="1" w:after="100" w:afterAutospacing="1"/>
        <w:divId w:val="1498836891"/>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长期股权投资核算方法的转换</w:t>
      </w:r>
    </w:p>
    <w:p w:rsidR="000F627F" w:rsidRDefault="000F627F">
      <w:pPr>
        <w:widowControl/>
        <w:numPr>
          <w:ilvl w:val="0"/>
          <w:numId w:val="72"/>
        </w:numPr>
        <w:spacing w:before="100" w:beforeAutospacing="1" w:after="100" w:afterAutospacing="1"/>
        <w:divId w:val="1498836891"/>
        <w:rPr>
          <w:sz w:val="18"/>
          <w:szCs w:val="18"/>
        </w:rPr>
      </w:pPr>
      <w:r>
        <w:rPr>
          <w:rFonts w:hint="eastAsia"/>
          <w:sz w:val="18"/>
          <w:szCs w:val="18"/>
        </w:rPr>
        <w:t>公允价值计量转权益法核算</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本公司原持有的对被投资单位不具有控制、共同控制或重大影响的按金融工具确认和计量准则进行会计处理的权益性投资，因追加投资等原因能够对被投资单位施加重大影响或实施共同控制但不构成控制的，按照《企业会计准则第</w:t>
      </w:r>
      <w:r>
        <w:rPr>
          <w:rFonts w:ascii="Times New Roman" w:hAnsi="Times New Roman" w:cs="Times New Roman"/>
          <w:sz w:val="18"/>
          <w:szCs w:val="18"/>
        </w:rPr>
        <w:t>22</w:t>
      </w:r>
      <w:r>
        <w:rPr>
          <w:rFonts w:hint="eastAsia"/>
          <w:sz w:val="18"/>
          <w:szCs w:val="18"/>
        </w:rPr>
        <w:t>号——金融工具确认和计量》确定的原持有的股权投资的公允价值加上新增投资成本之和，作为改按权益法核算的初始投资成本。</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按权益法核算的初始投资成本小于按照追加投资后全新的持股比例计算确定的应享有被投资单位在追加</w:t>
      </w:r>
      <w:proofErr w:type="gramStart"/>
      <w:r>
        <w:rPr>
          <w:rFonts w:hint="eastAsia"/>
          <w:sz w:val="18"/>
          <w:szCs w:val="18"/>
        </w:rPr>
        <w:t>投资日</w:t>
      </w:r>
      <w:proofErr w:type="gramEnd"/>
      <w:r>
        <w:rPr>
          <w:rFonts w:hint="eastAsia"/>
          <w:sz w:val="18"/>
          <w:szCs w:val="18"/>
        </w:rPr>
        <w:t>可辨认净资产公允价值份额之间的差额，调整长期股权投资的账面价值，并计入当期营业外收入。</w:t>
      </w:r>
    </w:p>
    <w:p w:rsidR="000F627F" w:rsidRDefault="000F627F">
      <w:pPr>
        <w:widowControl/>
        <w:numPr>
          <w:ilvl w:val="0"/>
          <w:numId w:val="73"/>
        </w:numPr>
        <w:spacing w:before="100" w:beforeAutospacing="1" w:after="100" w:afterAutospacing="1"/>
        <w:divId w:val="1498836891"/>
        <w:rPr>
          <w:sz w:val="18"/>
          <w:szCs w:val="18"/>
        </w:rPr>
      </w:pPr>
      <w:r>
        <w:rPr>
          <w:rFonts w:hint="eastAsia"/>
          <w:sz w:val="18"/>
          <w:szCs w:val="18"/>
        </w:rPr>
        <w:t>公允价值计量或权益法核算</w:t>
      </w:r>
      <w:proofErr w:type="gramStart"/>
      <w:r>
        <w:rPr>
          <w:rFonts w:hint="eastAsia"/>
          <w:sz w:val="18"/>
          <w:szCs w:val="18"/>
        </w:rPr>
        <w:t>转成本</w:t>
      </w:r>
      <w:proofErr w:type="gramEnd"/>
      <w:r>
        <w:rPr>
          <w:rFonts w:hint="eastAsia"/>
          <w:sz w:val="18"/>
          <w:szCs w:val="18"/>
        </w:rPr>
        <w:t>法核算</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lastRenderedPageBreak/>
        <w:t>本公司原持有的对被投资单位不具有控制、共同控制或重大影响的按金融工具确认和计量准则进行会计处理的权益性投资，或原持有对联营企业、合营企业的长期股权投资，因追加投资等原因能够对非同</w:t>
      </w:r>
      <w:proofErr w:type="gramStart"/>
      <w:r>
        <w:rPr>
          <w:rFonts w:hint="eastAsia"/>
          <w:sz w:val="18"/>
          <w:szCs w:val="18"/>
        </w:rPr>
        <w:t>一控制</w:t>
      </w:r>
      <w:proofErr w:type="gramEnd"/>
      <w:r>
        <w:rPr>
          <w:rFonts w:hint="eastAsia"/>
          <w:sz w:val="18"/>
          <w:szCs w:val="18"/>
        </w:rPr>
        <w:t>下的被投资单位实施控制的，在编制个别财务报表时，按照原持有的股权投资账面价值加上新增投资成本之和，作为改按成本法核算的初始投资成本。</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购买日之前持有的股权投资因采用权益法核算而确认的其他综合收益，在处置该项投资时采用与被投资单位直接处置相关资产或负债相同的基础进行会计处理。</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购买日之前持有的股权投资按照《企业会计准则第</w:t>
      </w:r>
      <w:r>
        <w:rPr>
          <w:rFonts w:ascii="Times New Roman" w:hAnsi="Times New Roman" w:cs="Times New Roman"/>
          <w:sz w:val="18"/>
          <w:szCs w:val="18"/>
        </w:rPr>
        <w:t>22</w:t>
      </w:r>
      <w:r>
        <w:rPr>
          <w:rFonts w:hint="eastAsia"/>
          <w:sz w:val="18"/>
          <w:szCs w:val="18"/>
        </w:rPr>
        <w:t>号——金融工具确认和计量》的有关规定进行会计处理的，原计入其他综合收益的累计公允价值变动在改按成本法核算时转入当期损益。</w:t>
      </w:r>
    </w:p>
    <w:p w:rsidR="000F627F" w:rsidRDefault="000F627F">
      <w:pPr>
        <w:widowControl/>
        <w:numPr>
          <w:ilvl w:val="0"/>
          <w:numId w:val="74"/>
        </w:numPr>
        <w:spacing w:before="100" w:beforeAutospacing="1" w:after="100" w:afterAutospacing="1"/>
        <w:divId w:val="1498836891"/>
        <w:rPr>
          <w:sz w:val="18"/>
          <w:szCs w:val="18"/>
        </w:rPr>
      </w:pPr>
      <w:r>
        <w:rPr>
          <w:rFonts w:hint="eastAsia"/>
          <w:sz w:val="18"/>
          <w:szCs w:val="18"/>
        </w:rPr>
        <w:t>权益法核算转公允价值计量</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本公司因处置部分股权投资等原因丧失了对被投资单位的共同控制或重大影响的，处置后的剩余股权改按《企业会计准则第</w:t>
      </w:r>
      <w:r>
        <w:rPr>
          <w:rFonts w:ascii="Times New Roman" w:hAnsi="Times New Roman" w:cs="Times New Roman"/>
          <w:sz w:val="18"/>
          <w:szCs w:val="18"/>
        </w:rPr>
        <w:t>22</w:t>
      </w:r>
      <w:r>
        <w:rPr>
          <w:rFonts w:hint="eastAsia"/>
          <w:sz w:val="18"/>
          <w:szCs w:val="18"/>
        </w:rPr>
        <w:t>号——金融工具确认和计量》核算，其在丧失共同控制或重大影响之日的公允价值与账面价值之间的差额计入当期损益。</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原股权投资因采用权益法核算而确认的其他综合收益，在终止采用权益法核算时采用与被投资单位直接处置相关资产或负债相同的基础进行会计处理。</w:t>
      </w:r>
    </w:p>
    <w:p w:rsidR="000F627F" w:rsidRDefault="000F627F">
      <w:pPr>
        <w:widowControl/>
        <w:numPr>
          <w:ilvl w:val="0"/>
          <w:numId w:val="75"/>
        </w:numPr>
        <w:spacing w:before="100" w:beforeAutospacing="1" w:after="100" w:afterAutospacing="1"/>
        <w:divId w:val="1498836891"/>
        <w:rPr>
          <w:sz w:val="18"/>
          <w:szCs w:val="18"/>
        </w:rPr>
      </w:pPr>
      <w:r>
        <w:rPr>
          <w:rFonts w:hint="eastAsia"/>
          <w:sz w:val="18"/>
          <w:szCs w:val="18"/>
        </w:rPr>
        <w:t>成本</w:t>
      </w:r>
      <w:proofErr w:type="gramStart"/>
      <w:r>
        <w:rPr>
          <w:rFonts w:hint="eastAsia"/>
          <w:sz w:val="18"/>
          <w:szCs w:val="18"/>
        </w:rPr>
        <w:t>法转权益</w:t>
      </w:r>
      <w:proofErr w:type="gramEnd"/>
      <w:r>
        <w:rPr>
          <w:rFonts w:hint="eastAsia"/>
          <w:sz w:val="18"/>
          <w:szCs w:val="18"/>
        </w:rPr>
        <w:t>法</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本公司因处置部分权益性投资等原因丧失了对被投资单位的控制的，在编制个别财务报表时，处置后的剩余股权能够对被投资单位实施共同控制或施加重大影响的，改按权益法核算，并对该剩余股权视同自取得时即采用权益法核算进行调整。</w:t>
      </w:r>
    </w:p>
    <w:p w:rsidR="000F627F" w:rsidRDefault="000F627F">
      <w:pPr>
        <w:widowControl/>
        <w:numPr>
          <w:ilvl w:val="0"/>
          <w:numId w:val="76"/>
        </w:numPr>
        <w:spacing w:before="100" w:beforeAutospacing="1" w:after="100" w:afterAutospacing="1"/>
        <w:divId w:val="1498836891"/>
        <w:rPr>
          <w:sz w:val="18"/>
          <w:szCs w:val="18"/>
        </w:rPr>
      </w:pPr>
      <w:proofErr w:type="gramStart"/>
      <w:r>
        <w:rPr>
          <w:rFonts w:hint="eastAsia"/>
          <w:sz w:val="18"/>
          <w:szCs w:val="18"/>
        </w:rPr>
        <w:t>成本法转公允</w:t>
      </w:r>
      <w:proofErr w:type="gramEnd"/>
      <w:r>
        <w:rPr>
          <w:rFonts w:hint="eastAsia"/>
          <w:sz w:val="18"/>
          <w:szCs w:val="18"/>
        </w:rPr>
        <w:t>价值计量</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本公司因处置部分权益性投资等原因丧失了对被投资单位的控制的，在编制个别财务报表时，处置后的剩余股权不能对被投资单位实施共同控制或施加重大影响的，改按《企业会计准则第</w:t>
      </w:r>
      <w:r>
        <w:rPr>
          <w:rFonts w:ascii="Times New Roman" w:hAnsi="Times New Roman" w:cs="Times New Roman"/>
          <w:sz w:val="18"/>
          <w:szCs w:val="18"/>
        </w:rPr>
        <w:t>22</w:t>
      </w:r>
      <w:r>
        <w:rPr>
          <w:rFonts w:hint="eastAsia"/>
          <w:sz w:val="18"/>
          <w:szCs w:val="18"/>
        </w:rPr>
        <w:t>号——金融工具确认和计量》的有关规定进行会计处理，其在丧失控制之日的公允价值与账面价值间的差额计入当期损益。</w:t>
      </w:r>
    </w:p>
    <w:p w:rsidR="000F627F" w:rsidRDefault="000F627F">
      <w:pPr>
        <w:widowControl/>
        <w:numPr>
          <w:ilvl w:val="0"/>
          <w:numId w:val="77"/>
        </w:numPr>
        <w:spacing w:before="100" w:beforeAutospacing="1" w:after="100" w:afterAutospacing="1"/>
        <w:divId w:val="1498836891"/>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长期股权投资的处置</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处置长期股权投资，其账面价值与实际取得价款之间的差额，应当计入当期损益。采用权益法核算的长期股权投资，在处置该项投资时，采用与被投资单位直接处置相关资产或负债相同的基础，按相应比例对原计入其他综合收益的部分进行会计处理。</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lastRenderedPageBreak/>
        <w:t>处置对子公司股权投资的各项交易的条款、条件以及经济影响符合以下一种或多种情况，将多次交易事项作为一揽子交易进行会计处理：</w:t>
      </w:r>
    </w:p>
    <w:p w:rsidR="000F627F" w:rsidRDefault="000F627F">
      <w:pPr>
        <w:widowControl/>
        <w:numPr>
          <w:ilvl w:val="0"/>
          <w:numId w:val="78"/>
        </w:numPr>
        <w:spacing w:before="100" w:beforeAutospacing="1" w:after="100" w:afterAutospacing="1"/>
        <w:divId w:val="1498836891"/>
        <w:rPr>
          <w:sz w:val="18"/>
          <w:szCs w:val="18"/>
        </w:rPr>
      </w:pPr>
      <w:r>
        <w:rPr>
          <w:rFonts w:hint="eastAsia"/>
          <w:sz w:val="18"/>
          <w:szCs w:val="18"/>
        </w:rPr>
        <w:t>这些交易是同时或者在考虑了彼此影响的情况下订立的；</w:t>
      </w:r>
    </w:p>
    <w:p w:rsidR="000F627F" w:rsidRDefault="000F627F">
      <w:pPr>
        <w:widowControl/>
        <w:numPr>
          <w:ilvl w:val="0"/>
          <w:numId w:val="78"/>
        </w:numPr>
        <w:spacing w:before="100" w:beforeAutospacing="1" w:after="100" w:afterAutospacing="1"/>
        <w:divId w:val="1498836891"/>
        <w:rPr>
          <w:sz w:val="18"/>
          <w:szCs w:val="18"/>
        </w:rPr>
      </w:pPr>
      <w:r>
        <w:rPr>
          <w:rFonts w:hint="eastAsia"/>
          <w:sz w:val="18"/>
          <w:szCs w:val="18"/>
        </w:rPr>
        <w:t>这些交易整体才能达成一项完整的商业结果；</w:t>
      </w:r>
    </w:p>
    <w:p w:rsidR="000F627F" w:rsidRDefault="000F627F">
      <w:pPr>
        <w:widowControl/>
        <w:numPr>
          <w:ilvl w:val="0"/>
          <w:numId w:val="78"/>
        </w:numPr>
        <w:spacing w:before="100" w:beforeAutospacing="1" w:after="100" w:afterAutospacing="1"/>
        <w:divId w:val="1498836891"/>
        <w:rPr>
          <w:sz w:val="18"/>
          <w:szCs w:val="18"/>
        </w:rPr>
      </w:pPr>
      <w:r>
        <w:rPr>
          <w:rFonts w:hint="eastAsia"/>
          <w:sz w:val="18"/>
          <w:szCs w:val="18"/>
        </w:rPr>
        <w:t>一项交易的发生取决于其他至少一项交易的发生；</w:t>
      </w:r>
    </w:p>
    <w:p w:rsidR="000F627F" w:rsidRDefault="000F627F">
      <w:pPr>
        <w:widowControl/>
        <w:numPr>
          <w:ilvl w:val="0"/>
          <w:numId w:val="78"/>
        </w:numPr>
        <w:spacing w:before="100" w:beforeAutospacing="1" w:after="100" w:afterAutospacing="1"/>
        <w:divId w:val="1498836891"/>
        <w:rPr>
          <w:sz w:val="18"/>
          <w:szCs w:val="18"/>
        </w:rPr>
      </w:pPr>
      <w:r>
        <w:rPr>
          <w:rFonts w:hint="eastAsia"/>
          <w:sz w:val="18"/>
          <w:szCs w:val="18"/>
        </w:rPr>
        <w:t>一项交易单独看是不经济的，但是和其他交易一并考虑时是经济的。</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因处置部分股权投资或其他原因丧失了对原有子公司控制权的，不属于一揽子交易的，区分个别财务报表和合并财务报表进行相关会计处理：</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w:t>
      </w:r>
      <w:r>
        <w:rPr>
          <w:rFonts w:ascii="Times New Roman" w:hAnsi="Times New Roman" w:cs="Times New Roman"/>
          <w:sz w:val="18"/>
          <w:szCs w:val="18"/>
        </w:rPr>
        <w:t>1</w:t>
      </w:r>
      <w:r>
        <w:rPr>
          <w:rFonts w:hint="eastAsia"/>
          <w:sz w:val="18"/>
          <w:szCs w:val="18"/>
        </w:rPr>
        <w:t>）在个别财务报表中，对于处置的股权，其账面价值与实际取得价款之间的差额计入当期损益。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22号——金融工具确认和计量》的有关规定进行会计处理，其在丧失控制之日的公允价值与账面价值间的差额计入当期损益。</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w:t>
      </w:r>
      <w:r>
        <w:rPr>
          <w:rFonts w:ascii="Times New Roman" w:hAnsi="Times New Roman" w:cs="Times New Roman"/>
          <w:sz w:val="18"/>
          <w:szCs w:val="18"/>
        </w:rPr>
        <w:t>2</w:t>
      </w:r>
      <w:r>
        <w:rPr>
          <w:rFonts w:hint="eastAsia"/>
          <w:sz w:val="18"/>
          <w:szCs w:val="18"/>
        </w:rPr>
        <w:t>）在合并财务报表中，对于在丧失对子公司控制权以前的各项交易，处置价款与处置长期股权投资相应对享有子公司自购买日或</w:t>
      </w:r>
      <w:proofErr w:type="gramStart"/>
      <w:r>
        <w:rPr>
          <w:rFonts w:hint="eastAsia"/>
          <w:sz w:val="18"/>
          <w:szCs w:val="18"/>
        </w:rPr>
        <w:t>合并日</w:t>
      </w:r>
      <w:proofErr w:type="gramEnd"/>
      <w:r>
        <w:rPr>
          <w:rFonts w:hint="eastAsia"/>
          <w:sz w:val="18"/>
          <w:szCs w:val="18"/>
        </w:rPr>
        <w:t>开始持续计算的净资产份额之间的差额，调整资本公积（股本溢价），资本公</w:t>
      </w:r>
      <w:proofErr w:type="gramStart"/>
      <w:r>
        <w:rPr>
          <w:rFonts w:hint="eastAsia"/>
          <w:sz w:val="18"/>
          <w:szCs w:val="18"/>
        </w:rPr>
        <w:t>积不足</w:t>
      </w:r>
      <w:proofErr w:type="gramEnd"/>
      <w:r>
        <w:rPr>
          <w:rFonts w:hint="eastAsia"/>
          <w:sz w:val="18"/>
          <w:szCs w:val="18"/>
        </w:rPr>
        <w:t>冲减的，调整留存收益；在丧失对子公司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同时冲减商誉。与原有子公司股权投资相关的其他综合收益等，在丧失控制权时转为当期投资收益。</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处置对子公司股权投资直至丧失控制权的各项交易属于一揽子交易的，将各项交易作为一项处置子公司股权投资并丧失控制权的交易进行会计处理，区分个别财务报表和合并财务报表进行相关会计处理：</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w:t>
      </w:r>
      <w:r>
        <w:rPr>
          <w:rFonts w:ascii="Times New Roman" w:hAnsi="Times New Roman" w:cs="Times New Roman"/>
          <w:sz w:val="18"/>
          <w:szCs w:val="18"/>
        </w:rPr>
        <w:t>1</w:t>
      </w:r>
      <w:r>
        <w:rPr>
          <w:rFonts w:hint="eastAsia"/>
          <w:sz w:val="18"/>
          <w:szCs w:val="18"/>
        </w:rPr>
        <w:t>）在个别财务报表中，在丧失控制权之前每一次处置价款与处置的股权对应的长期股权投资账面价值之间的差额，确认为其他综合收益，在丧失控制权时一并转入丧失控制权当期的损益。</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w:t>
      </w:r>
      <w:r>
        <w:rPr>
          <w:rFonts w:ascii="Times New Roman" w:hAnsi="Times New Roman" w:cs="Times New Roman"/>
          <w:sz w:val="18"/>
          <w:szCs w:val="18"/>
        </w:rPr>
        <w:t>2</w:t>
      </w:r>
      <w:r>
        <w:rPr>
          <w:rFonts w:hint="eastAsia"/>
          <w:sz w:val="18"/>
          <w:szCs w:val="18"/>
        </w:rPr>
        <w:t>）在合并财务报表中，在丧失控制权之前每一次处置价款与处置投资对应的享有该子公司净资产份额的差额，确认为其他综合收益，在丧失控制权时一并转入丧失控制权当期的损益。</w:t>
      </w:r>
    </w:p>
    <w:p w:rsidR="000F627F" w:rsidRDefault="000F627F">
      <w:pPr>
        <w:widowControl/>
        <w:numPr>
          <w:ilvl w:val="0"/>
          <w:numId w:val="79"/>
        </w:numPr>
        <w:spacing w:before="100" w:beforeAutospacing="1" w:after="100" w:afterAutospacing="1"/>
        <w:divId w:val="1498836891"/>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共同控制、重大影响的判断标准</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如果本公司按照相关约定与其他参与</w:t>
      </w:r>
      <w:proofErr w:type="gramStart"/>
      <w:r>
        <w:rPr>
          <w:rFonts w:hint="eastAsia"/>
          <w:sz w:val="18"/>
          <w:szCs w:val="18"/>
        </w:rPr>
        <w:t>方集体</w:t>
      </w:r>
      <w:proofErr w:type="gramEnd"/>
      <w:r>
        <w:rPr>
          <w:rFonts w:hint="eastAsia"/>
          <w:sz w:val="18"/>
          <w:szCs w:val="18"/>
        </w:rPr>
        <w:t>控制某项安排，并且对该安排回报具有重大影响的活动决策，需要经过分享控制权的参与方一致同意时才存在，则视为本公司与其他参与方共同控制某项安排，该安排即属于合营安排。</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lastRenderedPageBreak/>
        <w:t>合营安排通过单独主体达成的，根据相关约定判断本公司对该单独主体的净资产享有权利时，将该单独主体作为合营企业，采用权益法核算。若根据相关约定判断本公司并非对该单独主体的净资产享有权利时，该单独主体作为共同经营，本公司确认与共同经营利益份额相关的项目，并按照相关企业会计准则的规定进行会计处理。</w:t>
      </w:r>
    </w:p>
    <w:p w:rsidR="000F627F" w:rsidRDefault="000F627F">
      <w:pPr>
        <w:pStyle w:val="a3"/>
        <w:spacing w:before="0" w:beforeAutospacing="0" w:after="0" w:afterAutospacing="0" w:line="360" w:lineRule="auto"/>
        <w:ind w:firstLine="420"/>
        <w:jc w:val="both"/>
        <w:divId w:val="1498836891"/>
        <w:rPr>
          <w:sz w:val="21"/>
          <w:szCs w:val="21"/>
        </w:rPr>
      </w:pPr>
      <w:r>
        <w:rPr>
          <w:rFonts w:hint="eastAsia"/>
          <w:sz w:val="18"/>
          <w:szCs w:val="18"/>
        </w:rPr>
        <w:t>重大影响，是指投资方对被投资单位的财务和经营政策有参与决策的权力，但并不能够控制或者与其他方一起共同控制这些政策的制定。本公司通过以下一种或多种情形，并综合考虑所有事实和情况后，判断对被投资单位具有重大影响：（</w:t>
      </w:r>
      <w:r>
        <w:rPr>
          <w:rFonts w:ascii="Times New Roman" w:hAnsi="Times New Roman" w:cs="Times New Roman"/>
          <w:sz w:val="18"/>
          <w:szCs w:val="18"/>
        </w:rPr>
        <w:t>1</w:t>
      </w:r>
      <w:r>
        <w:rPr>
          <w:rFonts w:hint="eastAsia"/>
          <w:sz w:val="18"/>
          <w:szCs w:val="18"/>
        </w:rPr>
        <w:t>）在被投资单位的董事会或类似权力机构中派有代表；（</w:t>
      </w:r>
      <w:r>
        <w:rPr>
          <w:rFonts w:ascii="Times New Roman" w:hAnsi="Times New Roman" w:cs="Times New Roman"/>
          <w:sz w:val="18"/>
          <w:szCs w:val="18"/>
        </w:rPr>
        <w:t>2</w:t>
      </w:r>
      <w:r>
        <w:rPr>
          <w:rFonts w:hint="eastAsia"/>
          <w:sz w:val="18"/>
          <w:szCs w:val="18"/>
        </w:rPr>
        <w:t>）参与被投资单位财务和经营政策制定过程；（</w:t>
      </w:r>
      <w:r>
        <w:rPr>
          <w:rFonts w:ascii="Times New Roman" w:hAnsi="Times New Roman" w:cs="Times New Roman"/>
          <w:sz w:val="18"/>
          <w:szCs w:val="18"/>
        </w:rPr>
        <w:t>3</w:t>
      </w:r>
      <w:r>
        <w:rPr>
          <w:rFonts w:hint="eastAsia"/>
          <w:sz w:val="18"/>
          <w:szCs w:val="18"/>
        </w:rPr>
        <w:t>）与被投资单位之间发生重要交易；（</w:t>
      </w:r>
      <w:r>
        <w:rPr>
          <w:rFonts w:ascii="Times New Roman" w:hAnsi="Times New Roman" w:cs="Times New Roman"/>
          <w:sz w:val="18"/>
          <w:szCs w:val="18"/>
        </w:rPr>
        <w:t>4</w:t>
      </w:r>
      <w:r>
        <w:rPr>
          <w:rFonts w:hint="eastAsia"/>
          <w:sz w:val="18"/>
          <w:szCs w:val="18"/>
        </w:rPr>
        <w:t>）向被投资单位派出管理人员；（</w:t>
      </w:r>
      <w:r>
        <w:rPr>
          <w:rFonts w:ascii="Times New Roman" w:hAnsi="Times New Roman" w:cs="Times New Roman"/>
          <w:sz w:val="18"/>
          <w:szCs w:val="18"/>
        </w:rPr>
        <w:t>5</w:t>
      </w:r>
      <w:r>
        <w:rPr>
          <w:rFonts w:hint="eastAsia"/>
          <w:sz w:val="18"/>
          <w:szCs w:val="18"/>
        </w:rPr>
        <w:t>）向被投资单位提供关键技术资料。</w:t>
      </w:r>
    </w:p>
    <w:p w:rsidR="000D58D8" w:rsidRDefault="000F627F">
      <w:pPr>
        <w:pStyle w:val="3"/>
        <w:spacing w:line="280" w:lineRule="exact"/>
        <w:jc w:val="left"/>
        <w:rPr>
          <w:rFonts w:ascii="宋体" w:hAnsi="宋体" w:cs="宋体"/>
          <w:b/>
          <w:bCs/>
        </w:rPr>
      </w:pPr>
      <w:bookmarkStart w:id="200" w:name="_Toc989087"/>
      <w:r>
        <w:rPr>
          <w:rFonts w:ascii="宋体" w:hAnsi="宋体" w:cs="宋体"/>
          <w:b/>
          <w:bCs/>
        </w:rPr>
        <w:t>23、投资性房地产</w:t>
      </w:r>
      <w:bookmarkEnd w:id="20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投资性房地产计量模式</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成本法计量</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折旧或摊销方法</w:t>
      </w:r>
    </w:p>
    <w:p w:rsidR="000F627F" w:rsidRDefault="000F627F">
      <w:pPr>
        <w:pStyle w:val="a3"/>
        <w:spacing w:before="0" w:beforeAutospacing="0" w:after="0" w:afterAutospacing="0" w:line="360" w:lineRule="auto"/>
        <w:ind w:firstLine="420"/>
        <w:jc w:val="both"/>
        <w:divId w:val="1457796716"/>
        <w:rPr>
          <w:sz w:val="21"/>
          <w:szCs w:val="21"/>
        </w:rPr>
      </w:pPr>
      <w:r>
        <w:rPr>
          <w:rFonts w:hint="eastAsia"/>
          <w:sz w:val="18"/>
          <w:szCs w:val="18"/>
        </w:rPr>
        <w:t>投资性房地产是指为赚取租金或资本增值，或两者兼有而持有的房地产，包括已出租的土地使用权、持有并</w:t>
      </w:r>
      <w:proofErr w:type="gramStart"/>
      <w:r>
        <w:rPr>
          <w:rFonts w:hint="eastAsia"/>
          <w:sz w:val="18"/>
          <w:szCs w:val="18"/>
        </w:rPr>
        <w:t>准备增值</w:t>
      </w:r>
      <w:proofErr w:type="gramEnd"/>
      <w:r>
        <w:rPr>
          <w:rFonts w:hint="eastAsia"/>
          <w:sz w:val="18"/>
          <w:szCs w:val="18"/>
        </w:rPr>
        <w:t>后转让的土地使用权、已出租的建筑物。此外，对于本公司持有以备经营出租的空置建筑物，若董事会</w:t>
      </w:r>
      <w:proofErr w:type="gramStart"/>
      <w:r>
        <w:rPr>
          <w:rFonts w:hint="eastAsia"/>
          <w:sz w:val="18"/>
          <w:szCs w:val="18"/>
        </w:rPr>
        <w:t>作出</w:t>
      </w:r>
      <w:proofErr w:type="gramEnd"/>
      <w:r>
        <w:rPr>
          <w:rFonts w:hint="eastAsia"/>
          <w:sz w:val="18"/>
          <w:szCs w:val="18"/>
        </w:rPr>
        <w:t>书面决议，明确表示将其用于经营出租且持有意图短期内不再发生变化的，也作为投资性房地产列报。</w:t>
      </w:r>
    </w:p>
    <w:p w:rsidR="000F627F" w:rsidRDefault="000F627F">
      <w:pPr>
        <w:pStyle w:val="a3"/>
        <w:spacing w:before="0" w:beforeAutospacing="0" w:after="0" w:afterAutospacing="0" w:line="360" w:lineRule="auto"/>
        <w:ind w:firstLine="420"/>
        <w:jc w:val="both"/>
        <w:divId w:val="1457796716"/>
        <w:rPr>
          <w:sz w:val="21"/>
          <w:szCs w:val="21"/>
        </w:rPr>
      </w:pPr>
      <w:r>
        <w:rPr>
          <w:rFonts w:hint="eastAsia"/>
          <w:sz w:val="18"/>
          <w:szCs w:val="18"/>
        </w:rPr>
        <w:t>本公司的投资性房地产按其成本作为入账价值，外购投资性房地产的成本包括购买价款、相关税费和</w:t>
      </w:r>
      <w:proofErr w:type="gramStart"/>
      <w:r>
        <w:rPr>
          <w:rFonts w:hint="eastAsia"/>
          <w:sz w:val="18"/>
          <w:szCs w:val="18"/>
        </w:rPr>
        <w:t>可</w:t>
      </w:r>
      <w:proofErr w:type="gramEnd"/>
      <w:r>
        <w:rPr>
          <w:rFonts w:hint="eastAsia"/>
          <w:sz w:val="18"/>
          <w:szCs w:val="18"/>
        </w:rPr>
        <w:t>直接归属于该资产的其他支出；自行建造投资性房地产的成本，由建造该项资产达到预定可使用状态前所发生的必要支出构成。</w:t>
      </w:r>
    </w:p>
    <w:p w:rsidR="000F627F" w:rsidRDefault="000F627F">
      <w:pPr>
        <w:pStyle w:val="a3"/>
        <w:spacing w:before="0" w:beforeAutospacing="0" w:after="0" w:afterAutospacing="0" w:line="360" w:lineRule="auto"/>
        <w:ind w:firstLine="420"/>
        <w:jc w:val="both"/>
        <w:divId w:val="1457796716"/>
        <w:rPr>
          <w:sz w:val="21"/>
          <w:szCs w:val="21"/>
        </w:rPr>
      </w:pPr>
      <w:r>
        <w:rPr>
          <w:rFonts w:hint="eastAsia"/>
          <w:sz w:val="18"/>
          <w:szCs w:val="18"/>
        </w:rPr>
        <w:t>本公司对投资性房地产采用成本模式进行后续计量，按其预计使用寿命及净残值率对建筑物和土地使用权计提折旧或摊销。投资性房地产的预计使用寿命、净残值率及年折旧（摊销）率列示如下：</w:t>
      </w:r>
    </w:p>
    <w:tbl>
      <w:tblPr>
        <w:tblW w:w="9153" w:type="dxa"/>
        <w:jc w:val="center"/>
        <w:tblCellMar>
          <w:left w:w="0" w:type="dxa"/>
          <w:right w:w="0" w:type="dxa"/>
        </w:tblCellMar>
        <w:tblLook w:val="04A0" w:firstRow="1" w:lastRow="0" w:firstColumn="1" w:lastColumn="0" w:noHBand="0" w:noVBand="1"/>
        <w:tblCaption w:val="D:\大华\华孚\2023年度\TB|0-合并TB-华孚时尚股份有限公司-2023年度.xlsx|W附注模板|_jds11|0|desc|||0|1"/>
      </w:tblPr>
      <w:tblGrid>
        <w:gridCol w:w="2128"/>
        <w:gridCol w:w="1986"/>
        <w:gridCol w:w="2270"/>
        <w:gridCol w:w="2769"/>
      </w:tblGrid>
      <w:tr w:rsidR="000F627F" w:rsidTr="00134FC9">
        <w:trPr>
          <w:divId w:val="1457796716"/>
          <w:trHeight w:val="340"/>
          <w:tblHeader/>
          <w:jc w:val="center"/>
        </w:trPr>
        <w:tc>
          <w:tcPr>
            <w:tcW w:w="2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类别</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预计使用寿命（年）</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预计净残值率（</w:t>
            </w:r>
            <w:r>
              <w:rPr>
                <w:rFonts w:ascii="Times New Roman" w:hAnsi="Times New Roman" w:cs="Times New Roman"/>
                <w:sz w:val="18"/>
                <w:szCs w:val="18"/>
              </w:rPr>
              <w:t>%</w:t>
            </w:r>
            <w:r>
              <w:rPr>
                <w:rFonts w:cs="Times New Roman" w:hint="eastAsia"/>
                <w:sz w:val="18"/>
                <w:szCs w:val="18"/>
              </w:rPr>
              <w:t>）</w:t>
            </w:r>
          </w:p>
        </w:tc>
        <w:tc>
          <w:tcPr>
            <w:tcW w:w="27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年折旧（摊销）率（</w:t>
            </w:r>
            <w:r>
              <w:rPr>
                <w:rFonts w:ascii="Times New Roman" w:hAnsi="Times New Roman" w:cs="Times New Roman"/>
                <w:sz w:val="18"/>
                <w:szCs w:val="18"/>
              </w:rPr>
              <w:t>%</w:t>
            </w:r>
            <w:r>
              <w:rPr>
                <w:rFonts w:cs="Times New Roman" w:hint="eastAsia"/>
                <w:sz w:val="18"/>
                <w:szCs w:val="18"/>
              </w:rPr>
              <w:t>）</w:t>
            </w:r>
          </w:p>
        </w:tc>
      </w:tr>
      <w:tr w:rsidR="000F627F" w:rsidTr="00134FC9">
        <w:trPr>
          <w:divId w:val="1457796716"/>
          <w:trHeight w:val="34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ind w:firstLine="424"/>
              <w:rPr>
                <w:rFonts w:ascii="Times New Roman" w:hAnsi="Times New Roman" w:cs="Times New Roman"/>
                <w:sz w:val="21"/>
                <w:szCs w:val="21"/>
              </w:rPr>
            </w:pPr>
            <w:r>
              <w:rPr>
                <w:rFonts w:cs="Times New Roman" w:hint="eastAsia"/>
                <w:sz w:val="18"/>
                <w:szCs w:val="18"/>
              </w:rPr>
              <w:t>房屋建筑物</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ind w:firstLine="424"/>
              <w:rPr>
                <w:rFonts w:ascii="Times New Roman" w:hAnsi="Times New Roman" w:cs="Times New Roman"/>
                <w:sz w:val="21"/>
                <w:szCs w:val="21"/>
              </w:rPr>
            </w:pPr>
            <w:r>
              <w:rPr>
                <w:rFonts w:ascii="Times New Roman" w:hAnsi="Times New Roman" w:cs="Times New Roman"/>
                <w:sz w:val="18"/>
                <w:szCs w:val="18"/>
              </w:rPr>
              <w:t>25.00</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ind w:firstLine="424"/>
              <w:rPr>
                <w:rFonts w:ascii="Times New Roman" w:hAnsi="Times New Roman" w:cs="Times New Roman"/>
                <w:sz w:val="21"/>
                <w:szCs w:val="21"/>
              </w:rPr>
            </w:pPr>
            <w:r>
              <w:rPr>
                <w:rFonts w:ascii="Times New Roman" w:hAnsi="Times New Roman" w:cs="Times New Roman"/>
                <w:sz w:val="18"/>
                <w:szCs w:val="18"/>
              </w:rPr>
              <w:t>10.00</w:t>
            </w:r>
          </w:p>
        </w:tc>
        <w:tc>
          <w:tcPr>
            <w:tcW w:w="2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ind w:firstLine="424"/>
              <w:rPr>
                <w:rFonts w:ascii="Times New Roman" w:hAnsi="Times New Roman" w:cs="Times New Roman"/>
                <w:sz w:val="21"/>
                <w:szCs w:val="21"/>
              </w:rPr>
            </w:pPr>
            <w:r>
              <w:rPr>
                <w:rFonts w:ascii="Times New Roman" w:hAnsi="Times New Roman" w:cs="Times New Roman"/>
                <w:sz w:val="18"/>
                <w:szCs w:val="18"/>
              </w:rPr>
              <w:t>3.60</w:t>
            </w:r>
          </w:p>
        </w:tc>
      </w:tr>
    </w:tbl>
    <w:p w:rsidR="000F627F" w:rsidRDefault="000F627F">
      <w:pPr>
        <w:pStyle w:val="a3"/>
        <w:spacing w:before="0" w:beforeAutospacing="0" w:after="0" w:afterAutospacing="0" w:line="460" w:lineRule="atLeast"/>
        <w:ind w:firstLine="420"/>
        <w:divId w:val="1457796716"/>
        <w:rPr>
          <w:rFonts w:ascii="Times New Roman" w:hAnsi="Times New Roman" w:cs="Times New Roman"/>
          <w:sz w:val="21"/>
          <w:szCs w:val="21"/>
        </w:rPr>
      </w:pPr>
      <w:r>
        <w:rPr>
          <w:rFonts w:cs="Times New Roman" w:hint="eastAsia"/>
          <w:sz w:val="18"/>
          <w:szCs w:val="18"/>
        </w:rPr>
        <w:t>投资性房地产的减值测试方法和减值准备计提方法详见本附注（二十八）长期资产减值。</w:t>
      </w:r>
    </w:p>
    <w:p w:rsidR="000F627F" w:rsidRDefault="000F627F">
      <w:pPr>
        <w:pStyle w:val="a3"/>
        <w:spacing w:before="0" w:beforeAutospacing="0" w:after="0" w:afterAutospacing="0" w:line="460" w:lineRule="atLeast"/>
        <w:ind w:firstLine="420"/>
        <w:divId w:val="1457796716"/>
        <w:rPr>
          <w:rFonts w:ascii="Times New Roman" w:hAnsi="Times New Roman" w:cs="Times New Roman"/>
          <w:sz w:val="21"/>
          <w:szCs w:val="21"/>
        </w:rPr>
      </w:pPr>
      <w:r>
        <w:rPr>
          <w:rFonts w:ascii="Times New Roman" w:hAnsi="Times New Roman" w:cs="Times New Roman"/>
          <w:sz w:val="18"/>
          <w:szCs w:val="18"/>
        </w:rPr>
        <w:t>投资性房地产的用途改变为自用时，</w:t>
      </w:r>
      <w:proofErr w:type="gramStart"/>
      <w:r>
        <w:rPr>
          <w:rFonts w:ascii="Times New Roman" w:hAnsi="Times New Roman" w:cs="Times New Roman"/>
          <w:sz w:val="18"/>
          <w:szCs w:val="18"/>
        </w:rPr>
        <w:t>自改变</w:t>
      </w:r>
      <w:proofErr w:type="gramEnd"/>
      <w:r>
        <w:rPr>
          <w:rFonts w:ascii="Times New Roman" w:hAnsi="Times New Roman" w:cs="Times New Roman"/>
          <w:sz w:val="18"/>
          <w:szCs w:val="18"/>
        </w:rPr>
        <w:t>之日起，本公司将该投资性房地产转换为固定资产或无形资产。自用房地产的用途改变为赚取租金或资本增值时，</w:t>
      </w:r>
      <w:proofErr w:type="gramStart"/>
      <w:r>
        <w:rPr>
          <w:rFonts w:ascii="Times New Roman" w:hAnsi="Times New Roman" w:cs="Times New Roman"/>
          <w:sz w:val="18"/>
          <w:szCs w:val="18"/>
        </w:rPr>
        <w:t>自改变</w:t>
      </w:r>
      <w:proofErr w:type="gramEnd"/>
      <w:r>
        <w:rPr>
          <w:rFonts w:ascii="Times New Roman" w:hAnsi="Times New Roman" w:cs="Times New Roman"/>
          <w:sz w:val="18"/>
          <w:szCs w:val="18"/>
        </w:rPr>
        <w:t>之日起，本公司将固定资产或无形资产转换为投资性房地产。发生转换时，以转换前的账面价值作为转换后的入账价值。</w:t>
      </w:r>
    </w:p>
    <w:p w:rsidR="000F627F" w:rsidRDefault="000F627F">
      <w:pPr>
        <w:pStyle w:val="a3"/>
        <w:spacing w:before="0" w:beforeAutospacing="0" w:after="0" w:afterAutospacing="0" w:line="360" w:lineRule="auto"/>
        <w:ind w:firstLine="420"/>
        <w:jc w:val="both"/>
        <w:divId w:val="1457796716"/>
        <w:rPr>
          <w:sz w:val="21"/>
          <w:szCs w:val="21"/>
        </w:rPr>
      </w:pPr>
      <w:r>
        <w:rPr>
          <w:rFonts w:hint="eastAsia"/>
          <w:sz w:val="18"/>
          <w:szCs w:val="18"/>
        </w:rPr>
        <w:t>当投资性房地产被处置，或者永久退出使用且预计不能从其处置中取得经济利益时，终止确认该项投资性房地产。投资性房地产出售、转让、报废或毁损的处置收入扣除其账面价值和相关税费后的金额计入当期损益。</w:t>
      </w:r>
    </w:p>
    <w:p w:rsidR="000D58D8" w:rsidRDefault="000F627F">
      <w:pPr>
        <w:pStyle w:val="3"/>
        <w:spacing w:line="280" w:lineRule="exact"/>
        <w:jc w:val="left"/>
        <w:rPr>
          <w:rFonts w:ascii="宋体" w:hAnsi="宋体" w:cs="宋体"/>
          <w:b/>
          <w:bCs/>
        </w:rPr>
      </w:pPr>
      <w:bookmarkStart w:id="201" w:name="_Toc989088"/>
      <w:r>
        <w:rPr>
          <w:rFonts w:ascii="宋体" w:hAnsi="宋体" w:cs="宋体"/>
          <w:b/>
          <w:bCs/>
        </w:rPr>
        <w:lastRenderedPageBreak/>
        <w:t>24、固定资产</w:t>
      </w:r>
      <w:bookmarkEnd w:id="201"/>
    </w:p>
    <w:p w:rsidR="000D58D8" w:rsidRDefault="000F627F">
      <w:pPr>
        <w:keepNext/>
        <w:keepLines/>
        <w:spacing w:before="300" w:after="300" w:line="280" w:lineRule="exact"/>
        <w:outlineLvl w:val="3"/>
        <w:rPr>
          <w:rFonts w:ascii="宋体" w:eastAsia="宋体" w:hAnsi="宋体" w:cs="宋体"/>
          <w:b/>
          <w:bCs/>
          <w:szCs w:val="21"/>
        </w:rPr>
      </w:pPr>
      <w:bookmarkStart w:id="202" w:name="_Toc989089"/>
      <w:r>
        <w:rPr>
          <w:rFonts w:ascii="宋体" w:eastAsia="宋体" w:hAnsi="宋体" w:cs="宋体"/>
          <w:b/>
          <w:bCs/>
          <w:szCs w:val="21"/>
        </w:rPr>
        <w:t>（1） 确认条件</w:t>
      </w:r>
      <w:bookmarkEnd w:id="202"/>
    </w:p>
    <w:p w:rsidR="000F627F" w:rsidRDefault="000F627F" w:rsidP="00134FC9">
      <w:pPr>
        <w:pStyle w:val="a3"/>
        <w:spacing w:before="0" w:beforeAutospacing="0" w:after="0" w:afterAutospacing="0" w:line="400" w:lineRule="atLeast"/>
        <w:ind w:firstLine="408"/>
        <w:divId w:val="1558249694"/>
        <w:rPr>
          <w:sz w:val="18"/>
          <w:szCs w:val="18"/>
        </w:rPr>
      </w:pPr>
      <w:r>
        <w:rPr>
          <w:rFonts w:hint="eastAsia"/>
          <w:sz w:val="18"/>
          <w:szCs w:val="18"/>
        </w:rPr>
        <w:t>固定资产指为生产商品、提供劳务、出租或经营管理而持有，并且使用寿命超过一个会计年度的有形资产。固定资产在同时满足下列条件时予以确认：</w:t>
      </w:r>
    </w:p>
    <w:p w:rsidR="000F627F" w:rsidRDefault="000F627F" w:rsidP="00134FC9">
      <w:pPr>
        <w:pStyle w:val="a3"/>
        <w:spacing w:before="0" w:beforeAutospacing="0" w:after="0" w:afterAutospacing="0" w:line="400" w:lineRule="atLeast"/>
        <w:ind w:firstLine="408"/>
        <w:divId w:val="1558249694"/>
        <w:rPr>
          <w:sz w:val="18"/>
          <w:szCs w:val="18"/>
        </w:rPr>
      </w:pPr>
      <w:r>
        <w:rPr>
          <w:rFonts w:hint="eastAsia"/>
          <w:sz w:val="18"/>
          <w:szCs w:val="18"/>
        </w:rPr>
        <w:t>（1）与该固定资产有关的经济利益很可能流入企业；</w:t>
      </w:r>
    </w:p>
    <w:p w:rsidR="000F627F" w:rsidRDefault="000F627F" w:rsidP="00134FC9">
      <w:pPr>
        <w:pStyle w:val="a3"/>
        <w:spacing w:before="0" w:beforeAutospacing="0" w:after="0" w:afterAutospacing="0" w:line="400" w:lineRule="atLeast"/>
        <w:ind w:firstLine="408"/>
        <w:divId w:val="1558249694"/>
        <w:rPr>
          <w:sz w:val="18"/>
          <w:szCs w:val="18"/>
        </w:rPr>
      </w:pPr>
      <w:r>
        <w:rPr>
          <w:rFonts w:hint="eastAsia"/>
          <w:sz w:val="18"/>
          <w:szCs w:val="18"/>
        </w:rPr>
        <w:t>（2）该固定资产的成本能够可靠地计量。</w:t>
      </w:r>
    </w:p>
    <w:p w:rsidR="000D58D8" w:rsidRDefault="000F627F">
      <w:pPr>
        <w:keepNext/>
        <w:keepLines/>
        <w:spacing w:before="300" w:after="300" w:line="280" w:lineRule="exact"/>
        <w:outlineLvl w:val="3"/>
        <w:rPr>
          <w:rFonts w:ascii="宋体" w:eastAsia="宋体" w:hAnsi="宋体" w:cs="宋体"/>
          <w:b/>
          <w:bCs/>
          <w:szCs w:val="21"/>
        </w:rPr>
      </w:pPr>
      <w:bookmarkStart w:id="203" w:name="_Toc989090"/>
      <w:r>
        <w:rPr>
          <w:rFonts w:ascii="宋体" w:eastAsia="宋体" w:hAnsi="宋体" w:cs="宋体"/>
          <w:b/>
          <w:bCs/>
          <w:szCs w:val="21"/>
        </w:rPr>
        <w:t>（2） 折旧方法</w:t>
      </w:r>
      <w:bookmarkEnd w:id="203"/>
    </w:p>
    <w:p w:rsidR="000D58D8" w:rsidRDefault="000D58D8">
      <w:pPr>
        <w:spacing w:line="0" w:lineRule="atLeast"/>
      </w:pP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折旧方法</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折旧年限</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残值率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年折旧率</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房屋及建筑物</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25.00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3.60</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机器设备</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9.00</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运输设备</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5.00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18.00</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电子及其他设备</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5.00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18.00</w:t>
            </w:r>
          </w:p>
        </w:tc>
      </w:tr>
    </w:tbl>
    <w:p w:rsidR="000D58D8" w:rsidRDefault="000F627F">
      <w:pPr>
        <w:pStyle w:val="3"/>
        <w:spacing w:line="280" w:lineRule="exact"/>
        <w:jc w:val="left"/>
        <w:rPr>
          <w:rFonts w:ascii="宋体" w:hAnsi="宋体" w:cs="宋体"/>
          <w:b/>
          <w:bCs/>
        </w:rPr>
      </w:pPr>
      <w:bookmarkStart w:id="204" w:name="_Toc989091"/>
      <w:r>
        <w:rPr>
          <w:rFonts w:ascii="宋体" w:hAnsi="宋体" w:cs="宋体"/>
          <w:b/>
          <w:bCs/>
        </w:rPr>
        <w:t>25、在建工程</w:t>
      </w:r>
      <w:bookmarkEnd w:id="204"/>
    </w:p>
    <w:p w:rsidR="000F627F" w:rsidRDefault="000F627F">
      <w:pPr>
        <w:pStyle w:val="a3"/>
        <w:spacing w:before="120" w:beforeAutospacing="0" w:after="0" w:afterAutospacing="0" w:line="360" w:lineRule="auto"/>
        <w:ind w:firstLine="424"/>
        <w:divId w:val="672412087"/>
        <w:rPr>
          <w:rFonts w:ascii="Times New Roman" w:hAnsi="Times New Roman" w:cs="Times New Roman"/>
          <w:sz w:val="21"/>
          <w:szCs w:val="21"/>
        </w:rPr>
      </w:pPr>
      <w:r>
        <w:rPr>
          <w:rFonts w:cs="Times New Roman" w:hint="eastAsia"/>
          <w:sz w:val="18"/>
          <w:szCs w:val="18"/>
        </w:rPr>
        <w:t>本公司自行建造的在建工程按实际成本计价，实际成本由建造该项资产达到预定可使用状态前所发生的必要支出构成，包括工程用物资成本、人工成本、交纳的相关税费、应予资本化的借款费用以及应分摊的间接费用等。</w:t>
      </w:r>
    </w:p>
    <w:p w:rsidR="000F627F" w:rsidRDefault="000F627F">
      <w:pPr>
        <w:pStyle w:val="a3"/>
        <w:spacing w:before="120" w:beforeAutospacing="0" w:after="0" w:afterAutospacing="0" w:line="360" w:lineRule="auto"/>
        <w:ind w:firstLine="420"/>
        <w:jc w:val="both"/>
        <w:divId w:val="672412087"/>
        <w:rPr>
          <w:sz w:val="21"/>
          <w:szCs w:val="21"/>
        </w:rPr>
      </w:pPr>
      <w:r>
        <w:rPr>
          <w:rFonts w:hint="eastAsia"/>
          <w:sz w:val="18"/>
          <w:szCs w:val="18"/>
        </w:rPr>
        <w:t>在建工程项目按建造该项资产达到预定可使用状态前所发生的全部支出，作为固定资产的入账价值。所建造的在建工程已达到预定可使用状态，但尚未办理竣工决算的，</w:t>
      </w:r>
      <w:proofErr w:type="gramStart"/>
      <w:r>
        <w:rPr>
          <w:rFonts w:hint="eastAsia"/>
          <w:sz w:val="18"/>
          <w:szCs w:val="18"/>
        </w:rPr>
        <w:t>自达到</w:t>
      </w:r>
      <w:proofErr w:type="gramEnd"/>
      <w:r>
        <w:rPr>
          <w:rFonts w:hint="eastAsia"/>
          <w:sz w:val="18"/>
          <w:szCs w:val="18"/>
        </w:rPr>
        <w:t>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rsidR="000F627F" w:rsidRDefault="000F627F" w:rsidP="00134FC9">
      <w:pPr>
        <w:pStyle w:val="a3"/>
        <w:spacing w:before="0" w:beforeAutospacing="0" w:after="0" w:afterAutospacing="0"/>
        <w:divId w:val="672412087"/>
        <w:rPr>
          <w:sz w:val="18"/>
          <w:szCs w:val="18"/>
        </w:rPr>
      </w:pPr>
      <w:r>
        <w:rPr>
          <w:rFonts w:hint="eastAsia"/>
          <w:sz w:val="18"/>
          <w:szCs w:val="18"/>
        </w:rPr>
        <w:t xml:space="preserve">在建工程的减值测试方法和减值准备计提方法详见本附注（二十八）长期资产减值。 </w:t>
      </w:r>
    </w:p>
    <w:p w:rsidR="000D58D8" w:rsidRDefault="000F627F">
      <w:pPr>
        <w:pStyle w:val="3"/>
        <w:spacing w:line="280" w:lineRule="exact"/>
        <w:jc w:val="left"/>
        <w:rPr>
          <w:rFonts w:ascii="宋体" w:hAnsi="宋体" w:cs="宋体"/>
          <w:b/>
          <w:bCs/>
        </w:rPr>
      </w:pPr>
      <w:bookmarkStart w:id="205" w:name="_Toc989092"/>
      <w:r>
        <w:rPr>
          <w:rFonts w:ascii="宋体" w:hAnsi="宋体" w:cs="宋体"/>
          <w:b/>
          <w:bCs/>
        </w:rPr>
        <w:t>26、借款费用</w:t>
      </w:r>
      <w:bookmarkEnd w:id="205"/>
    </w:p>
    <w:p w:rsidR="000F627F" w:rsidRDefault="000F627F">
      <w:pPr>
        <w:widowControl/>
        <w:numPr>
          <w:ilvl w:val="0"/>
          <w:numId w:val="80"/>
        </w:numPr>
        <w:spacing w:before="100" w:beforeAutospacing="1" w:after="100" w:afterAutospacing="1"/>
        <w:divId w:val="1387410610"/>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借款费用资本化的确认原则</w:t>
      </w:r>
    </w:p>
    <w:p w:rsidR="000F627F" w:rsidRDefault="000F627F">
      <w:pPr>
        <w:pStyle w:val="a3"/>
        <w:spacing w:before="120" w:beforeAutospacing="0" w:after="0" w:afterAutospacing="0" w:line="360" w:lineRule="auto"/>
        <w:ind w:firstLine="420"/>
        <w:jc w:val="both"/>
        <w:divId w:val="1387410610"/>
        <w:rPr>
          <w:sz w:val="21"/>
          <w:szCs w:val="21"/>
        </w:rPr>
      </w:pPr>
      <w:r>
        <w:rPr>
          <w:rFonts w:hint="eastAsia"/>
          <w:sz w:val="18"/>
          <w:szCs w:val="18"/>
        </w:rPr>
        <w:t>本公司发生的借款费用，可直接归属于符合资本化条件的资产的购建或者生产的，予以资本化，计入相关资产成本；其他借款费用，在发生时根据其发生额确认为费用，计入当期损益。</w:t>
      </w:r>
    </w:p>
    <w:p w:rsidR="000F627F" w:rsidRDefault="000F627F">
      <w:pPr>
        <w:pStyle w:val="a3"/>
        <w:spacing w:before="120" w:beforeAutospacing="0" w:after="0" w:afterAutospacing="0" w:line="360" w:lineRule="auto"/>
        <w:ind w:firstLine="420"/>
        <w:jc w:val="both"/>
        <w:divId w:val="1387410610"/>
        <w:rPr>
          <w:sz w:val="21"/>
          <w:szCs w:val="21"/>
        </w:rPr>
      </w:pPr>
      <w:r>
        <w:rPr>
          <w:rFonts w:hint="eastAsia"/>
          <w:sz w:val="18"/>
          <w:szCs w:val="18"/>
        </w:rPr>
        <w:t>符合资本化条件的资产，是指需要经过相当长时间的购建或者生产活动才能达到预定可使用或者可销售状态的固定资产、投资性房地产和存货等资产。</w:t>
      </w:r>
    </w:p>
    <w:p w:rsidR="000F627F" w:rsidRDefault="000F627F">
      <w:pPr>
        <w:pStyle w:val="a3"/>
        <w:spacing w:before="120" w:beforeAutospacing="0" w:after="0" w:afterAutospacing="0" w:line="360" w:lineRule="auto"/>
        <w:ind w:firstLine="420"/>
        <w:jc w:val="both"/>
        <w:divId w:val="1387410610"/>
        <w:rPr>
          <w:sz w:val="21"/>
          <w:szCs w:val="21"/>
        </w:rPr>
      </w:pPr>
      <w:r>
        <w:rPr>
          <w:rFonts w:hint="eastAsia"/>
          <w:sz w:val="18"/>
          <w:szCs w:val="18"/>
        </w:rPr>
        <w:t>借款费用同时满足下列条件时开始资本化：</w:t>
      </w:r>
    </w:p>
    <w:p w:rsidR="000F627F" w:rsidRDefault="000F627F">
      <w:pPr>
        <w:pStyle w:val="a3"/>
        <w:spacing w:before="120" w:beforeAutospacing="0" w:after="0" w:afterAutospacing="0" w:line="360" w:lineRule="auto"/>
        <w:ind w:firstLine="420"/>
        <w:jc w:val="both"/>
        <w:divId w:val="1387410610"/>
        <w:rPr>
          <w:sz w:val="21"/>
          <w:szCs w:val="21"/>
        </w:rPr>
      </w:pPr>
      <w:r>
        <w:rPr>
          <w:rFonts w:hint="eastAsia"/>
          <w:sz w:val="18"/>
          <w:szCs w:val="18"/>
        </w:rPr>
        <w:lastRenderedPageBreak/>
        <w:t>（</w:t>
      </w:r>
      <w:r>
        <w:rPr>
          <w:rFonts w:ascii="Times New Roman" w:hAnsi="Times New Roman" w:cs="Times New Roman"/>
          <w:sz w:val="18"/>
          <w:szCs w:val="18"/>
        </w:rPr>
        <w:t>1</w:t>
      </w:r>
      <w:r>
        <w:rPr>
          <w:rFonts w:hint="eastAsia"/>
          <w:sz w:val="18"/>
          <w:szCs w:val="18"/>
        </w:rPr>
        <w:t>）资产支出已经发生，资产支出包括为购建或者生产符合资本化条件的资产而以支付现金、</w:t>
      </w:r>
      <w:proofErr w:type="gramStart"/>
      <w:r>
        <w:rPr>
          <w:rFonts w:hint="eastAsia"/>
          <w:sz w:val="18"/>
          <w:szCs w:val="18"/>
        </w:rPr>
        <w:t>转移非</w:t>
      </w:r>
      <w:proofErr w:type="gramEnd"/>
      <w:r>
        <w:rPr>
          <w:rFonts w:hint="eastAsia"/>
          <w:sz w:val="18"/>
          <w:szCs w:val="18"/>
        </w:rPr>
        <w:t>现金资产或者承担带息债务形式发生的支出；</w:t>
      </w:r>
    </w:p>
    <w:p w:rsidR="000F627F" w:rsidRDefault="000F627F">
      <w:pPr>
        <w:pStyle w:val="a3"/>
        <w:spacing w:before="120" w:beforeAutospacing="0" w:after="0" w:afterAutospacing="0" w:line="360" w:lineRule="auto"/>
        <w:ind w:firstLine="420"/>
        <w:jc w:val="both"/>
        <w:divId w:val="1387410610"/>
        <w:rPr>
          <w:sz w:val="21"/>
          <w:szCs w:val="21"/>
        </w:rPr>
      </w:pPr>
      <w:r>
        <w:rPr>
          <w:rFonts w:hint="eastAsia"/>
          <w:sz w:val="18"/>
          <w:szCs w:val="18"/>
        </w:rPr>
        <w:t>（</w:t>
      </w:r>
      <w:r>
        <w:rPr>
          <w:rFonts w:ascii="Times New Roman" w:hAnsi="Times New Roman" w:cs="Times New Roman"/>
          <w:sz w:val="18"/>
          <w:szCs w:val="18"/>
        </w:rPr>
        <w:t>2</w:t>
      </w:r>
      <w:r>
        <w:rPr>
          <w:rFonts w:hint="eastAsia"/>
          <w:sz w:val="18"/>
          <w:szCs w:val="18"/>
        </w:rPr>
        <w:t>）借款费用已经发生；</w:t>
      </w:r>
    </w:p>
    <w:p w:rsidR="000F627F" w:rsidRDefault="000F627F">
      <w:pPr>
        <w:pStyle w:val="a3"/>
        <w:spacing w:before="0" w:beforeAutospacing="0" w:after="0" w:afterAutospacing="0" w:line="360" w:lineRule="auto"/>
        <w:ind w:firstLine="420"/>
        <w:jc w:val="both"/>
        <w:divId w:val="1387410610"/>
        <w:rPr>
          <w:sz w:val="21"/>
          <w:szCs w:val="21"/>
        </w:rPr>
      </w:pPr>
      <w:r>
        <w:rPr>
          <w:rFonts w:hint="eastAsia"/>
          <w:sz w:val="18"/>
          <w:szCs w:val="18"/>
        </w:rPr>
        <w:t>（</w:t>
      </w:r>
      <w:r>
        <w:rPr>
          <w:rFonts w:ascii="Times New Roman" w:hAnsi="Times New Roman" w:cs="Times New Roman"/>
          <w:sz w:val="18"/>
          <w:szCs w:val="18"/>
        </w:rPr>
        <w:t>3</w:t>
      </w:r>
      <w:r>
        <w:rPr>
          <w:rFonts w:hint="eastAsia"/>
          <w:sz w:val="18"/>
          <w:szCs w:val="18"/>
        </w:rPr>
        <w:t>）为使资产达到预定可使用或者可销售状态所必要的购建或者生产活动已经开始。</w:t>
      </w:r>
    </w:p>
    <w:p w:rsidR="000F627F" w:rsidRDefault="000F627F">
      <w:pPr>
        <w:widowControl/>
        <w:numPr>
          <w:ilvl w:val="0"/>
          <w:numId w:val="81"/>
        </w:numPr>
        <w:spacing w:before="100" w:beforeAutospacing="1" w:after="100" w:afterAutospacing="1"/>
        <w:divId w:val="1387410610"/>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借款费用资本化期间</w:t>
      </w:r>
    </w:p>
    <w:p w:rsidR="000F627F" w:rsidRDefault="000F627F">
      <w:pPr>
        <w:pStyle w:val="a3"/>
        <w:spacing w:before="0" w:beforeAutospacing="0" w:after="0" w:afterAutospacing="0" w:line="360" w:lineRule="auto"/>
        <w:ind w:firstLine="420"/>
        <w:jc w:val="both"/>
        <w:divId w:val="1387410610"/>
        <w:rPr>
          <w:sz w:val="21"/>
          <w:szCs w:val="21"/>
        </w:rPr>
      </w:pPr>
      <w:r>
        <w:rPr>
          <w:rFonts w:hint="eastAsia"/>
          <w:sz w:val="18"/>
          <w:szCs w:val="18"/>
        </w:rPr>
        <w:t>资本化期间，指从借款费用开始资本化时点到停止资本化时点的期间，借款费用暂停资本化的期间不包括在内。</w:t>
      </w:r>
    </w:p>
    <w:p w:rsidR="000F627F" w:rsidRDefault="000F627F">
      <w:pPr>
        <w:pStyle w:val="a3"/>
        <w:spacing w:before="0" w:beforeAutospacing="0" w:after="0" w:afterAutospacing="0" w:line="360" w:lineRule="auto"/>
        <w:ind w:firstLine="420"/>
        <w:jc w:val="both"/>
        <w:divId w:val="1387410610"/>
        <w:rPr>
          <w:sz w:val="21"/>
          <w:szCs w:val="21"/>
        </w:rPr>
      </w:pPr>
      <w:proofErr w:type="gramStart"/>
      <w:r>
        <w:rPr>
          <w:rFonts w:hint="eastAsia"/>
          <w:sz w:val="18"/>
          <w:szCs w:val="18"/>
        </w:rPr>
        <w:t>当购建</w:t>
      </w:r>
      <w:proofErr w:type="gramEnd"/>
      <w:r>
        <w:rPr>
          <w:rFonts w:hint="eastAsia"/>
          <w:sz w:val="18"/>
          <w:szCs w:val="18"/>
        </w:rPr>
        <w:t>或者生产符合资本化条件的资产达到预定可使用或者可销售状态时，借款费用停止资本化。</w:t>
      </w:r>
    </w:p>
    <w:p w:rsidR="000F627F" w:rsidRDefault="000F627F">
      <w:pPr>
        <w:pStyle w:val="a3"/>
        <w:spacing w:before="0" w:beforeAutospacing="0" w:after="0" w:afterAutospacing="0" w:line="360" w:lineRule="auto"/>
        <w:ind w:firstLine="420"/>
        <w:jc w:val="both"/>
        <w:divId w:val="1387410610"/>
        <w:rPr>
          <w:sz w:val="21"/>
          <w:szCs w:val="21"/>
        </w:rPr>
      </w:pPr>
      <w:proofErr w:type="gramStart"/>
      <w:r>
        <w:rPr>
          <w:rFonts w:hint="eastAsia"/>
          <w:sz w:val="18"/>
          <w:szCs w:val="18"/>
        </w:rPr>
        <w:t>当购建</w:t>
      </w:r>
      <w:proofErr w:type="gramEnd"/>
      <w:r>
        <w:rPr>
          <w:rFonts w:hint="eastAsia"/>
          <w:sz w:val="18"/>
          <w:szCs w:val="18"/>
        </w:rPr>
        <w:t>或者生产符合资本化条件的资产中部分项目分别完工且可单独使用时，该部分资产借款费用停止资本化。</w:t>
      </w:r>
    </w:p>
    <w:p w:rsidR="000F627F" w:rsidRDefault="000F627F">
      <w:pPr>
        <w:pStyle w:val="a3"/>
        <w:spacing w:before="0" w:beforeAutospacing="0" w:after="0" w:afterAutospacing="0" w:line="360" w:lineRule="auto"/>
        <w:ind w:firstLine="420"/>
        <w:jc w:val="both"/>
        <w:divId w:val="1387410610"/>
        <w:rPr>
          <w:sz w:val="21"/>
          <w:szCs w:val="21"/>
        </w:rPr>
      </w:pPr>
      <w:r>
        <w:rPr>
          <w:rFonts w:hint="eastAsia"/>
          <w:sz w:val="18"/>
          <w:szCs w:val="18"/>
        </w:rPr>
        <w:t>购建或者生产的资产的各部分分别完工，但必须等到整体完工后才可使用或可对外销售的，在该资产整体完工时停止借款费用资本化。</w:t>
      </w:r>
    </w:p>
    <w:p w:rsidR="000F627F" w:rsidRDefault="000F627F">
      <w:pPr>
        <w:widowControl/>
        <w:numPr>
          <w:ilvl w:val="0"/>
          <w:numId w:val="82"/>
        </w:numPr>
        <w:spacing w:before="100" w:beforeAutospacing="1" w:after="100" w:afterAutospacing="1"/>
        <w:divId w:val="1387410610"/>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暂停资本化期间</w:t>
      </w:r>
    </w:p>
    <w:p w:rsidR="000F627F" w:rsidRDefault="000F627F">
      <w:pPr>
        <w:pStyle w:val="a3"/>
        <w:spacing w:before="0" w:beforeAutospacing="0" w:after="0" w:afterAutospacing="0" w:line="360" w:lineRule="auto"/>
        <w:ind w:firstLine="420"/>
        <w:jc w:val="both"/>
        <w:divId w:val="1387410610"/>
        <w:rPr>
          <w:sz w:val="21"/>
          <w:szCs w:val="21"/>
        </w:rPr>
      </w:pPr>
      <w:r>
        <w:rPr>
          <w:rFonts w:hint="eastAsia"/>
          <w:sz w:val="18"/>
          <w:szCs w:val="18"/>
        </w:rPr>
        <w:t>符合资本化条件的资产在购建或生产过程中发生的非正常中断、且中断时间连续超过</w:t>
      </w:r>
      <w:r>
        <w:rPr>
          <w:rFonts w:ascii="Times New Roman" w:hAnsi="Times New Roman" w:cs="Times New Roman"/>
          <w:sz w:val="18"/>
          <w:szCs w:val="18"/>
        </w:rPr>
        <w:t>3</w:t>
      </w:r>
      <w:r>
        <w:rPr>
          <w:rFonts w:hint="eastAsia"/>
          <w:sz w:val="18"/>
          <w:szCs w:val="18"/>
        </w:rPr>
        <w:t>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0F627F" w:rsidRDefault="000F627F">
      <w:pPr>
        <w:widowControl/>
        <w:numPr>
          <w:ilvl w:val="0"/>
          <w:numId w:val="83"/>
        </w:numPr>
        <w:spacing w:before="100" w:beforeAutospacing="1" w:after="100" w:afterAutospacing="1"/>
        <w:divId w:val="1387410610"/>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借款费用资本</w:t>
      </w:r>
      <w:proofErr w:type="gramStart"/>
      <w:r>
        <w:rPr>
          <w:rFonts w:hint="eastAsia"/>
          <w:sz w:val="18"/>
          <w:szCs w:val="18"/>
        </w:rPr>
        <w:t>化金额</w:t>
      </w:r>
      <w:proofErr w:type="gramEnd"/>
      <w:r>
        <w:rPr>
          <w:rFonts w:hint="eastAsia"/>
          <w:sz w:val="18"/>
          <w:szCs w:val="18"/>
        </w:rPr>
        <w:t>的计算方法</w:t>
      </w:r>
    </w:p>
    <w:p w:rsidR="000F627F" w:rsidRDefault="000F627F">
      <w:pPr>
        <w:pStyle w:val="a3"/>
        <w:spacing w:before="0" w:beforeAutospacing="0" w:after="0" w:afterAutospacing="0" w:line="360" w:lineRule="auto"/>
        <w:ind w:firstLine="420"/>
        <w:jc w:val="both"/>
        <w:divId w:val="1387410610"/>
        <w:rPr>
          <w:sz w:val="21"/>
          <w:szCs w:val="21"/>
        </w:rPr>
      </w:pPr>
      <w:r>
        <w:rPr>
          <w:rFonts w:hint="eastAsia"/>
          <w:sz w:val="18"/>
          <w:szCs w:val="18"/>
        </w:rPr>
        <w:t>专门借款的利息费用（扣除尚未动用的借款资金存入银行取得的利息收入或者进行暂时性投资取得的投资收益）及其辅助费用在所购建或者生产的符合资本化条件的资产达到预定可使用或者可销售状态前，予以资本化。</w:t>
      </w:r>
    </w:p>
    <w:p w:rsidR="000F627F" w:rsidRDefault="000F627F">
      <w:pPr>
        <w:pStyle w:val="a3"/>
        <w:spacing w:before="0" w:beforeAutospacing="0" w:after="0" w:afterAutospacing="0" w:line="360" w:lineRule="auto"/>
        <w:ind w:firstLine="420"/>
        <w:jc w:val="both"/>
        <w:divId w:val="1387410610"/>
        <w:rPr>
          <w:sz w:val="21"/>
          <w:szCs w:val="21"/>
        </w:rPr>
      </w:pPr>
      <w:r>
        <w:rPr>
          <w:rFonts w:hint="eastAsia"/>
          <w:sz w:val="18"/>
          <w:szCs w:val="18"/>
        </w:rPr>
        <w:t>根据累计资产支出超过专门借款部分的资产支出加权平均数乘以所占用一般借款的资本化率，计算确定一般借款应予资本化的利息金额。资本化率根据一般借款加权平均利率计算确定。</w:t>
      </w:r>
    </w:p>
    <w:p w:rsidR="000F627F" w:rsidRDefault="000F627F">
      <w:pPr>
        <w:pStyle w:val="a3"/>
        <w:divId w:val="1387410610"/>
        <w:rPr>
          <w:sz w:val="18"/>
          <w:szCs w:val="18"/>
        </w:rPr>
      </w:pPr>
      <w:r>
        <w:rPr>
          <w:rFonts w:hint="eastAsia"/>
          <w:sz w:val="18"/>
          <w:szCs w:val="18"/>
        </w:rPr>
        <w:t xml:space="preserve">借款存在折价或者溢价的，按照实际利率法确定每一会计期间应摊销的折价或者溢价金额，调整每期利息金额。 </w:t>
      </w:r>
    </w:p>
    <w:p w:rsidR="000D58D8" w:rsidRDefault="000F627F">
      <w:pPr>
        <w:pStyle w:val="3"/>
        <w:spacing w:line="280" w:lineRule="exact"/>
        <w:jc w:val="left"/>
        <w:rPr>
          <w:rFonts w:ascii="宋体" w:hAnsi="宋体" w:cs="宋体"/>
          <w:b/>
          <w:bCs/>
        </w:rPr>
      </w:pPr>
      <w:bookmarkStart w:id="206" w:name="_Toc989093"/>
      <w:r>
        <w:rPr>
          <w:rFonts w:ascii="宋体" w:hAnsi="宋体" w:cs="宋体"/>
          <w:b/>
          <w:bCs/>
        </w:rPr>
        <w:t>27、生物资产</w:t>
      </w:r>
      <w:bookmarkEnd w:id="206"/>
    </w:p>
    <w:p w:rsidR="000F627F" w:rsidRDefault="000F627F">
      <w:pPr>
        <w:pStyle w:val="a3"/>
        <w:divId w:val="807864726"/>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207" w:name="_Toc989094"/>
      <w:r>
        <w:rPr>
          <w:rFonts w:ascii="宋体" w:hAnsi="宋体" w:cs="宋体"/>
          <w:b/>
          <w:bCs/>
        </w:rPr>
        <w:t>28、油气资产</w:t>
      </w:r>
      <w:bookmarkEnd w:id="207"/>
    </w:p>
    <w:p w:rsidR="000F627F" w:rsidRDefault="000F627F">
      <w:pPr>
        <w:pStyle w:val="a3"/>
        <w:divId w:val="975913938"/>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208" w:name="_Toc989095"/>
      <w:r>
        <w:rPr>
          <w:rFonts w:ascii="宋体" w:hAnsi="宋体" w:cs="宋体"/>
          <w:b/>
          <w:bCs/>
        </w:rPr>
        <w:lastRenderedPageBreak/>
        <w:t>29、无形资产</w:t>
      </w:r>
      <w:bookmarkEnd w:id="208"/>
    </w:p>
    <w:p w:rsidR="000D58D8" w:rsidRDefault="000F627F">
      <w:pPr>
        <w:keepNext/>
        <w:keepLines/>
        <w:spacing w:before="300" w:after="300" w:line="280" w:lineRule="exact"/>
        <w:outlineLvl w:val="3"/>
        <w:rPr>
          <w:rFonts w:ascii="宋体" w:eastAsia="宋体" w:hAnsi="宋体" w:cs="宋体"/>
          <w:b/>
          <w:bCs/>
          <w:szCs w:val="21"/>
        </w:rPr>
      </w:pPr>
      <w:bookmarkStart w:id="209" w:name="_Toc989096"/>
      <w:r>
        <w:rPr>
          <w:rFonts w:ascii="宋体" w:eastAsia="宋体" w:hAnsi="宋体" w:cs="宋体"/>
          <w:b/>
          <w:bCs/>
          <w:szCs w:val="21"/>
        </w:rPr>
        <w:t>（1） 使用寿命及其确定依据、估计情况、摊销方法或复核程序</w:t>
      </w:r>
      <w:bookmarkEnd w:id="209"/>
    </w:p>
    <w:p w:rsidR="000F627F" w:rsidRDefault="000F627F">
      <w:pPr>
        <w:pStyle w:val="a3"/>
        <w:spacing w:before="0" w:beforeAutospacing="0" w:after="0" w:afterAutospacing="0"/>
        <w:ind w:firstLine="424"/>
        <w:divId w:val="469518294"/>
        <w:rPr>
          <w:rFonts w:ascii="Times New Roman" w:hAnsi="Times New Roman" w:cs="Times New Roman"/>
          <w:sz w:val="21"/>
          <w:szCs w:val="21"/>
        </w:rPr>
      </w:pPr>
      <w:r>
        <w:rPr>
          <w:rFonts w:cs="Times New Roman" w:hint="eastAsia"/>
          <w:sz w:val="18"/>
          <w:szCs w:val="18"/>
        </w:rPr>
        <w:t>无形资产是指本公司拥有或者控制的没有实物形态的可</w:t>
      </w:r>
      <w:proofErr w:type="gramStart"/>
      <w:r>
        <w:rPr>
          <w:rFonts w:cs="Times New Roman" w:hint="eastAsia"/>
          <w:sz w:val="18"/>
          <w:szCs w:val="18"/>
        </w:rPr>
        <w:t>辨认非</w:t>
      </w:r>
      <w:proofErr w:type="gramEnd"/>
      <w:r>
        <w:rPr>
          <w:rFonts w:cs="Times New Roman" w:hint="eastAsia"/>
          <w:sz w:val="18"/>
          <w:szCs w:val="18"/>
        </w:rPr>
        <w:t>货币性资产，包括土地使用权、软件、专利权及非专利技术等。</w:t>
      </w:r>
    </w:p>
    <w:p w:rsidR="000F627F" w:rsidRDefault="000F627F" w:rsidP="00134FC9">
      <w:pPr>
        <w:widowControl/>
        <w:numPr>
          <w:ilvl w:val="3"/>
          <w:numId w:val="84"/>
        </w:numPr>
        <w:tabs>
          <w:tab w:val="clear" w:pos="2880"/>
          <w:tab w:val="num" w:pos="0"/>
        </w:tabs>
        <w:spacing w:before="100" w:beforeAutospacing="1" w:after="100" w:afterAutospacing="1"/>
        <w:ind w:left="0" w:firstLine="426"/>
        <w:divId w:val="469518294"/>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无形资产的初始计量</w:t>
      </w:r>
    </w:p>
    <w:p w:rsidR="000F627F" w:rsidRDefault="000F627F">
      <w:pPr>
        <w:pStyle w:val="a3"/>
        <w:spacing w:before="0" w:beforeAutospacing="0" w:after="0" w:afterAutospacing="0" w:line="360" w:lineRule="auto"/>
        <w:ind w:firstLine="420"/>
        <w:jc w:val="both"/>
        <w:divId w:val="469518294"/>
        <w:rPr>
          <w:sz w:val="21"/>
          <w:szCs w:val="21"/>
        </w:rPr>
      </w:pPr>
      <w:r>
        <w:rPr>
          <w:rFonts w:hint="eastAsia"/>
          <w:sz w:val="18"/>
          <w:szCs w:val="18"/>
        </w:rPr>
        <w:t>外购无形资产的成本，包括购买价款、相关税费以及直接归属于使该项资产达到预定用途所发生的其他支出。购买无形资产的价款超过正常信用条件延期支付，实质上具有融资性质的，无形资产的成本以购买价款的现值为基础确定。</w:t>
      </w:r>
    </w:p>
    <w:p w:rsidR="000F627F" w:rsidRDefault="000F627F">
      <w:pPr>
        <w:pStyle w:val="a3"/>
        <w:spacing w:before="0" w:beforeAutospacing="0" w:after="0" w:afterAutospacing="0" w:line="360" w:lineRule="auto"/>
        <w:ind w:firstLine="420"/>
        <w:jc w:val="both"/>
        <w:divId w:val="469518294"/>
        <w:rPr>
          <w:sz w:val="21"/>
          <w:szCs w:val="21"/>
        </w:rPr>
      </w:pPr>
      <w:r>
        <w:rPr>
          <w:rFonts w:hint="eastAsia"/>
          <w:sz w:val="18"/>
          <w:szCs w:val="18"/>
        </w:rPr>
        <w:t>债务重组取得债务人用以抵债的无形资产，以该无形资产的公允价值为基础确定其入账价值，并将重组债务的账面价值与该用以抵债的无形资产公允价值之间的差额，计入当期损益。</w:t>
      </w:r>
    </w:p>
    <w:p w:rsidR="000F627F" w:rsidRDefault="000F627F">
      <w:pPr>
        <w:pStyle w:val="a3"/>
        <w:spacing w:before="0" w:beforeAutospacing="0" w:after="0" w:afterAutospacing="0" w:line="360" w:lineRule="auto"/>
        <w:ind w:firstLine="420"/>
        <w:jc w:val="both"/>
        <w:divId w:val="469518294"/>
        <w:rPr>
          <w:sz w:val="21"/>
          <w:szCs w:val="21"/>
        </w:rPr>
      </w:pPr>
      <w:r>
        <w:rPr>
          <w:rFonts w:hint="eastAsia"/>
          <w:sz w:val="18"/>
          <w:szCs w:val="18"/>
        </w:rPr>
        <w:t>在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rsidR="000F627F" w:rsidRDefault="000F627F">
      <w:pPr>
        <w:pStyle w:val="a3"/>
        <w:spacing w:before="0" w:beforeAutospacing="0" w:after="0" w:afterAutospacing="0" w:line="360" w:lineRule="auto"/>
        <w:ind w:firstLine="420"/>
        <w:jc w:val="both"/>
        <w:divId w:val="469518294"/>
        <w:rPr>
          <w:sz w:val="21"/>
          <w:szCs w:val="21"/>
        </w:rPr>
      </w:pPr>
      <w:r>
        <w:rPr>
          <w:rFonts w:hint="eastAsia"/>
          <w:sz w:val="18"/>
          <w:szCs w:val="18"/>
        </w:rPr>
        <w:t>以同</w:t>
      </w:r>
      <w:proofErr w:type="gramStart"/>
      <w:r>
        <w:rPr>
          <w:rFonts w:hint="eastAsia"/>
          <w:sz w:val="18"/>
          <w:szCs w:val="18"/>
        </w:rPr>
        <w:t>一控制</w:t>
      </w:r>
      <w:proofErr w:type="gramEnd"/>
      <w:r>
        <w:rPr>
          <w:rFonts w:hint="eastAsia"/>
          <w:sz w:val="18"/>
          <w:szCs w:val="18"/>
        </w:rPr>
        <w:t>下的企业吸收合并方式取得的无形资产按被合并方的账面价值确定其入账价值；以非同</w:t>
      </w:r>
      <w:proofErr w:type="gramStart"/>
      <w:r>
        <w:rPr>
          <w:rFonts w:hint="eastAsia"/>
          <w:sz w:val="18"/>
          <w:szCs w:val="18"/>
        </w:rPr>
        <w:t>一控制</w:t>
      </w:r>
      <w:proofErr w:type="gramEnd"/>
      <w:r>
        <w:rPr>
          <w:rFonts w:hint="eastAsia"/>
          <w:sz w:val="18"/>
          <w:szCs w:val="18"/>
        </w:rPr>
        <w:t>下的企业吸收合并方式取得的无形资产按公允价值确定其入账价值。</w:t>
      </w:r>
    </w:p>
    <w:p w:rsidR="000F627F" w:rsidRDefault="000F627F">
      <w:pPr>
        <w:pStyle w:val="a3"/>
        <w:spacing w:before="0" w:beforeAutospacing="0" w:after="0" w:afterAutospacing="0" w:line="360" w:lineRule="auto"/>
        <w:ind w:firstLine="420"/>
        <w:jc w:val="both"/>
        <w:divId w:val="469518294"/>
        <w:rPr>
          <w:sz w:val="21"/>
          <w:szCs w:val="21"/>
        </w:rPr>
      </w:pPr>
      <w:r>
        <w:rPr>
          <w:rFonts w:hint="eastAsia"/>
          <w:sz w:val="18"/>
          <w:szCs w:val="18"/>
        </w:rPr>
        <w:t>内部自行开发的无形资产，其成本包括：开发该无形资产时耗用的材料、劳务成本、注册费、在开发过程中使用的其他专利权和特许权的摊销以及满足资本化条件的利息费用，以及为使该无形资产达到预定用途前所发生的其他直接费用。</w:t>
      </w:r>
    </w:p>
    <w:p w:rsidR="000F627F" w:rsidRDefault="000F627F" w:rsidP="00134FC9">
      <w:pPr>
        <w:widowControl/>
        <w:numPr>
          <w:ilvl w:val="3"/>
          <w:numId w:val="85"/>
        </w:numPr>
        <w:tabs>
          <w:tab w:val="clear" w:pos="2880"/>
          <w:tab w:val="num" w:pos="0"/>
        </w:tabs>
        <w:spacing w:before="100" w:beforeAutospacing="1" w:after="100" w:afterAutospacing="1"/>
        <w:ind w:left="0" w:firstLine="426"/>
        <w:divId w:val="469518294"/>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无形资产的后续计量</w:t>
      </w:r>
    </w:p>
    <w:p w:rsidR="000F627F" w:rsidRDefault="000F627F">
      <w:pPr>
        <w:pStyle w:val="a3"/>
        <w:spacing w:before="0" w:beforeAutospacing="0" w:after="0" w:afterAutospacing="0" w:line="360" w:lineRule="auto"/>
        <w:ind w:firstLine="420"/>
        <w:jc w:val="both"/>
        <w:divId w:val="469518294"/>
        <w:rPr>
          <w:sz w:val="21"/>
          <w:szCs w:val="21"/>
        </w:rPr>
      </w:pPr>
      <w:r>
        <w:rPr>
          <w:rFonts w:hint="eastAsia"/>
          <w:sz w:val="18"/>
          <w:szCs w:val="18"/>
        </w:rPr>
        <w:t>本公司在取得无形资产时分析判断其使用寿命，划分为使用寿命有限和使用寿命不确定的无形资产。</w:t>
      </w:r>
    </w:p>
    <w:p w:rsidR="000F627F" w:rsidRDefault="000F627F">
      <w:pPr>
        <w:widowControl/>
        <w:numPr>
          <w:ilvl w:val="0"/>
          <w:numId w:val="86"/>
        </w:numPr>
        <w:spacing w:before="100" w:beforeAutospacing="1" w:after="100" w:afterAutospacing="1"/>
        <w:divId w:val="469518294"/>
        <w:rPr>
          <w:sz w:val="18"/>
          <w:szCs w:val="18"/>
        </w:rPr>
      </w:pPr>
      <w:r>
        <w:rPr>
          <w:rFonts w:hint="eastAsia"/>
          <w:sz w:val="18"/>
          <w:szCs w:val="18"/>
        </w:rPr>
        <w:t>使用寿命有限的无形资产</w:t>
      </w:r>
    </w:p>
    <w:p w:rsidR="000F627F" w:rsidRDefault="000F627F">
      <w:pPr>
        <w:pStyle w:val="a3"/>
        <w:spacing w:before="0" w:beforeAutospacing="0" w:after="0" w:afterAutospacing="0" w:line="360" w:lineRule="auto"/>
        <w:ind w:firstLine="420"/>
        <w:jc w:val="both"/>
        <w:divId w:val="469518294"/>
        <w:rPr>
          <w:sz w:val="21"/>
          <w:szCs w:val="21"/>
        </w:rPr>
      </w:pPr>
      <w:r>
        <w:rPr>
          <w:rFonts w:hint="eastAsia"/>
          <w:sz w:val="18"/>
          <w:szCs w:val="18"/>
        </w:rPr>
        <w:t>对于使用寿命有限的无形资产，在为企业带来经济利益的期限内按直线法摊销。使用寿命有限的无形资产预计寿命及依据如下：</w:t>
      </w:r>
    </w:p>
    <w:tbl>
      <w:tblPr>
        <w:tblW w:w="9366" w:type="dxa"/>
        <w:tblCellMar>
          <w:left w:w="0" w:type="dxa"/>
          <w:right w:w="0" w:type="dxa"/>
        </w:tblCellMar>
        <w:tblLook w:val="04A0" w:firstRow="1" w:lastRow="0" w:firstColumn="1" w:lastColumn="0" w:noHBand="0" w:noVBand="1"/>
        <w:tblCaption w:val="D:\大华\华孚\2023年度\TB|0-合并TB-华孚时尚股份有限公司-2023年度.xlsx|W附注模板|_jds14|0|desc|||0|1"/>
      </w:tblPr>
      <w:tblGrid>
        <w:gridCol w:w="1703"/>
        <w:gridCol w:w="3831"/>
        <w:gridCol w:w="3832"/>
      </w:tblGrid>
      <w:tr w:rsidR="000F627F" w:rsidTr="00134FC9">
        <w:trPr>
          <w:divId w:val="469518294"/>
          <w:trHeight w:val="344"/>
          <w:tblHeader/>
        </w:trPr>
        <w:tc>
          <w:tcPr>
            <w:tcW w:w="1703" w:type="dxa"/>
            <w:tcBorders>
              <w:top w:val="single" w:sz="8" w:space="0" w:color="auto"/>
              <w:left w:val="single" w:sz="8" w:space="0" w:color="auto"/>
              <w:bottom w:val="single" w:sz="8" w:space="0" w:color="auto"/>
              <w:right w:val="single" w:sz="8" w:space="0" w:color="auto"/>
            </w:tcBorders>
            <w:tcMar>
              <w:top w:w="0" w:type="dxa"/>
              <w:left w:w="0"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项目</w:t>
            </w:r>
          </w:p>
        </w:tc>
        <w:tc>
          <w:tcPr>
            <w:tcW w:w="3831" w:type="dxa"/>
            <w:tcBorders>
              <w:top w:val="single" w:sz="8" w:space="0" w:color="auto"/>
              <w:left w:val="nil"/>
              <w:bottom w:val="single" w:sz="8" w:space="0" w:color="auto"/>
              <w:right w:val="single" w:sz="8" w:space="0" w:color="auto"/>
            </w:tcBorders>
            <w:tcMar>
              <w:top w:w="0" w:type="dxa"/>
              <w:left w:w="0"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预计使用寿命</w:t>
            </w:r>
          </w:p>
        </w:tc>
        <w:tc>
          <w:tcPr>
            <w:tcW w:w="3832" w:type="dxa"/>
            <w:tcBorders>
              <w:top w:val="single" w:sz="8" w:space="0" w:color="auto"/>
              <w:left w:val="nil"/>
              <w:bottom w:val="single" w:sz="8" w:space="0" w:color="auto"/>
              <w:right w:val="single" w:sz="8" w:space="0" w:color="auto"/>
            </w:tcBorders>
            <w:tcMar>
              <w:top w:w="0" w:type="dxa"/>
              <w:left w:w="0"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依据</w:t>
            </w:r>
          </w:p>
        </w:tc>
      </w:tr>
      <w:tr w:rsidR="000F627F" w:rsidTr="00134FC9">
        <w:trPr>
          <w:divId w:val="469518294"/>
          <w:trHeight w:val="344"/>
        </w:trPr>
        <w:tc>
          <w:tcPr>
            <w:tcW w:w="1703" w:type="dxa"/>
            <w:tcBorders>
              <w:top w:val="nil"/>
              <w:left w:val="single" w:sz="8" w:space="0" w:color="auto"/>
              <w:bottom w:val="single" w:sz="8" w:space="0" w:color="auto"/>
              <w:right w:val="single" w:sz="8" w:space="0" w:color="auto"/>
            </w:tcBorders>
            <w:tcMar>
              <w:top w:w="0" w:type="dxa"/>
              <w:left w:w="0"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软件</w:t>
            </w:r>
          </w:p>
        </w:tc>
        <w:tc>
          <w:tcPr>
            <w:tcW w:w="3831"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ascii="Arial Narrow" w:hAnsi="Arial Narrow" w:cs="Times New Roman"/>
                <w:sz w:val="18"/>
                <w:szCs w:val="18"/>
              </w:rPr>
              <w:t>5-10</w:t>
            </w:r>
            <w:r>
              <w:rPr>
                <w:rFonts w:cs="Times New Roman" w:hint="eastAsia"/>
                <w:sz w:val="18"/>
                <w:szCs w:val="18"/>
              </w:rPr>
              <w:t>年</w:t>
            </w:r>
          </w:p>
        </w:tc>
        <w:tc>
          <w:tcPr>
            <w:tcW w:w="3832"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软件预计使用年限</w:t>
            </w:r>
          </w:p>
        </w:tc>
      </w:tr>
      <w:tr w:rsidR="000F627F" w:rsidTr="00134FC9">
        <w:trPr>
          <w:divId w:val="469518294"/>
          <w:trHeight w:val="344"/>
        </w:trPr>
        <w:tc>
          <w:tcPr>
            <w:tcW w:w="1703" w:type="dxa"/>
            <w:tcBorders>
              <w:top w:val="nil"/>
              <w:left w:val="single" w:sz="8" w:space="0" w:color="auto"/>
              <w:bottom w:val="single" w:sz="8" w:space="0" w:color="auto"/>
              <w:right w:val="single" w:sz="8" w:space="0" w:color="auto"/>
            </w:tcBorders>
            <w:tcMar>
              <w:top w:w="0" w:type="dxa"/>
              <w:left w:w="0"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土地使用权</w:t>
            </w:r>
          </w:p>
        </w:tc>
        <w:tc>
          <w:tcPr>
            <w:tcW w:w="3831"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ascii="Arial Narrow" w:hAnsi="Arial Narrow" w:cs="Times New Roman"/>
                <w:sz w:val="18"/>
                <w:szCs w:val="18"/>
              </w:rPr>
              <w:t>40-50</w:t>
            </w:r>
            <w:r>
              <w:rPr>
                <w:rFonts w:cs="Times New Roman" w:hint="eastAsia"/>
                <w:sz w:val="18"/>
                <w:szCs w:val="18"/>
              </w:rPr>
              <w:t>年</w:t>
            </w:r>
          </w:p>
        </w:tc>
        <w:tc>
          <w:tcPr>
            <w:tcW w:w="3832"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土地使用权证规定年限</w:t>
            </w:r>
          </w:p>
        </w:tc>
      </w:tr>
      <w:tr w:rsidR="000F627F" w:rsidTr="00134FC9">
        <w:trPr>
          <w:divId w:val="469518294"/>
          <w:trHeight w:val="344"/>
        </w:trPr>
        <w:tc>
          <w:tcPr>
            <w:tcW w:w="1703" w:type="dxa"/>
            <w:tcBorders>
              <w:top w:val="nil"/>
              <w:left w:val="single" w:sz="8" w:space="0" w:color="auto"/>
              <w:bottom w:val="single" w:sz="8" w:space="0" w:color="auto"/>
              <w:right w:val="single" w:sz="8" w:space="0" w:color="auto"/>
            </w:tcBorders>
            <w:tcMar>
              <w:top w:w="0" w:type="dxa"/>
              <w:left w:w="0"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专利权</w:t>
            </w:r>
          </w:p>
        </w:tc>
        <w:tc>
          <w:tcPr>
            <w:tcW w:w="3831"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在实际授权使用期间内摊销</w:t>
            </w:r>
          </w:p>
        </w:tc>
        <w:tc>
          <w:tcPr>
            <w:tcW w:w="3832"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授权使用期限</w:t>
            </w:r>
          </w:p>
        </w:tc>
      </w:tr>
      <w:tr w:rsidR="000F627F" w:rsidTr="00134FC9">
        <w:trPr>
          <w:divId w:val="469518294"/>
          <w:trHeight w:val="344"/>
        </w:trPr>
        <w:tc>
          <w:tcPr>
            <w:tcW w:w="1703" w:type="dxa"/>
            <w:tcBorders>
              <w:top w:val="nil"/>
              <w:left w:val="single" w:sz="8" w:space="0" w:color="auto"/>
              <w:bottom w:val="single" w:sz="8" w:space="0" w:color="auto"/>
              <w:right w:val="single" w:sz="8" w:space="0" w:color="auto"/>
            </w:tcBorders>
            <w:tcMar>
              <w:top w:w="0" w:type="dxa"/>
              <w:left w:w="0"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商标使用权</w:t>
            </w:r>
          </w:p>
        </w:tc>
        <w:tc>
          <w:tcPr>
            <w:tcW w:w="3831"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在实际授权使用期间内摊销</w:t>
            </w:r>
          </w:p>
        </w:tc>
        <w:tc>
          <w:tcPr>
            <w:tcW w:w="3832"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授权使用期限</w:t>
            </w:r>
          </w:p>
        </w:tc>
      </w:tr>
    </w:tbl>
    <w:p w:rsidR="000F627F" w:rsidRDefault="000F627F">
      <w:pPr>
        <w:pStyle w:val="a3"/>
        <w:spacing w:before="0" w:beforeAutospacing="0" w:after="0" w:afterAutospacing="0" w:line="360" w:lineRule="auto"/>
        <w:ind w:firstLine="420"/>
        <w:jc w:val="both"/>
        <w:divId w:val="469518294"/>
        <w:rPr>
          <w:sz w:val="21"/>
          <w:szCs w:val="21"/>
        </w:rPr>
      </w:pPr>
      <w:r>
        <w:rPr>
          <w:rFonts w:hint="eastAsia"/>
          <w:sz w:val="18"/>
          <w:szCs w:val="18"/>
        </w:rPr>
        <w:t>期末，对使用寿命有限的无形资产的使用寿命和摊销方法进行复核，必要时进行调整。</w:t>
      </w:r>
    </w:p>
    <w:p w:rsidR="000F627F" w:rsidRDefault="000F627F">
      <w:pPr>
        <w:widowControl/>
        <w:numPr>
          <w:ilvl w:val="0"/>
          <w:numId w:val="87"/>
        </w:numPr>
        <w:spacing w:before="100" w:beforeAutospacing="1" w:after="100" w:afterAutospacing="1"/>
        <w:divId w:val="469518294"/>
        <w:rPr>
          <w:sz w:val="18"/>
          <w:szCs w:val="18"/>
        </w:rPr>
      </w:pPr>
      <w:r>
        <w:rPr>
          <w:rFonts w:hint="eastAsia"/>
          <w:sz w:val="18"/>
          <w:szCs w:val="18"/>
        </w:rPr>
        <w:lastRenderedPageBreak/>
        <w:t>使用寿命不确定的无形资产</w:t>
      </w:r>
    </w:p>
    <w:p w:rsidR="000F627F" w:rsidRDefault="000F627F">
      <w:pPr>
        <w:pStyle w:val="a3"/>
        <w:spacing w:before="50" w:beforeAutospacing="0" w:after="0" w:afterAutospacing="0" w:line="360" w:lineRule="auto"/>
        <w:ind w:firstLine="420"/>
        <w:divId w:val="469518294"/>
        <w:rPr>
          <w:sz w:val="21"/>
          <w:szCs w:val="21"/>
        </w:rPr>
      </w:pPr>
      <w:r>
        <w:rPr>
          <w:rFonts w:hint="eastAsia"/>
          <w:sz w:val="18"/>
          <w:szCs w:val="18"/>
        </w:rPr>
        <w:t>本公司无使用寿命不确定的无形资产。</w:t>
      </w:r>
    </w:p>
    <w:p w:rsidR="000F627F" w:rsidRDefault="000F627F">
      <w:pPr>
        <w:pStyle w:val="a3"/>
        <w:spacing w:before="0" w:beforeAutospacing="0" w:after="0" w:afterAutospacing="0" w:line="360" w:lineRule="auto"/>
        <w:ind w:firstLine="420"/>
        <w:divId w:val="469518294"/>
        <w:rPr>
          <w:sz w:val="21"/>
          <w:szCs w:val="21"/>
        </w:rPr>
      </w:pPr>
      <w:r>
        <w:rPr>
          <w:rFonts w:hint="eastAsia"/>
          <w:sz w:val="18"/>
          <w:szCs w:val="18"/>
        </w:rPr>
        <w:t>无形资产的减值测试方法和减值准备计提方法详见本附注（二十八）长期资产减值。</w:t>
      </w:r>
    </w:p>
    <w:p w:rsidR="000D58D8" w:rsidRDefault="000F627F">
      <w:pPr>
        <w:keepNext/>
        <w:keepLines/>
        <w:spacing w:before="300" w:after="300" w:line="280" w:lineRule="exact"/>
        <w:outlineLvl w:val="3"/>
        <w:rPr>
          <w:rFonts w:ascii="宋体" w:eastAsia="宋体" w:hAnsi="宋体" w:cs="宋体"/>
          <w:b/>
          <w:bCs/>
          <w:szCs w:val="21"/>
        </w:rPr>
      </w:pPr>
      <w:bookmarkStart w:id="210" w:name="_Toc989097"/>
      <w:r>
        <w:rPr>
          <w:rFonts w:ascii="宋体" w:eastAsia="宋体" w:hAnsi="宋体" w:cs="宋体"/>
          <w:b/>
          <w:bCs/>
          <w:szCs w:val="21"/>
        </w:rPr>
        <w:t>（2） 研发支出的归集范围及相关会计处理方法</w:t>
      </w:r>
      <w:bookmarkEnd w:id="210"/>
    </w:p>
    <w:p w:rsidR="000F627F" w:rsidRDefault="000F627F" w:rsidP="00134FC9">
      <w:pPr>
        <w:widowControl/>
        <w:numPr>
          <w:ilvl w:val="3"/>
          <w:numId w:val="88"/>
        </w:numPr>
        <w:tabs>
          <w:tab w:val="clear" w:pos="2880"/>
          <w:tab w:val="num" w:pos="0"/>
        </w:tabs>
        <w:spacing w:before="100" w:beforeAutospacing="1" w:after="100" w:afterAutospacing="1"/>
        <w:ind w:left="0" w:firstLine="426"/>
        <w:divId w:val="89205855"/>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划分公司内部研究开发项目的研究阶段和开发阶段具体标准</w:t>
      </w:r>
    </w:p>
    <w:p w:rsidR="000F627F" w:rsidRDefault="000F627F">
      <w:pPr>
        <w:pStyle w:val="a3"/>
        <w:spacing w:before="0" w:beforeAutospacing="0" w:after="0" w:afterAutospacing="0" w:line="360" w:lineRule="auto"/>
        <w:ind w:firstLine="420"/>
        <w:jc w:val="both"/>
        <w:divId w:val="89205855"/>
        <w:rPr>
          <w:sz w:val="21"/>
          <w:szCs w:val="21"/>
        </w:rPr>
      </w:pPr>
      <w:r>
        <w:rPr>
          <w:rFonts w:hint="eastAsia"/>
          <w:sz w:val="18"/>
          <w:szCs w:val="18"/>
        </w:rPr>
        <w:t>研究阶段：为获取并理解新的科学或技术知识等而进行的独创性的有计划调查、研究活动的阶段。</w:t>
      </w:r>
    </w:p>
    <w:p w:rsidR="000F627F" w:rsidRDefault="000F627F">
      <w:pPr>
        <w:pStyle w:val="a3"/>
        <w:spacing w:before="0" w:beforeAutospacing="0" w:after="0" w:afterAutospacing="0" w:line="360" w:lineRule="auto"/>
        <w:ind w:firstLine="420"/>
        <w:jc w:val="both"/>
        <w:divId w:val="89205855"/>
        <w:rPr>
          <w:sz w:val="21"/>
          <w:szCs w:val="21"/>
        </w:rPr>
      </w:pPr>
      <w:r>
        <w:rPr>
          <w:rFonts w:hint="eastAsia"/>
          <w:sz w:val="18"/>
          <w:szCs w:val="18"/>
        </w:rPr>
        <w:t>开发阶段：在进行商业性生产或使用前，将研究成果或其他知识应用于某项计划或设计，以生产出新的或具有实质性改进的材料、装置、产品等活动的阶段。</w:t>
      </w:r>
    </w:p>
    <w:p w:rsidR="000F627F" w:rsidRDefault="000F627F">
      <w:pPr>
        <w:pStyle w:val="a3"/>
        <w:spacing w:before="0" w:beforeAutospacing="0" w:after="0" w:afterAutospacing="0" w:line="360" w:lineRule="auto"/>
        <w:ind w:firstLine="420"/>
        <w:jc w:val="both"/>
        <w:divId w:val="89205855"/>
        <w:rPr>
          <w:sz w:val="21"/>
          <w:szCs w:val="21"/>
        </w:rPr>
      </w:pPr>
      <w:r>
        <w:rPr>
          <w:rFonts w:hint="eastAsia"/>
          <w:sz w:val="18"/>
          <w:szCs w:val="18"/>
        </w:rPr>
        <w:t>内部研究开发项目研究阶段的支出，在发生时计入当期损益。</w:t>
      </w:r>
    </w:p>
    <w:p w:rsidR="000F627F" w:rsidRDefault="000F627F" w:rsidP="00134FC9">
      <w:pPr>
        <w:widowControl/>
        <w:numPr>
          <w:ilvl w:val="3"/>
          <w:numId w:val="89"/>
        </w:numPr>
        <w:tabs>
          <w:tab w:val="clear" w:pos="2880"/>
          <w:tab w:val="num" w:pos="0"/>
        </w:tabs>
        <w:spacing w:before="100" w:beforeAutospacing="1" w:after="100" w:afterAutospacing="1"/>
        <w:ind w:left="0" w:firstLine="426"/>
        <w:divId w:val="89205855"/>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开发阶段支出符合资本化的具体标准</w:t>
      </w:r>
    </w:p>
    <w:p w:rsidR="000F627F" w:rsidRDefault="000F627F">
      <w:pPr>
        <w:pStyle w:val="a3"/>
        <w:spacing w:before="0" w:beforeAutospacing="0" w:after="0" w:afterAutospacing="0" w:line="360" w:lineRule="auto"/>
        <w:ind w:firstLine="420"/>
        <w:jc w:val="both"/>
        <w:divId w:val="89205855"/>
        <w:rPr>
          <w:sz w:val="21"/>
          <w:szCs w:val="21"/>
        </w:rPr>
      </w:pPr>
      <w:r>
        <w:rPr>
          <w:rFonts w:hint="eastAsia"/>
          <w:sz w:val="18"/>
          <w:szCs w:val="18"/>
        </w:rPr>
        <w:t>内部研究开发项目开发阶段的支出，同时满足下列条件时确认为无形资产：</w:t>
      </w:r>
    </w:p>
    <w:p w:rsidR="000F627F" w:rsidRDefault="000F627F">
      <w:pPr>
        <w:pStyle w:val="a3"/>
        <w:spacing w:before="0" w:beforeAutospacing="0" w:after="0" w:afterAutospacing="0" w:line="360" w:lineRule="auto"/>
        <w:ind w:firstLine="420"/>
        <w:jc w:val="both"/>
        <w:divId w:val="89205855"/>
        <w:rPr>
          <w:sz w:val="21"/>
          <w:szCs w:val="21"/>
        </w:rPr>
      </w:pPr>
      <w:r>
        <w:rPr>
          <w:rFonts w:hint="eastAsia"/>
          <w:sz w:val="18"/>
          <w:szCs w:val="18"/>
        </w:rPr>
        <w:t>（</w:t>
      </w:r>
      <w:r>
        <w:rPr>
          <w:rFonts w:ascii="Times New Roman" w:hAnsi="Times New Roman" w:cs="Times New Roman"/>
          <w:sz w:val="18"/>
          <w:szCs w:val="18"/>
        </w:rPr>
        <w:t>1</w:t>
      </w:r>
      <w:r>
        <w:rPr>
          <w:rFonts w:hint="eastAsia"/>
          <w:sz w:val="18"/>
          <w:szCs w:val="18"/>
        </w:rPr>
        <w:t>）完成该无形资产以使其能够使用或出售在技术上具有可行性；</w:t>
      </w:r>
    </w:p>
    <w:p w:rsidR="000F627F" w:rsidRDefault="000F627F">
      <w:pPr>
        <w:pStyle w:val="a3"/>
        <w:spacing w:before="0" w:beforeAutospacing="0" w:after="0" w:afterAutospacing="0" w:line="360" w:lineRule="auto"/>
        <w:ind w:firstLine="420"/>
        <w:jc w:val="both"/>
        <w:divId w:val="89205855"/>
        <w:rPr>
          <w:sz w:val="21"/>
          <w:szCs w:val="21"/>
        </w:rPr>
      </w:pPr>
      <w:r>
        <w:rPr>
          <w:rFonts w:hint="eastAsia"/>
          <w:sz w:val="18"/>
          <w:szCs w:val="18"/>
        </w:rPr>
        <w:t>（</w:t>
      </w:r>
      <w:r>
        <w:rPr>
          <w:rFonts w:ascii="Times New Roman" w:hAnsi="Times New Roman" w:cs="Times New Roman"/>
          <w:sz w:val="18"/>
          <w:szCs w:val="18"/>
        </w:rPr>
        <w:t>2</w:t>
      </w:r>
      <w:r>
        <w:rPr>
          <w:rFonts w:hint="eastAsia"/>
          <w:sz w:val="18"/>
          <w:szCs w:val="18"/>
        </w:rPr>
        <w:t>）具有完成该无形资产并使用或出售的意图；</w:t>
      </w:r>
    </w:p>
    <w:p w:rsidR="000F627F" w:rsidRDefault="000F627F">
      <w:pPr>
        <w:pStyle w:val="a3"/>
        <w:spacing w:before="0" w:beforeAutospacing="0" w:after="0" w:afterAutospacing="0" w:line="360" w:lineRule="auto"/>
        <w:ind w:firstLine="420"/>
        <w:jc w:val="both"/>
        <w:divId w:val="89205855"/>
        <w:rPr>
          <w:sz w:val="21"/>
          <w:szCs w:val="21"/>
        </w:rPr>
      </w:pPr>
      <w:r>
        <w:rPr>
          <w:rFonts w:hint="eastAsia"/>
          <w:sz w:val="18"/>
          <w:szCs w:val="18"/>
        </w:rPr>
        <w:t>（</w:t>
      </w:r>
      <w:r>
        <w:rPr>
          <w:rFonts w:ascii="Times New Roman" w:hAnsi="Times New Roman" w:cs="Times New Roman"/>
          <w:sz w:val="18"/>
          <w:szCs w:val="18"/>
        </w:rPr>
        <w:t>3</w:t>
      </w:r>
      <w:r>
        <w:rPr>
          <w:rFonts w:hint="eastAsia"/>
          <w:sz w:val="18"/>
          <w:szCs w:val="18"/>
        </w:rPr>
        <w:t>）无形资产产生经济利益的方式，包括能够证明运用该无形资产生产的产品存在市场或无形资产自身存在市场，无形资产将在内部使用的，能够证明其有用性；</w:t>
      </w:r>
    </w:p>
    <w:p w:rsidR="000F627F" w:rsidRDefault="000F627F">
      <w:pPr>
        <w:pStyle w:val="a3"/>
        <w:spacing w:before="0" w:beforeAutospacing="0" w:after="0" w:afterAutospacing="0" w:line="360" w:lineRule="auto"/>
        <w:ind w:firstLine="420"/>
        <w:jc w:val="both"/>
        <w:divId w:val="89205855"/>
        <w:rPr>
          <w:sz w:val="21"/>
          <w:szCs w:val="21"/>
        </w:rPr>
      </w:pPr>
      <w:r>
        <w:rPr>
          <w:rFonts w:hint="eastAsia"/>
          <w:sz w:val="18"/>
          <w:szCs w:val="18"/>
        </w:rPr>
        <w:t>（</w:t>
      </w:r>
      <w:r>
        <w:rPr>
          <w:rFonts w:ascii="Times New Roman" w:hAnsi="Times New Roman" w:cs="Times New Roman"/>
          <w:sz w:val="18"/>
          <w:szCs w:val="18"/>
        </w:rPr>
        <w:t>4</w:t>
      </w:r>
      <w:r>
        <w:rPr>
          <w:rFonts w:hint="eastAsia"/>
          <w:sz w:val="18"/>
          <w:szCs w:val="18"/>
        </w:rPr>
        <w:t>）有足够的技术、财务资源和其他资源支持，以完成该无形资产的开发，并有能力使用或出售该无形资产；</w:t>
      </w:r>
    </w:p>
    <w:p w:rsidR="000F627F" w:rsidRDefault="000F627F">
      <w:pPr>
        <w:pStyle w:val="a3"/>
        <w:spacing w:before="0" w:beforeAutospacing="0" w:after="0" w:afterAutospacing="0" w:line="360" w:lineRule="auto"/>
        <w:ind w:firstLine="420"/>
        <w:jc w:val="both"/>
        <w:divId w:val="89205855"/>
        <w:rPr>
          <w:sz w:val="21"/>
          <w:szCs w:val="21"/>
        </w:rPr>
      </w:pPr>
      <w:r>
        <w:rPr>
          <w:rFonts w:hint="eastAsia"/>
          <w:sz w:val="18"/>
          <w:szCs w:val="18"/>
        </w:rPr>
        <w:t>（</w:t>
      </w:r>
      <w:r>
        <w:rPr>
          <w:rFonts w:ascii="Times New Roman" w:hAnsi="Times New Roman" w:cs="Times New Roman"/>
          <w:sz w:val="18"/>
          <w:szCs w:val="18"/>
        </w:rPr>
        <w:t>5</w:t>
      </w:r>
      <w:r>
        <w:rPr>
          <w:rFonts w:hint="eastAsia"/>
          <w:sz w:val="18"/>
          <w:szCs w:val="18"/>
        </w:rPr>
        <w:t>）归属于该无形资产开发阶段的支出能够可靠地计量。</w:t>
      </w:r>
    </w:p>
    <w:p w:rsidR="000F627F" w:rsidRDefault="000F627F">
      <w:pPr>
        <w:pStyle w:val="a3"/>
        <w:spacing w:before="0" w:beforeAutospacing="0" w:after="0" w:afterAutospacing="0" w:line="360" w:lineRule="auto"/>
        <w:ind w:firstLine="420"/>
        <w:jc w:val="both"/>
        <w:divId w:val="89205855"/>
        <w:rPr>
          <w:sz w:val="21"/>
          <w:szCs w:val="21"/>
        </w:rPr>
      </w:pPr>
      <w:r>
        <w:rPr>
          <w:rFonts w:hint="eastAsia"/>
          <w:sz w:val="18"/>
          <w:szCs w:val="18"/>
        </w:rPr>
        <w:t>不满足上述条件的开发阶段的支出，于发生时计入当期损益。无法区分研究阶段支出和开发阶段支出的，将发生的研发支出全部计入当期损益。内部开发活动形成的无形资产的成本仅包括满足资本化条件的时点至无形资产达到预定用途前发生的支出总额，对于同一项无形资产在开发过程中达到资本化条件之前已经费用化计入损益的支出不再进行调整。</w:t>
      </w:r>
    </w:p>
    <w:p w:rsidR="000D58D8" w:rsidRDefault="000F627F">
      <w:pPr>
        <w:pStyle w:val="3"/>
        <w:spacing w:line="280" w:lineRule="exact"/>
        <w:jc w:val="left"/>
        <w:rPr>
          <w:rFonts w:ascii="宋体" w:hAnsi="宋体" w:cs="宋体"/>
          <w:b/>
          <w:bCs/>
        </w:rPr>
      </w:pPr>
      <w:bookmarkStart w:id="211" w:name="_Toc989098"/>
      <w:r>
        <w:rPr>
          <w:rFonts w:ascii="宋体" w:hAnsi="宋体" w:cs="宋体"/>
          <w:b/>
          <w:bCs/>
        </w:rPr>
        <w:t>30、长期资产减值</w:t>
      </w:r>
      <w:bookmarkEnd w:id="211"/>
    </w:p>
    <w:p w:rsidR="000F627F" w:rsidRDefault="000F627F">
      <w:pPr>
        <w:pStyle w:val="a3"/>
        <w:spacing w:before="0" w:beforeAutospacing="0" w:after="0" w:afterAutospacing="0" w:line="360" w:lineRule="auto"/>
        <w:ind w:firstLine="420"/>
        <w:jc w:val="both"/>
        <w:divId w:val="1539391157"/>
        <w:rPr>
          <w:sz w:val="21"/>
          <w:szCs w:val="21"/>
        </w:rPr>
      </w:pPr>
      <w:r>
        <w:rPr>
          <w:rFonts w:hint="eastAsia"/>
          <w:sz w:val="18"/>
          <w:szCs w:val="18"/>
        </w:rPr>
        <w:t>本公司在每一个资产负债表日</w:t>
      </w:r>
      <w:proofErr w:type="gramStart"/>
      <w:r>
        <w:rPr>
          <w:rFonts w:hint="eastAsia"/>
          <w:sz w:val="18"/>
          <w:szCs w:val="18"/>
        </w:rPr>
        <w:t>检查长</w:t>
      </w:r>
      <w:proofErr w:type="gramEnd"/>
      <w:r>
        <w:rPr>
          <w:rFonts w:hint="eastAsia"/>
          <w:sz w:val="18"/>
          <w:szCs w:val="18"/>
        </w:rPr>
        <w:t>期股权投资、采用成本法计量的投资性房地产、固定资产、在建工程、使用寿命确定的无形资产是否存在可能发生减值的迹象。如果长期资产存在减值迹象，则以单项资产为基础估计其可收回金额；难以对单项资产的可收回金额进行估计的，以该资产所属的资产组为基础确定资产组的可收回金额。</w:t>
      </w:r>
    </w:p>
    <w:p w:rsidR="000F627F" w:rsidRDefault="000F627F">
      <w:pPr>
        <w:pStyle w:val="a3"/>
        <w:spacing w:before="0" w:beforeAutospacing="0" w:after="0" w:afterAutospacing="0" w:line="360" w:lineRule="auto"/>
        <w:ind w:firstLine="420"/>
        <w:jc w:val="both"/>
        <w:divId w:val="1539391157"/>
        <w:rPr>
          <w:sz w:val="21"/>
          <w:szCs w:val="21"/>
        </w:rPr>
      </w:pPr>
      <w:r>
        <w:rPr>
          <w:rFonts w:hint="eastAsia"/>
          <w:sz w:val="18"/>
          <w:szCs w:val="18"/>
        </w:rPr>
        <w:t>资产可收回金额的估计，根据其公允价值减去处置费用后的净额与资产预计未来现金流量的现值两者之间较高者确定。</w:t>
      </w:r>
    </w:p>
    <w:p w:rsidR="000F627F" w:rsidRDefault="000F627F">
      <w:pPr>
        <w:pStyle w:val="a3"/>
        <w:spacing w:before="0" w:beforeAutospacing="0" w:after="0" w:afterAutospacing="0" w:line="360" w:lineRule="auto"/>
        <w:ind w:firstLine="420"/>
        <w:jc w:val="both"/>
        <w:divId w:val="1539391157"/>
        <w:rPr>
          <w:sz w:val="21"/>
          <w:szCs w:val="21"/>
        </w:rPr>
      </w:pPr>
      <w:r>
        <w:rPr>
          <w:rFonts w:hint="eastAsia"/>
          <w:sz w:val="18"/>
          <w:szCs w:val="18"/>
        </w:rPr>
        <w:lastRenderedPageBreak/>
        <w:t>可收回金额的计量结果表明，长期资产的可收回金额低于其账面价值的，将长期资产的账面价值</w:t>
      </w:r>
      <w:proofErr w:type="gramStart"/>
      <w:r>
        <w:rPr>
          <w:rFonts w:hint="eastAsia"/>
          <w:sz w:val="18"/>
          <w:szCs w:val="18"/>
        </w:rPr>
        <w:t>减记至</w:t>
      </w:r>
      <w:proofErr w:type="gramEnd"/>
      <w:r>
        <w:rPr>
          <w:rFonts w:hint="eastAsia"/>
          <w:sz w:val="18"/>
          <w:szCs w:val="18"/>
        </w:rPr>
        <w:t>可收回金额，</w:t>
      </w:r>
      <w:proofErr w:type="gramStart"/>
      <w:r>
        <w:rPr>
          <w:rFonts w:hint="eastAsia"/>
          <w:sz w:val="18"/>
          <w:szCs w:val="18"/>
        </w:rPr>
        <w:t>减记的</w:t>
      </w:r>
      <w:proofErr w:type="gramEnd"/>
      <w:r>
        <w:rPr>
          <w:rFonts w:hint="eastAsia"/>
          <w:sz w:val="18"/>
          <w:szCs w:val="18"/>
        </w:rPr>
        <w:t>金额确认为资产减值损失，计入当期损益，同时计提相应的资产减值准备。资产减值损失一经确认，在以后会计期间不得转回。</w:t>
      </w:r>
    </w:p>
    <w:p w:rsidR="000F627F" w:rsidRDefault="000F627F">
      <w:pPr>
        <w:pStyle w:val="a3"/>
        <w:spacing w:before="0" w:beforeAutospacing="0" w:after="0" w:afterAutospacing="0" w:line="360" w:lineRule="auto"/>
        <w:ind w:firstLine="420"/>
        <w:jc w:val="both"/>
        <w:divId w:val="1539391157"/>
        <w:rPr>
          <w:sz w:val="21"/>
          <w:szCs w:val="21"/>
        </w:rPr>
      </w:pPr>
      <w:r>
        <w:rPr>
          <w:rFonts w:hint="eastAsia"/>
          <w:sz w:val="18"/>
          <w:szCs w:val="18"/>
        </w:rPr>
        <w:t>资产减值损失确认后，减值资产的折旧或者摊销费用在未来期间作相应调整，以使该资产在剩余使用寿命内，系统地分摊调整后的资产账面价值（扣除预计净残值）。</w:t>
      </w:r>
    </w:p>
    <w:p w:rsidR="000F627F" w:rsidRDefault="000F627F">
      <w:pPr>
        <w:pStyle w:val="a3"/>
        <w:spacing w:before="0" w:beforeAutospacing="0" w:after="0" w:afterAutospacing="0" w:line="360" w:lineRule="auto"/>
        <w:ind w:firstLine="420"/>
        <w:jc w:val="both"/>
        <w:divId w:val="1539391157"/>
        <w:rPr>
          <w:sz w:val="21"/>
          <w:szCs w:val="21"/>
        </w:rPr>
      </w:pPr>
      <w:r>
        <w:rPr>
          <w:rFonts w:hint="eastAsia"/>
          <w:sz w:val="18"/>
          <w:szCs w:val="18"/>
        </w:rPr>
        <w:t>因企业合并所形成的商誉和使用寿命不确定的无形资产，无论是否存在减值迹象，每年都进行减值测试。</w:t>
      </w:r>
    </w:p>
    <w:p w:rsidR="000F627F" w:rsidRDefault="000F627F">
      <w:pPr>
        <w:pStyle w:val="a3"/>
        <w:divId w:val="1539391157"/>
        <w:rPr>
          <w:sz w:val="18"/>
          <w:szCs w:val="18"/>
        </w:rPr>
      </w:pPr>
      <w:r>
        <w:rPr>
          <w:rFonts w:hint="eastAsia"/>
          <w:sz w:val="18"/>
          <w:szCs w:val="18"/>
        </w:rPr>
        <w:t>在对商誉进行减值测试时，将商誉的账面价值分摊至预期从企业合并的协同效应中受益的资产组或资产组组合。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w:t>
      </w:r>
      <w:proofErr w:type="gramStart"/>
      <w:r>
        <w:rPr>
          <w:rFonts w:hint="eastAsia"/>
          <w:sz w:val="18"/>
          <w:szCs w:val="18"/>
        </w:rPr>
        <w:t>与其可</w:t>
      </w:r>
      <w:proofErr w:type="gramEnd"/>
      <w:r>
        <w:rPr>
          <w:rFonts w:hint="eastAsia"/>
          <w:sz w:val="18"/>
          <w:szCs w:val="18"/>
        </w:rPr>
        <w:t xml:space="preserve">收回金额，如相关资产组或者资产组组合的可收回金额低于其账面价值的，确认商誉的减值损失。 </w:t>
      </w:r>
    </w:p>
    <w:p w:rsidR="000D58D8" w:rsidRDefault="000F627F">
      <w:pPr>
        <w:pStyle w:val="3"/>
        <w:spacing w:line="280" w:lineRule="exact"/>
        <w:jc w:val="left"/>
        <w:rPr>
          <w:rFonts w:ascii="宋体" w:hAnsi="宋体" w:cs="宋体"/>
          <w:b/>
          <w:bCs/>
        </w:rPr>
      </w:pPr>
      <w:bookmarkStart w:id="212" w:name="_Toc989099"/>
      <w:r>
        <w:rPr>
          <w:rFonts w:ascii="宋体" w:hAnsi="宋体" w:cs="宋体"/>
          <w:b/>
          <w:bCs/>
        </w:rPr>
        <w:t>31、长期待摊费用</w:t>
      </w:r>
      <w:bookmarkEnd w:id="212"/>
    </w:p>
    <w:p w:rsidR="000F627F" w:rsidRDefault="000F627F">
      <w:pPr>
        <w:widowControl/>
        <w:numPr>
          <w:ilvl w:val="0"/>
          <w:numId w:val="90"/>
        </w:numPr>
        <w:spacing w:before="100" w:beforeAutospacing="1" w:after="100" w:afterAutospacing="1"/>
        <w:divId w:val="1175077075"/>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摊销方法</w:t>
      </w:r>
    </w:p>
    <w:p w:rsidR="000F627F" w:rsidRDefault="000F627F">
      <w:pPr>
        <w:pStyle w:val="a3"/>
        <w:spacing w:before="0" w:beforeAutospacing="0" w:after="0" w:afterAutospacing="0" w:line="360" w:lineRule="auto"/>
        <w:ind w:firstLine="420"/>
        <w:jc w:val="both"/>
        <w:divId w:val="1175077075"/>
        <w:rPr>
          <w:sz w:val="21"/>
          <w:szCs w:val="21"/>
        </w:rPr>
      </w:pPr>
      <w:r>
        <w:rPr>
          <w:rFonts w:hint="eastAsia"/>
          <w:sz w:val="18"/>
          <w:szCs w:val="18"/>
        </w:rPr>
        <w:t>长期待</w:t>
      </w:r>
      <w:r>
        <w:rPr>
          <w:rFonts w:ascii="Times New Roman" w:hAnsi="Times New Roman" w:cs="Times New Roman"/>
          <w:sz w:val="18"/>
          <w:szCs w:val="18"/>
        </w:rPr>
        <w:t xml:space="preserve">    </w:t>
      </w:r>
      <w:r>
        <w:rPr>
          <w:rFonts w:hint="eastAsia"/>
          <w:sz w:val="18"/>
          <w:szCs w:val="18"/>
        </w:rPr>
        <w:t>摊费用，是指本公司已经发生但应由本期和以后各期负担的分摊期限在</w:t>
      </w:r>
      <w:r>
        <w:rPr>
          <w:rFonts w:ascii="Times New Roman" w:hAnsi="Times New Roman" w:cs="Times New Roman"/>
          <w:sz w:val="18"/>
          <w:szCs w:val="18"/>
        </w:rPr>
        <w:t>1</w:t>
      </w:r>
      <w:r>
        <w:rPr>
          <w:rFonts w:hint="eastAsia"/>
          <w:sz w:val="18"/>
          <w:szCs w:val="18"/>
        </w:rPr>
        <w:t>年以上的各项费用。长期待摊费用在受益期内按直线法分期摊销。</w:t>
      </w:r>
    </w:p>
    <w:p w:rsidR="000F627F" w:rsidRDefault="000F627F">
      <w:pPr>
        <w:widowControl/>
        <w:numPr>
          <w:ilvl w:val="0"/>
          <w:numId w:val="91"/>
        </w:numPr>
        <w:spacing w:before="100" w:beforeAutospacing="1" w:after="100" w:afterAutospacing="1"/>
        <w:divId w:val="1175077075"/>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摊销年限</w:t>
      </w:r>
    </w:p>
    <w:tbl>
      <w:tblPr>
        <w:tblW w:w="9088" w:type="dxa"/>
        <w:jc w:val="center"/>
        <w:tblCellMar>
          <w:left w:w="0" w:type="dxa"/>
          <w:right w:w="0" w:type="dxa"/>
        </w:tblCellMar>
        <w:tblLook w:val="04A0" w:firstRow="1" w:lastRow="0" w:firstColumn="1" w:lastColumn="0" w:noHBand="0" w:noVBand="1"/>
        <w:tblCaption w:val="D:\大华\华孚\2023年度\TB|0-合并TB-华孚时尚股份有限公司-2023年度.xlsx|W附注模板|_jds16|0|desc|||0|1"/>
      </w:tblPr>
      <w:tblGrid>
        <w:gridCol w:w="2845"/>
        <w:gridCol w:w="2845"/>
        <w:gridCol w:w="3398"/>
      </w:tblGrid>
      <w:tr w:rsidR="000F627F" w:rsidTr="00134FC9">
        <w:trPr>
          <w:divId w:val="1175077075"/>
          <w:trHeight w:val="340"/>
          <w:tblHeader/>
          <w:jc w:val="center"/>
        </w:trPr>
        <w:tc>
          <w:tcPr>
            <w:tcW w:w="2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类别</w:t>
            </w:r>
          </w:p>
        </w:tc>
        <w:tc>
          <w:tcPr>
            <w:tcW w:w="28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摊销年限</w:t>
            </w:r>
          </w:p>
        </w:tc>
        <w:tc>
          <w:tcPr>
            <w:tcW w:w="33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备注</w:t>
            </w:r>
          </w:p>
        </w:tc>
      </w:tr>
      <w:tr w:rsidR="000F627F" w:rsidTr="00134FC9">
        <w:trPr>
          <w:divId w:val="1175077075"/>
          <w:trHeight w:val="340"/>
          <w:jc w:val="center"/>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装修费</w:t>
            </w:r>
          </w:p>
        </w:tc>
        <w:tc>
          <w:tcPr>
            <w:tcW w:w="2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ascii="Times New Roman" w:hAnsi="Times New Roman" w:cs="Times New Roman"/>
                <w:sz w:val="18"/>
                <w:szCs w:val="18"/>
              </w:rPr>
              <w:t>3-5</w:t>
            </w:r>
            <w:r>
              <w:rPr>
                <w:rFonts w:cs="Times New Roman" w:hint="eastAsia"/>
                <w:sz w:val="18"/>
                <w:szCs w:val="18"/>
              </w:rPr>
              <w:t>年</w:t>
            </w:r>
          </w:p>
        </w:tc>
        <w:tc>
          <w:tcPr>
            <w:tcW w:w="3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ind w:firstLine="424"/>
              <w:jc w:val="center"/>
              <w:rPr>
                <w:rFonts w:ascii="Times New Roman" w:hAnsi="Times New Roman" w:cs="Times New Roman"/>
                <w:sz w:val="21"/>
                <w:szCs w:val="21"/>
              </w:rPr>
            </w:pPr>
            <w:r>
              <w:rPr>
                <w:rFonts w:ascii="Times New Roman" w:hAnsi="Times New Roman" w:cs="Times New Roman"/>
                <w:sz w:val="21"/>
                <w:szCs w:val="21"/>
              </w:rPr>
              <w:t> </w:t>
            </w:r>
          </w:p>
        </w:tc>
      </w:tr>
      <w:tr w:rsidR="000F627F" w:rsidTr="00134FC9">
        <w:trPr>
          <w:divId w:val="1175077075"/>
          <w:trHeight w:val="340"/>
          <w:jc w:val="center"/>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机物料</w:t>
            </w:r>
          </w:p>
        </w:tc>
        <w:tc>
          <w:tcPr>
            <w:tcW w:w="2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ascii="Times New Roman" w:hAnsi="Times New Roman" w:cs="Times New Roman"/>
                <w:sz w:val="18"/>
                <w:szCs w:val="18"/>
              </w:rPr>
              <w:t>3-5</w:t>
            </w:r>
            <w:r>
              <w:rPr>
                <w:rFonts w:cs="Times New Roman" w:hint="eastAsia"/>
                <w:sz w:val="18"/>
                <w:szCs w:val="18"/>
              </w:rPr>
              <w:t>年</w:t>
            </w:r>
          </w:p>
        </w:tc>
        <w:tc>
          <w:tcPr>
            <w:tcW w:w="3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ind w:firstLine="424"/>
              <w:jc w:val="center"/>
              <w:rPr>
                <w:rFonts w:ascii="Times New Roman" w:hAnsi="Times New Roman" w:cs="Times New Roman"/>
                <w:sz w:val="21"/>
                <w:szCs w:val="21"/>
              </w:rPr>
            </w:pPr>
            <w:r>
              <w:rPr>
                <w:rFonts w:ascii="Times New Roman" w:hAnsi="Times New Roman" w:cs="Times New Roman"/>
                <w:sz w:val="21"/>
                <w:szCs w:val="21"/>
              </w:rPr>
              <w:t> </w:t>
            </w:r>
          </w:p>
        </w:tc>
      </w:tr>
      <w:tr w:rsidR="000F627F" w:rsidTr="00134FC9">
        <w:trPr>
          <w:divId w:val="1175077075"/>
          <w:trHeight w:val="340"/>
          <w:jc w:val="center"/>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其他</w:t>
            </w:r>
          </w:p>
        </w:tc>
        <w:tc>
          <w:tcPr>
            <w:tcW w:w="2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ascii="Times New Roman" w:hAnsi="Times New Roman" w:cs="Times New Roman"/>
                <w:sz w:val="18"/>
                <w:szCs w:val="18"/>
              </w:rPr>
              <w:t>2-5</w:t>
            </w:r>
            <w:r>
              <w:rPr>
                <w:rFonts w:cs="Times New Roman" w:hint="eastAsia"/>
                <w:sz w:val="18"/>
                <w:szCs w:val="18"/>
              </w:rPr>
              <w:t>年</w:t>
            </w:r>
          </w:p>
        </w:tc>
        <w:tc>
          <w:tcPr>
            <w:tcW w:w="3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ind w:firstLine="424"/>
              <w:jc w:val="center"/>
              <w:rPr>
                <w:rFonts w:ascii="Times New Roman" w:hAnsi="Times New Roman" w:cs="Times New Roman"/>
                <w:sz w:val="21"/>
                <w:szCs w:val="21"/>
              </w:rPr>
            </w:pPr>
            <w:r>
              <w:rPr>
                <w:rFonts w:ascii="Times New Roman" w:hAnsi="Times New Roman" w:cs="Times New Roman"/>
                <w:sz w:val="21"/>
                <w:szCs w:val="21"/>
              </w:rPr>
              <w:t> </w:t>
            </w:r>
          </w:p>
        </w:tc>
      </w:tr>
    </w:tbl>
    <w:p w:rsidR="000D58D8" w:rsidRDefault="000F627F">
      <w:pPr>
        <w:pStyle w:val="3"/>
        <w:spacing w:line="280" w:lineRule="exact"/>
        <w:jc w:val="left"/>
        <w:rPr>
          <w:rFonts w:ascii="宋体" w:hAnsi="宋体" w:cs="宋体"/>
          <w:b/>
          <w:bCs/>
        </w:rPr>
      </w:pPr>
      <w:bookmarkStart w:id="213" w:name="_Toc989100"/>
      <w:r>
        <w:rPr>
          <w:rFonts w:ascii="宋体" w:hAnsi="宋体" w:cs="宋体"/>
          <w:b/>
          <w:bCs/>
        </w:rPr>
        <w:t>32、合同负债</w:t>
      </w:r>
      <w:bookmarkEnd w:id="213"/>
    </w:p>
    <w:p w:rsidR="000F627F" w:rsidRDefault="000F627F">
      <w:pPr>
        <w:pStyle w:val="a3"/>
        <w:spacing w:before="0" w:beforeAutospacing="0" w:after="0" w:afterAutospacing="0" w:line="360" w:lineRule="auto"/>
        <w:ind w:firstLine="420"/>
        <w:jc w:val="both"/>
        <w:divId w:val="130097057"/>
        <w:rPr>
          <w:sz w:val="21"/>
          <w:szCs w:val="21"/>
        </w:rPr>
      </w:pPr>
      <w:r>
        <w:rPr>
          <w:rFonts w:hint="eastAsia"/>
          <w:sz w:val="18"/>
          <w:szCs w:val="18"/>
        </w:rPr>
        <w:t>本公司将已收或应收客户对价而应向客户转让商品的义务部分确认为合同负债。</w:t>
      </w:r>
    </w:p>
    <w:p w:rsidR="000D58D8" w:rsidRDefault="000F627F">
      <w:pPr>
        <w:pStyle w:val="3"/>
        <w:spacing w:line="280" w:lineRule="exact"/>
        <w:jc w:val="left"/>
        <w:rPr>
          <w:rFonts w:ascii="宋体" w:hAnsi="宋体" w:cs="宋体"/>
          <w:b/>
          <w:bCs/>
        </w:rPr>
      </w:pPr>
      <w:bookmarkStart w:id="214" w:name="_Toc989101"/>
      <w:r>
        <w:rPr>
          <w:rFonts w:ascii="宋体" w:hAnsi="宋体" w:cs="宋体"/>
          <w:b/>
          <w:bCs/>
        </w:rPr>
        <w:t>33、职工薪</w:t>
      </w:r>
      <w:proofErr w:type="gramStart"/>
      <w:r>
        <w:rPr>
          <w:rFonts w:ascii="宋体" w:hAnsi="宋体" w:cs="宋体"/>
          <w:b/>
          <w:bCs/>
        </w:rPr>
        <w:t>酬</w:t>
      </w:r>
      <w:bookmarkEnd w:id="214"/>
      <w:proofErr w:type="gramEnd"/>
    </w:p>
    <w:p w:rsidR="000D58D8" w:rsidRDefault="000F627F">
      <w:pPr>
        <w:keepNext/>
        <w:keepLines/>
        <w:spacing w:before="300" w:after="300" w:line="280" w:lineRule="exact"/>
        <w:outlineLvl w:val="3"/>
        <w:rPr>
          <w:rFonts w:ascii="宋体" w:eastAsia="宋体" w:hAnsi="宋体" w:cs="宋体"/>
          <w:b/>
          <w:bCs/>
          <w:szCs w:val="21"/>
        </w:rPr>
      </w:pPr>
      <w:bookmarkStart w:id="215" w:name="_Toc989102"/>
      <w:r>
        <w:rPr>
          <w:rFonts w:ascii="宋体" w:eastAsia="宋体" w:hAnsi="宋体" w:cs="宋体"/>
          <w:b/>
          <w:bCs/>
          <w:szCs w:val="21"/>
        </w:rPr>
        <w:t>（1） 短期薪酬的会计处理方法</w:t>
      </w:r>
      <w:bookmarkEnd w:id="215"/>
    </w:p>
    <w:p w:rsidR="000F627F" w:rsidRDefault="000F627F">
      <w:pPr>
        <w:pStyle w:val="a3"/>
        <w:spacing w:before="0" w:beforeAutospacing="0" w:after="0" w:afterAutospacing="0" w:line="360" w:lineRule="auto"/>
        <w:ind w:firstLine="420"/>
        <w:jc w:val="both"/>
        <w:divId w:val="41095931"/>
        <w:rPr>
          <w:rFonts w:ascii="Times New Roman" w:hAnsi="Times New Roman" w:cs="Times New Roman"/>
          <w:sz w:val="21"/>
          <w:szCs w:val="21"/>
        </w:rPr>
      </w:pPr>
      <w:r>
        <w:rPr>
          <w:rFonts w:cs="Times New Roman" w:hint="eastAsia"/>
          <w:sz w:val="18"/>
          <w:szCs w:val="18"/>
        </w:rPr>
        <w:t>短期薪酬是指本公司在职工提供相关服务的年度报告期间结束后十二个月内需要全部予以支付的职工薪酬，离职后福利和辞退福利除外。本公司在职工提供服务的会计期间，将应付的短期薪酬确认为负债，并根据职工提供服务的受益对象计入相关资产成本和费用。</w:t>
      </w:r>
    </w:p>
    <w:p w:rsidR="000D58D8" w:rsidRDefault="000F627F">
      <w:pPr>
        <w:keepNext/>
        <w:keepLines/>
        <w:spacing w:before="300" w:after="300" w:line="280" w:lineRule="exact"/>
        <w:outlineLvl w:val="3"/>
        <w:rPr>
          <w:rFonts w:ascii="宋体" w:eastAsia="宋体" w:hAnsi="宋体" w:cs="宋体"/>
          <w:b/>
          <w:bCs/>
          <w:szCs w:val="21"/>
        </w:rPr>
      </w:pPr>
      <w:bookmarkStart w:id="216" w:name="_Toc989103"/>
      <w:r>
        <w:rPr>
          <w:rFonts w:ascii="宋体" w:eastAsia="宋体" w:hAnsi="宋体" w:cs="宋体"/>
          <w:b/>
          <w:bCs/>
          <w:szCs w:val="21"/>
        </w:rPr>
        <w:lastRenderedPageBreak/>
        <w:t>（2） 离职后福利的会计处理方法</w:t>
      </w:r>
      <w:bookmarkEnd w:id="216"/>
    </w:p>
    <w:p w:rsidR="000F627F" w:rsidRDefault="000F627F">
      <w:pPr>
        <w:pStyle w:val="a3"/>
        <w:spacing w:before="0" w:beforeAutospacing="0" w:after="0" w:afterAutospacing="0" w:line="360" w:lineRule="auto"/>
        <w:ind w:firstLine="420"/>
        <w:jc w:val="both"/>
        <w:divId w:val="1139960623"/>
        <w:rPr>
          <w:rFonts w:ascii="Times New Roman" w:hAnsi="Times New Roman" w:cs="Times New Roman"/>
          <w:sz w:val="21"/>
          <w:szCs w:val="21"/>
        </w:rPr>
      </w:pPr>
      <w:r>
        <w:rPr>
          <w:rFonts w:cs="Times New Roman" w:hint="eastAsia"/>
          <w:sz w:val="18"/>
          <w:szCs w:val="18"/>
        </w:rPr>
        <w:t>离职后福利是指本公司为获得职工提供的服务而在职工退休或与企业解除劳动关系后，提供的各种形式的报酬和福利，短期</w:t>
      </w:r>
      <w:proofErr w:type="gramStart"/>
      <w:r>
        <w:rPr>
          <w:rFonts w:cs="Times New Roman" w:hint="eastAsia"/>
          <w:sz w:val="18"/>
          <w:szCs w:val="18"/>
        </w:rPr>
        <w:t>薪</w:t>
      </w:r>
      <w:proofErr w:type="gramEnd"/>
      <w:r>
        <w:rPr>
          <w:rFonts w:cs="Times New Roman" w:hint="eastAsia"/>
          <w:sz w:val="18"/>
          <w:szCs w:val="18"/>
        </w:rPr>
        <w:t>酬和辞退福利除外。</w:t>
      </w:r>
    </w:p>
    <w:p w:rsidR="000F627F" w:rsidRDefault="000F627F">
      <w:pPr>
        <w:pStyle w:val="a3"/>
        <w:spacing w:before="0" w:beforeAutospacing="0" w:after="0" w:afterAutospacing="0" w:line="360" w:lineRule="auto"/>
        <w:ind w:firstLine="420"/>
        <w:jc w:val="both"/>
        <w:divId w:val="1139960623"/>
        <w:rPr>
          <w:rFonts w:ascii="Times New Roman" w:hAnsi="Times New Roman" w:cs="Times New Roman"/>
          <w:sz w:val="21"/>
          <w:szCs w:val="21"/>
        </w:rPr>
      </w:pPr>
      <w:r>
        <w:rPr>
          <w:rFonts w:cs="Times New Roman" w:hint="eastAsia"/>
          <w:sz w:val="18"/>
          <w:szCs w:val="18"/>
        </w:rPr>
        <w:t>本公司的离职后福利计划分类为设定提存计划和设定受益计划。</w:t>
      </w:r>
    </w:p>
    <w:p w:rsidR="000F627F" w:rsidRDefault="000F627F">
      <w:pPr>
        <w:pStyle w:val="a3"/>
        <w:spacing w:before="0" w:beforeAutospacing="0" w:after="0" w:afterAutospacing="0" w:line="360" w:lineRule="auto"/>
        <w:ind w:firstLine="420"/>
        <w:jc w:val="both"/>
        <w:divId w:val="1139960623"/>
        <w:rPr>
          <w:rFonts w:ascii="Times New Roman" w:hAnsi="Times New Roman" w:cs="Times New Roman"/>
          <w:sz w:val="21"/>
          <w:szCs w:val="21"/>
        </w:rPr>
      </w:pPr>
      <w:r>
        <w:rPr>
          <w:rFonts w:cs="Times New Roman" w:hint="eastAsia"/>
          <w:sz w:val="18"/>
          <w:szCs w:val="18"/>
        </w:rPr>
        <w:t>离职后福利设定提存计划主要为参加由各地劳动及社会保障机构组织实施的社会基本养老保险、失业保险等；在职工为本公司提供服务的会计期间，将根据设定提存计划计算的应缴存金额确认为负债，并计入当期损益或相关资产成本。</w:t>
      </w:r>
    </w:p>
    <w:p w:rsidR="000F627F" w:rsidRDefault="000F627F">
      <w:pPr>
        <w:pStyle w:val="a3"/>
        <w:spacing w:before="0" w:beforeAutospacing="0" w:after="0" w:afterAutospacing="0" w:line="360" w:lineRule="auto"/>
        <w:ind w:firstLine="420"/>
        <w:jc w:val="both"/>
        <w:divId w:val="1139960623"/>
        <w:rPr>
          <w:rFonts w:ascii="Times New Roman" w:hAnsi="Times New Roman" w:cs="Times New Roman"/>
          <w:sz w:val="21"/>
          <w:szCs w:val="21"/>
        </w:rPr>
      </w:pPr>
      <w:r>
        <w:rPr>
          <w:rFonts w:cs="Times New Roman" w:hint="eastAsia"/>
          <w:sz w:val="18"/>
          <w:szCs w:val="18"/>
        </w:rPr>
        <w:t>本公司按照国家规定的标准定期缴付上述款项后，不再有其他的支付义务。</w:t>
      </w:r>
    </w:p>
    <w:p w:rsidR="000D58D8" w:rsidRDefault="000F627F">
      <w:pPr>
        <w:keepNext/>
        <w:keepLines/>
        <w:spacing w:before="300" w:after="300" w:line="280" w:lineRule="exact"/>
        <w:outlineLvl w:val="3"/>
        <w:rPr>
          <w:rFonts w:ascii="宋体" w:eastAsia="宋体" w:hAnsi="宋体" w:cs="宋体"/>
          <w:b/>
          <w:bCs/>
          <w:szCs w:val="21"/>
        </w:rPr>
      </w:pPr>
      <w:bookmarkStart w:id="217" w:name="_Toc989104"/>
      <w:r>
        <w:rPr>
          <w:rFonts w:ascii="宋体" w:eastAsia="宋体" w:hAnsi="宋体" w:cs="宋体"/>
          <w:b/>
          <w:bCs/>
          <w:szCs w:val="21"/>
        </w:rPr>
        <w:t>（3） 辞退福利的会计处理方法</w:t>
      </w:r>
      <w:bookmarkEnd w:id="217"/>
    </w:p>
    <w:p w:rsidR="000F627F" w:rsidRDefault="000F627F">
      <w:pPr>
        <w:pStyle w:val="a3"/>
        <w:spacing w:before="0" w:beforeAutospacing="0" w:after="0" w:afterAutospacing="0" w:line="360" w:lineRule="auto"/>
        <w:ind w:firstLine="420"/>
        <w:jc w:val="both"/>
        <w:divId w:val="293484315"/>
        <w:rPr>
          <w:rFonts w:ascii="Times New Roman" w:hAnsi="Times New Roman" w:cs="Times New Roman"/>
          <w:sz w:val="21"/>
          <w:szCs w:val="21"/>
        </w:rPr>
      </w:pPr>
      <w:r>
        <w:rPr>
          <w:rFonts w:cs="Times New Roman" w:hint="eastAsia"/>
          <w:sz w:val="18"/>
          <w:szCs w:val="18"/>
        </w:rPr>
        <w:t>辞退福利是指本公司在职工劳动合同到期之前解除与职工的劳动关系，或者为鼓励职工自愿接受裁减而给予职工的补偿，在本公司不能单方面撤回解除劳动关系计划或裁减建议时和确认与涉及支付辞退福利的重组相关的成本费用时两者</w:t>
      </w:r>
      <w:proofErr w:type="gramStart"/>
      <w:r>
        <w:rPr>
          <w:rFonts w:cs="Times New Roman" w:hint="eastAsia"/>
          <w:sz w:val="18"/>
          <w:szCs w:val="18"/>
        </w:rPr>
        <w:t>孰</w:t>
      </w:r>
      <w:proofErr w:type="gramEnd"/>
      <w:r>
        <w:rPr>
          <w:rFonts w:cs="Times New Roman" w:hint="eastAsia"/>
          <w:sz w:val="18"/>
          <w:szCs w:val="18"/>
        </w:rPr>
        <w:t>早日，</w:t>
      </w:r>
      <w:proofErr w:type="gramStart"/>
      <w:r>
        <w:rPr>
          <w:rFonts w:cs="Times New Roman" w:hint="eastAsia"/>
          <w:sz w:val="18"/>
          <w:szCs w:val="18"/>
        </w:rPr>
        <w:t>确认因</w:t>
      </w:r>
      <w:proofErr w:type="gramEnd"/>
      <w:r>
        <w:rPr>
          <w:rFonts w:cs="Times New Roman" w:hint="eastAsia"/>
          <w:sz w:val="18"/>
          <w:szCs w:val="18"/>
        </w:rPr>
        <w:t>解除与职工的劳动关系给予补偿而产生的负债，同时计入当期损益。</w:t>
      </w:r>
    </w:p>
    <w:p w:rsidR="000F627F" w:rsidRDefault="000F627F">
      <w:pPr>
        <w:pStyle w:val="a3"/>
        <w:spacing w:before="0" w:beforeAutospacing="0" w:after="0" w:afterAutospacing="0" w:line="360" w:lineRule="auto"/>
        <w:ind w:firstLine="420"/>
        <w:jc w:val="both"/>
        <w:divId w:val="293484315"/>
        <w:rPr>
          <w:rFonts w:ascii="Times New Roman" w:hAnsi="Times New Roman" w:cs="Times New Roman"/>
          <w:sz w:val="21"/>
          <w:szCs w:val="21"/>
        </w:rPr>
      </w:pPr>
      <w:r>
        <w:rPr>
          <w:rFonts w:cs="Times New Roman" w:hint="eastAsia"/>
          <w:sz w:val="18"/>
          <w:szCs w:val="18"/>
        </w:rPr>
        <w:t>本公司向接受内部退休安排的职工提供内退福利。内退福利是指，向未达到国家规定的退休年龄、经本公司管理层批准自愿退出工作岗位的职工支付的工资及为其缴纳的社会保险费等。本公司</w:t>
      </w:r>
      <w:proofErr w:type="gramStart"/>
      <w:r>
        <w:rPr>
          <w:rFonts w:cs="Times New Roman" w:hint="eastAsia"/>
          <w:sz w:val="18"/>
          <w:szCs w:val="18"/>
        </w:rPr>
        <w:t>自内部</w:t>
      </w:r>
      <w:proofErr w:type="gramEnd"/>
      <w:r>
        <w:rPr>
          <w:rFonts w:cs="Times New Roman" w:hint="eastAsia"/>
          <w:sz w:val="18"/>
          <w:szCs w:val="18"/>
        </w:rPr>
        <w:t>退休安排开始之日起</w:t>
      </w:r>
      <w:proofErr w:type="gramStart"/>
      <w:r>
        <w:rPr>
          <w:rFonts w:cs="Times New Roman" w:hint="eastAsia"/>
          <w:sz w:val="18"/>
          <w:szCs w:val="18"/>
        </w:rPr>
        <w:t>至职工</w:t>
      </w:r>
      <w:proofErr w:type="gramEnd"/>
      <w:r>
        <w:rPr>
          <w:rFonts w:cs="Times New Roman" w:hint="eastAsia"/>
          <w:sz w:val="18"/>
          <w:szCs w:val="18"/>
        </w:rPr>
        <w:t>达到正常退休年龄止，向内退职</w:t>
      </w:r>
      <w:proofErr w:type="gramStart"/>
      <w:r>
        <w:rPr>
          <w:rFonts w:cs="Times New Roman" w:hint="eastAsia"/>
          <w:sz w:val="18"/>
          <w:szCs w:val="18"/>
        </w:rPr>
        <w:t>工支付</w:t>
      </w:r>
      <w:proofErr w:type="gramEnd"/>
      <w:r>
        <w:rPr>
          <w:rFonts w:cs="Times New Roman" w:hint="eastAsia"/>
          <w:sz w:val="18"/>
          <w:szCs w:val="18"/>
        </w:rPr>
        <w:t>内部退养福利。对于内退福利，本公司比照辞退福利进行会计处理，在符合辞退福利相关确认条件时，将</w:t>
      </w:r>
      <w:proofErr w:type="gramStart"/>
      <w:r>
        <w:rPr>
          <w:rFonts w:cs="Times New Roman" w:hint="eastAsia"/>
          <w:sz w:val="18"/>
          <w:szCs w:val="18"/>
        </w:rPr>
        <w:t>自职工</w:t>
      </w:r>
      <w:proofErr w:type="gramEnd"/>
      <w:r>
        <w:rPr>
          <w:rFonts w:cs="Times New Roman" w:hint="eastAsia"/>
          <w:sz w:val="18"/>
          <w:szCs w:val="18"/>
        </w:rPr>
        <w:t>停止提供服务日至正常退休日期间</w:t>
      </w:r>
      <w:proofErr w:type="gramStart"/>
      <w:r>
        <w:rPr>
          <w:rFonts w:cs="Times New Roman" w:hint="eastAsia"/>
          <w:sz w:val="18"/>
          <w:szCs w:val="18"/>
        </w:rPr>
        <w:t>拟支付</w:t>
      </w:r>
      <w:proofErr w:type="gramEnd"/>
      <w:r>
        <w:rPr>
          <w:rFonts w:cs="Times New Roman" w:hint="eastAsia"/>
          <w:sz w:val="18"/>
          <w:szCs w:val="18"/>
        </w:rPr>
        <w:t>的内退职工工资和缴纳的社会保险费等，确认为负债，一次性计入当期损益。内退福利的精算假设变化及福利标准调整引起的差异于发生时计入当期损益。</w:t>
      </w:r>
    </w:p>
    <w:p w:rsidR="000D58D8" w:rsidRDefault="000F627F">
      <w:pPr>
        <w:keepNext/>
        <w:keepLines/>
        <w:spacing w:before="300" w:after="300" w:line="280" w:lineRule="exact"/>
        <w:outlineLvl w:val="3"/>
        <w:rPr>
          <w:rFonts w:ascii="宋体" w:eastAsia="宋体" w:hAnsi="宋体" w:cs="宋体"/>
          <w:b/>
          <w:bCs/>
          <w:szCs w:val="21"/>
        </w:rPr>
      </w:pPr>
      <w:bookmarkStart w:id="218" w:name="_Toc989105"/>
      <w:r>
        <w:rPr>
          <w:rFonts w:ascii="宋体" w:eastAsia="宋体" w:hAnsi="宋体" w:cs="宋体"/>
          <w:b/>
          <w:bCs/>
          <w:szCs w:val="21"/>
        </w:rPr>
        <w:t>（4） 其他长期职工福利的会计处理方法</w:t>
      </w:r>
      <w:bookmarkEnd w:id="218"/>
    </w:p>
    <w:p w:rsidR="000F627F" w:rsidRDefault="000F627F">
      <w:pPr>
        <w:pStyle w:val="a3"/>
        <w:spacing w:before="0" w:beforeAutospacing="0" w:after="0" w:afterAutospacing="0" w:line="360" w:lineRule="auto"/>
        <w:ind w:firstLine="420"/>
        <w:jc w:val="both"/>
        <w:divId w:val="818495346"/>
        <w:rPr>
          <w:rFonts w:ascii="Times New Roman" w:hAnsi="Times New Roman" w:cs="Times New Roman"/>
          <w:sz w:val="21"/>
          <w:szCs w:val="21"/>
        </w:rPr>
      </w:pPr>
      <w:r>
        <w:rPr>
          <w:rFonts w:cs="Times New Roman" w:hint="eastAsia"/>
          <w:sz w:val="18"/>
          <w:szCs w:val="18"/>
        </w:rPr>
        <w:t>其他长期职工福利是指除短期薪酬、离职后福利、辞退福利之外的其他所有职工福利。</w:t>
      </w:r>
    </w:p>
    <w:p w:rsidR="000F627F" w:rsidRDefault="000F627F">
      <w:pPr>
        <w:pStyle w:val="a3"/>
        <w:spacing w:before="0" w:beforeAutospacing="0" w:after="0" w:afterAutospacing="0" w:line="360" w:lineRule="auto"/>
        <w:ind w:firstLine="420"/>
        <w:jc w:val="both"/>
        <w:divId w:val="818495346"/>
        <w:rPr>
          <w:rFonts w:ascii="Times New Roman" w:hAnsi="Times New Roman" w:cs="Times New Roman"/>
          <w:sz w:val="21"/>
          <w:szCs w:val="21"/>
        </w:rPr>
      </w:pPr>
      <w:r>
        <w:rPr>
          <w:rFonts w:cs="Times New Roman" w:hint="eastAsia"/>
          <w:sz w:val="18"/>
          <w:szCs w:val="18"/>
        </w:rPr>
        <w:t>对符合设定提存计划条件的其他长期职工福利，在职工为本公司提供服务的会计期间，将应缴存金额确认为负债，并计入当期损益或相关资产成本；除上述情形外的其他长期职工福利，在资产负债表日使用预期累计福利单位法进行精算，将设定受益计划产生的福利义务归属于职工提供服务的期间，并计入当期损益或相关资产成本。</w:t>
      </w:r>
    </w:p>
    <w:p w:rsidR="000D58D8" w:rsidRDefault="000F627F">
      <w:pPr>
        <w:pStyle w:val="3"/>
        <w:spacing w:line="280" w:lineRule="exact"/>
        <w:jc w:val="left"/>
        <w:rPr>
          <w:rFonts w:ascii="宋体" w:hAnsi="宋体" w:cs="宋体"/>
          <w:b/>
          <w:bCs/>
        </w:rPr>
      </w:pPr>
      <w:bookmarkStart w:id="219" w:name="_Toc989106"/>
      <w:r>
        <w:rPr>
          <w:rFonts w:ascii="宋体" w:hAnsi="宋体" w:cs="宋体"/>
          <w:b/>
          <w:bCs/>
        </w:rPr>
        <w:t>34、预计负债</w:t>
      </w:r>
      <w:bookmarkEnd w:id="219"/>
    </w:p>
    <w:p w:rsidR="000F627F" w:rsidRDefault="000F627F">
      <w:pPr>
        <w:widowControl/>
        <w:numPr>
          <w:ilvl w:val="0"/>
          <w:numId w:val="92"/>
        </w:numPr>
        <w:spacing w:before="100" w:beforeAutospacing="1" w:after="100" w:afterAutospacing="1"/>
        <w:divId w:val="977301258"/>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预计负债的确认标准</w:t>
      </w:r>
    </w:p>
    <w:p w:rsidR="000F627F" w:rsidRDefault="000F627F">
      <w:pPr>
        <w:pStyle w:val="a3"/>
        <w:spacing w:before="0" w:beforeAutospacing="0" w:after="0" w:afterAutospacing="0" w:line="360" w:lineRule="auto"/>
        <w:ind w:firstLine="420"/>
        <w:jc w:val="both"/>
        <w:divId w:val="977301258"/>
        <w:rPr>
          <w:sz w:val="21"/>
          <w:szCs w:val="21"/>
        </w:rPr>
      </w:pPr>
      <w:r>
        <w:rPr>
          <w:rFonts w:hint="eastAsia"/>
          <w:sz w:val="18"/>
          <w:szCs w:val="18"/>
        </w:rPr>
        <w:t>当与或有事项相关的义务是本公司承担的现时义务，且履行该义务很可能导致经济利益流出，以及该义务的金额能够可靠地计量，则确认为预计负债。</w:t>
      </w:r>
    </w:p>
    <w:p w:rsidR="000F627F" w:rsidRDefault="000F627F">
      <w:pPr>
        <w:widowControl/>
        <w:numPr>
          <w:ilvl w:val="0"/>
          <w:numId w:val="93"/>
        </w:numPr>
        <w:spacing w:before="100" w:beforeAutospacing="1" w:after="100" w:afterAutospacing="1"/>
        <w:divId w:val="977301258"/>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预计负债的计量方法</w:t>
      </w:r>
    </w:p>
    <w:p w:rsidR="000F627F" w:rsidRDefault="000F627F">
      <w:pPr>
        <w:pStyle w:val="a3"/>
        <w:spacing w:before="0" w:beforeAutospacing="0" w:after="0" w:afterAutospacing="0" w:line="360" w:lineRule="auto"/>
        <w:ind w:firstLine="420"/>
        <w:jc w:val="both"/>
        <w:divId w:val="977301258"/>
        <w:rPr>
          <w:sz w:val="21"/>
          <w:szCs w:val="21"/>
        </w:rPr>
      </w:pPr>
      <w:r>
        <w:rPr>
          <w:rFonts w:hint="eastAsia"/>
          <w:sz w:val="18"/>
          <w:szCs w:val="18"/>
        </w:rPr>
        <w:lastRenderedPageBreak/>
        <w:t>本公司预计负债</w:t>
      </w:r>
      <w:proofErr w:type="gramStart"/>
      <w:r>
        <w:rPr>
          <w:rFonts w:hint="eastAsia"/>
          <w:sz w:val="18"/>
          <w:szCs w:val="18"/>
        </w:rPr>
        <w:t>按履行</w:t>
      </w:r>
      <w:proofErr w:type="gramEnd"/>
      <w:r>
        <w:rPr>
          <w:rFonts w:hint="eastAsia"/>
          <w:sz w:val="18"/>
          <w:szCs w:val="18"/>
        </w:rPr>
        <w:t>相关现时义务所需的支出的最佳估计数进行初始计量。</w:t>
      </w:r>
    </w:p>
    <w:p w:rsidR="000F627F" w:rsidRDefault="000F627F">
      <w:pPr>
        <w:pStyle w:val="a3"/>
        <w:spacing w:before="0" w:beforeAutospacing="0" w:after="0" w:afterAutospacing="0" w:line="360" w:lineRule="auto"/>
        <w:ind w:firstLine="420"/>
        <w:jc w:val="both"/>
        <w:divId w:val="977301258"/>
        <w:rPr>
          <w:sz w:val="21"/>
          <w:szCs w:val="21"/>
        </w:rPr>
      </w:pPr>
      <w:r>
        <w:rPr>
          <w:rFonts w:hint="eastAsia"/>
          <w:sz w:val="18"/>
          <w:szCs w:val="18"/>
        </w:rPr>
        <w:t>本公司在确定最佳估计数时，综合考虑与或有事项有关的风险、不确定性和货币时间价值等因素。对于货币时间价值影响重大的，通过对相关未来现金流出进行折现后确定最佳估计数。</w:t>
      </w:r>
    </w:p>
    <w:p w:rsidR="000F627F" w:rsidRDefault="000F627F">
      <w:pPr>
        <w:pStyle w:val="a3"/>
        <w:spacing w:before="0" w:beforeAutospacing="0" w:after="0" w:afterAutospacing="0" w:line="360" w:lineRule="auto"/>
        <w:ind w:firstLine="420"/>
        <w:jc w:val="both"/>
        <w:divId w:val="977301258"/>
        <w:rPr>
          <w:sz w:val="21"/>
          <w:szCs w:val="21"/>
        </w:rPr>
      </w:pPr>
      <w:r>
        <w:rPr>
          <w:rFonts w:hint="eastAsia"/>
          <w:sz w:val="18"/>
          <w:szCs w:val="18"/>
        </w:rPr>
        <w:t>最佳估计数分别以下情况处理：</w:t>
      </w:r>
    </w:p>
    <w:p w:rsidR="000F627F" w:rsidRDefault="000F627F">
      <w:pPr>
        <w:pStyle w:val="a3"/>
        <w:spacing w:before="0" w:beforeAutospacing="0" w:after="0" w:afterAutospacing="0" w:line="360" w:lineRule="auto"/>
        <w:ind w:firstLine="420"/>
        <w:jc w:val="both"/>
        <w:divId w:val="977301258"/>
        <w:rPr>
          <w:sz w:val="21"/>
          <w:szCs w:val="21"/>
        </w:rPr>
      </w:pPr>
      <w:r>
        <w:rPr>
          <w:rFonts w:hint="eastAsia"/>
          <w:sz w:val="18"/>
          <w:szCs w:val="18"/>
        </w:rPr>
        <w:t>所需支出存在一个连续范围（或区间），且该范围内各种结果发生的可能性相同的，</w:t>
      </w:r>
      <w:proofErr w:type="gramStart"/>
      <w:r>
        <w:rPr>
          <w:rFonts w:hint="eastAsia"/>
          <w:sz w:val="18"/>
          <w:szCs w:val="18"/>
        </w:rPr>
        <w:t>则最佳估计数按照</w:t>
      </w:r>
      <w:proofErr w:type="gramEnd"/>
      <w:r>
        <w:rPr>
          <w:rFonts w:hint="eastAsia"/>
          <w:sz w:val="18"/>
          <w:szCs w:val="18"/>
        </w:rPr>
        <w:t>该范围的中间值即上下限金额的平均数确定。</w:t>
      </w:r>
    </w:p>
    <w:p w:rsidR="000F627F" w:rsidRDefault="000F627F">
      <w:pPr>
        <w:pStyle w:val="a3"/>
        <w:spacing w:before="0" w:beforeAutospacing="0" w:after="0" w:afterAutospacing="0" w:line="360" w:lineRule="auto"/>
        <w:ind w:firstLine="420"/>
        <w:jc w:val="both"/>
        <w:divId w:val="977301258"/>
        <w:rPr>
          <w:sz w:val="21"/>
          <w:szCs w:val="21"/>
        </w:rPr>
      </w:pPr>
      <w:r>
        <w:rPr>
          <w:rFonts w:hint="eastAsia"/>
          <w:sz w:val="18"/>
          <w:szCs w:val="18"/>
        </w:rPr>
        <w:t>所需支出不存在一个连续范围（或区间），或虽然存在一个连续范围但该范围内各种结果发生的可能性不相同的，如或有事项涉及单个项目的，</w:t>
      </w:r>
      <w:proofErr w:type="gramStart"/>
      <w:r>
        <w:rPr>
          <w:rFonts w:hint="eastAsia"/>
          <w:sz w:val="18"/>
          <w:szCs w:val="18"/>
        </w:rPr>
        <w:t>则最佳估计数按照</w:t>
      </w:r>
      <w:proofErr w:type="gramEnd"/>
      <w:r>
        <w:rPr>
          <w:rFonts w:hint="eastAsia"/>
          <w:sz w:val="18"/>
          <w:szCs w:val="18"/>
        </w:rPr>
        <w:t>最可能发生金额确定；如或有事项涉及多个项目的，</w:t>
      </w:r>
      <w:proofErr w:type="gramStart"/>
      <w:r>
        <w:rPr>
          <w:rFonts w:hint="eastAsia"/>
          <w:sz w:val="18"/>
          <w:szCs w:val="18"/>
        </w:rPr>
        <w:t>则最佳</w:t>
      </w:r>
      <w:proofErr w:type="gramEnd"/>
      <w:r>
        <w:rPr>
          <w:rFonts w:hint="eastAsia"/>
          <w:sz w:val="18"/>
          <w:szCs w:val="18"/>
        </w:rPr>
        <w:t>估计数按各种可能结果及相关概率计算确定。</w:t>
      </w:r>
    </w:p>
    <w:p w:rsidR="000F627F" w:rsidRDefault="000F627F">
      <w:pPr>
        <w:pStyle w:val="a3"/>
        <w:spacing w:before="0" w:beforeAutospacing="0" w:after="0" w:afterAutospacing="0" w:line="360" w:lineRule="auto"/>
        <w:ind w:firstLine="420"/>
        <w:jc w:val="both"/>
        <w:divId w:val="977301258"/>
        <w:rPr>
          <w:rFonts w:ascii="Times New Roman" w:hAnsi="Times New Roman" w:cs="Times New Roman"/>
          <w:sz w:val="21"/>
          <w:szCs w:val="21"/>
        </w:rPr>
      </w:pPr>
      <w:r>
        <w:rPr>
          <w:rFonts w:cs="Times New Roman" w:hint="eastAsia"/>
          <w:sz w:val="18"/>
          <w:szCs w:val="18"/>
        </w:rPr>
        <w:t>本公司清偿预计负债所需支出全部或部分预期由第三方补偿的，补偿金额在基本确定能够收到时，作为资产单独确认，确认的补偿金额不超过预计负债的账面价值。</w:t>
      </w:r>
    </w:p>
    <w:p w:rsidR="000D58D8" w:rsidRDefault="000F627F">
      <w:pPr>
        <w:pStyle w:val="3"/>
        <w:spacing w:line="280" w:lineRule="exact"/>
        <w:jc w:val="left"/>
        <w:rPr>
          <w:rFonts w:ascii="宋体" w:hAnsi="宋体" w:cs="宋体"/>
          <w:b/>
          <w:bCs/>
        </w:rPr>
      </w:pPr>
      <w:bookmarkStart w:id="220" w:name="_Toc989107"/>
      <w:r>
        <w:rPr>
          <w:rFonts w:ascii="宋体" w:hAnsi="宋体" w:cs="宋体"/>
          <w:b/>
          <w:bCs/>
        </w:rPr>
        <w:t>35、股份支付</w:t>
      </w:r>
      <w:bookmarkEnd w:id="220"/>
    </w:p>
    <w:p w:rsidR="000F627F" w:rsidRDefault="000F627F">
      <w:pPr>
        <w:widowControl/>
        <w:numPr>
          <w:ilvl w:val="0"/>
          <w:numId w:val="94"/>
        </w:numPr>
        <w:spacing w:before="100" w:beforeAutospacing="1" w:after="100" w:afterAutospacing="1"/>
        <w:divId w:val="1384326110"/>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股份支付的种类</w:t>
      </w:r>
    </w:p>
    <w:p w:rsidR="000F627F" w:rsidRDefault="000F627F">
      <w:pPr>
        <w:pStyle w:val="a3"/>
        <w:spacing w:before="0" w:beforeAutospacing="0" w:after="0" w:afterAutospacing="0" w:line="360" w:lineRule="auto"/>
        <w:ind w:firstLine="420"/>
        <w:jc w:val="both"/>
        <w:divId w:val="1384326110"/>
        <w:rPr>
          <w:sz w:val="21"/>
          <w:szCs w:val="21"/>
        </w:rPr>
      </w:pPr>
      <w:r>
        <w:rPr>
          <w:rFonts w:hint="eastAsia"/>
          <w:sz w:val="18"/>
          <w:szCs w:val="18"/>
        </w:rPr>
        <w:t>本公司的股份支付分为以权益结算的股份支付和以现金结算的股份支付。</w:t>
      </w:r>
    </w:p>
    <w:p w:rsidR="000F627F" w:rsidRDefault="000F627F">
      <w:pPr>
        <w:widowControl/>
        <w:numPr>
          <w:ilvl w:val="0"/>
          <w:numId w:val="95"/>
        </w:numPr>
        <w:spacing w:before="100" w:beforeAutospacing="1" w:after="100" w:afterAutospacing="1"/>
        <w:divId w:val="1384326110"/>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权益工具公允价值的确定方法</w:t>
      </w:r>
    </w:p>
    <w:p w:rsidR="000F627F" w:rsidRDefault="000F627F">
      <w:pPr>
        <w:pStyle w:val="a3"/>
        <w:spacing w:before="0" w:beforeAutospacing="0" w:after="0" w:afterAutospacing="0" w:line="360" w:lineRule="auto"/>
        <w:ind w:firstLine="420"/>
        <w:jc w:val="both"/>
        <w:divId w:val="1384326110"/>
        <w:rPr>
          <w:sz w:val="21"/>
          <w:szCs w:val="21"/>
        </w:rPr>
      </w:pPr>
      <w:r>
        <w:rPr>
          <w:rFonts w:hint="eastAsia"/>
          <w:sz w:val="18"/>
          <w:szCs w:val="18"/>
        </w:rPr>
        <w:t>对于授予的存在活跃市场的期权等权益工具，按照活跃市场中的报价确定其公允价值。对于授予的不存在活跃市场的期权等权益工具，采用期权定价模型等确定其公允价值，选用的期权定价模型考虑以下因素：（1）期权的行权价格；（2）期权的有效期；（3）标的股份的现行价格；（4）股价预计波动率；（5）股份的预计股利；（6）期权有效期内的无风险利率。</w:t>
      </w:r>
    </w:p>
    <w:p w:rsidR="000F627F" w:rsidRDefault="000F627F">
      <w:pPr>
        <w:pStyle w:val="a3"/>
        <w:spacing w:before="0" w:beforeAutospacing="0" w:after="0" w:afterAutospacing="0" w:line="360" w:lineRule="auto"/>
        <w:ind w:firstLine="420"/>
        <w:jc w:val="both"/>
        <w:divId w:val="1384326110"/>
        <w:rPr>
          <w:sz w:val="21"/>
          <w:szCs w:val="21"/>
        </w:rPr>
      </w:pPr>
      <w:r>
        <w:rPr>
          <w:rFonts w:hint="eastAsia"/>
          <w:sz w:val="18"/>
          <w:szCs w:val="18"/>
        </w:rPr>
        <w:t>在确定权益工具授予日的公允价值时，考虑股份支付协议规定的可行</w:t>
      </w:r>
      <w:proofErr w:type="gramStart"/>
      <w:r>
        <w:rPr>
          <w:rFonts w:hint="eastAsia"/>
          <w:sz w:val="18"/>
          <w:szCs w:val="18"/>
        </w:rPr>
        <w:t>权条件</w:t>
      </w:r>
      <w:proofErr w:type="gramEnd"/>
      <w:r>
        <w:rPr>
          <w:rFonts w:hint="eastAsia"/>
          <w:sz w:val="18"/>
          <w:szCs w:val="18"/>
        </w:rPr>
        <w:t>中的市场条件和非可行</w:t>
      </w:r>
      <w:proofErr w:type="gramStart"/>
      <w:r>
        <w:rPr>
          <w:rFonts w:hint="eastAsia"/>
          <w:sz w:val="18"/>
          <w:szCs w:val="18"/>
        </w:rPr>
        <w:t>权条件</w:t>
      </w:r>
      <w:proofErr w:type="gramEnd"/>
      <w:r>
        <w:rPr>
          <w:rFonts w:hint="eastAsia"/>
          <w:sz w:val="18"/>
          <w:szCs w:val="18"/>
        </w:rPr>
        <w:t>的影响。股份支付存在非可行</w:t>
      </w:r>
      <w:proofErr w:type="gramStart"/>
      <w:r>
        <w:rPr>
          <w:rFonts w:hint="eastAsia"/>
          <w:sz w:val="18"/>
          <w:szCs w:val="18"/>
        </w:rPr>
        <w:t>权条件</w:t>
      </w:r>
      <w:proofErr w:type="gramEnd"/>
      <w:r>
        <w:rPr>
          <w:rFonts w:hint="eastAsia"/>
          <w:sz w:val="18"/>
          <w:szCs w:val="18"/>
        </w:rPr>
        <w:t>的，只要职工或其他方满足了所有可行</w:t>
      </w:r>
      <w:proofErr w:type="gramStart"/>
      <w:r>
        <w:rPr>
          <w:rFonts w:hint="eastAsia"/>
          <w:sz w:val="18"/>
          <w:szCs w:val="18"/>
        </w:rPr>
        <w:t>权条件</w:t>
      </w:r>
      <w:proofErr w:type="gramEnd"/>
      <w:r>
        <w:rPr>
          <w:rFonts w:hint="eastAsia"/>
          <w:sz w:val="18"/>
          <w:szCs w:val="18"/>
        </w:rPr>
        <w:t>中的非市场条件（如服务期限等），即确认已得到服务相对应的成本费用。</w:t>
      </w:r>
    </w:p>
    <w:p w:rsidR="000F627F" w:rsidRDefault="000F627F">
      <w:pPr>
        <w:widowControl/>
        <w:numPr>
          <w:ilvl w:val="0"/>
          <w:numId w:val="96"/>
        </w:numPr>
        <w:spacing w:before="100" w:beforeAutospacing="1" w:after="100" w:afterAutospacing="1"/>
        <w:divId w:val="1384326110"/>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确定可行权权益工具最佳估计的依据</w:t>
      </w:r>
    </w:p>
    <w:p w:rsidR="000F627F" w:rsidRDefault="000F627F">
      <w:pPr>
        <w:pStyle w:val="a3"/>
        <w:spacing w:before="0" w:beforeAutospacing="0" w:after="0" w:afterAutospacing="0" w:line="360" w:lineRule="auto"/>
        <w:ind w:firstLine="420"/>
        <w:jc w:val="both"/>
        <w:divId w:val="1384326110"/>
        <w:rPr>
          <w:sz w:val="21"/>
          <w:szCs w:val="21"/>
        </w:rPr>
      </w:pPr>
      <w:r>
        <w:rPr>
          <w:rFonts w:hint="eastAsia"/>
          <w:sz w:val="18"/>
          <w:szCs w:val="18"/>
        </w:rPr>
        <w:t>等待期内每个资产负债表日，根据最新取得的可行</w:t>
      </w:r>
      <w:proofErr w:type="gramStart"/>
      <w:r>
        <w:rPr>
          <w:rFonts w:hint="eastAsia"/>
          <w:sz w:val="18"/>
          <w:szCs w:val="18"/>
        </w:rPr>
        <w:t>权职工</w:t>
      </w:r>
      <w:proofErr w:type="gramEnd"/>
      <w:r>
        <w:rPr>
          <w:rFonts w:hint="eastAsia"/>
          <w:sz w:val="18"/>
          <w:szCs w:val="18"/>
        </w:rPr>
        <w:t>人数变动等后续信息</w:t>
      </w:r>
      <w:proofErr w:type="gramStart"/>
      <w:r>
        <w:rPr>
          <w:rFonts w:hint="eastAsia"/>
          <w:sz w:val="18"/>
          <w:szCs w:val="18"/>
        </w:rPr>
        <w:t>作出</w:t>
      </w:r>
      <w:proofErr w:type="gramEnd"/>
      <w:r>
        <w:rPr>
          <w:rFonts w:hint="eastAsia"/>
          <w:sz w:val="18"/>
          <w:szCs w:val="18"/>
        </w:rPr>
        <w:t>最佳估计，修正预计可行权的权益工具数量。在可行权日，最终预计可行权权益工具的数量与实际可行权数量一致。</w:t>
      </w:r>
    </w:p>
    <w:p w:rsidR="000F627F" w:rsidRDefault="000F627F">
      <w:pPr>
        <w:widowControl/>
        <w:numPr>
          <w:ilvl w:val="0"/>
          <w:numId w:val="97"/>
        </w:numPr>
        <w:spacing w:before="100" w:beforeAutospacing="1" w:after="100" w:afterAutospacing="1"/>
        <w:divId w:val="1384326110"/>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会计处理方法</w:t>
      </w:r>
    </w:p>
    <w:p w:rsidR="000F627F" w:rsidRDefault="000F627F">
      <w:pPr>
        <w:pStyle w:val="a3"/>
        <w:spacing w:before="0" w:beforeAutospacing="0" w:after="0" w:afterAutospacing="0" w:line="360" w:lineRule="auto"/>
        <w:ind w:firstLine="420"/>
        <w:jc w:val="both"/>
        <w:divId w:val="1384326110"/>
        <w:rPr>
          <w:sz w:val="21"/>
          <w:szCs w:val="21"/>
        </w:rPr>
      </w:pPr>
      <w:r>
        <w:rPr>
          <w:rFonts w:hint="eastAsia"/>
          <w:sz w:val="18"/>
          <w:szCs w:val="18"/>
        </w:rPr>
        <w:lastRenderedPageBreak/>
        <w:t>（1）   权益结算和现金结算股份支付的会计处理</w:t>
      </w:r>
    </w:p>
    <w:p w:rsidR="000F627F" w:rsidRDefault="000F627F">
      <w:pPr>
        <w:pStyle w:val="a3"/>
        <w:spacing w:before="0" w:beforeAutospacing="0" w:after="0" w:afterAutospacing="0" w:line="360" w:lineRule="auto"/>
        <w:ind w:firstLine="420"/>
        <w:jc w:val="both"/>
        <w:divId w:val="1384326110"/>
        <w:rPr>
          <w:sz w:val="21"/>
          <w:szCs w:val="21"/>
        </w:rPr>
      </w:pPr>
      <w:r>
        <w:rPr>
          <w:rFonts w:hint="eastAsia"/>
          <w:sz w:val="18"/>
          <w:szCs w:val="18"/>
        </w:rPr>
        <w:t>以权益结算的股份支付，按授予职工权益工具的公允价值计量。授予后立即可行权的，在授予</w:t>
      </w:r>
      <w:proofErr w:type="gramStart"/>
      <w:r>
        <w:rPr>
          <w:rFonts w:hint="eastAsia"/>
          <w:sz w:val="18"/>
          <w:szCs w:val="18"/>
        </w:rPr>
        <w:t>日按照</w:t>
      </w:r>
      <w:proofErr w:type="gramEnd"/>
      <w:r>
        <w:rPr>
          <w:rFonts w:hint="eastAsia"/>
          <w:sz w:val="18"/>
          <w:szCs w:val="18"/>
        </w:rPr>
        <w:t>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rsidR="000F627F" w:rsidRDefault="000F627F">
      <w:pPr>
        <w:pStyle w:val="a3"/>
        <w:spacing w:before="0" w:beforeAutospacing="0" w:after="0" w:afterAutospacing="0" w:line="360" w:lineRule="auto"/>
        <w:ind w:firstLine="420"/>
        <w:jc w:val="both"/>
        <w:divId w:val="1384326110"/>
        <w:rPr>
          <w:sz w:val="21"/>
          <w:szCs w:val="21"/>
        </w:rPr>
      </w:pPr>
      <w:r>
        <w:rPr>
          <w:rFonts w:hint="eastAsia"/>
          <w:sz w:val="18"/>
          <w:szCs w:val="18"/>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的每个资产负债表日，以对可行</w:t>
      </w:r>
      <w:proofErr w:type="gramStart"/>
      <w:r>
        <w:rPr>
          <w:rFonts w:hint="eastAsia"/>
          <w:sz w:val="18"/>
          <w:szCs w:val="18"/>
        </w:rPr>
        <w:t>权情况</w:t>
      </w:r>
      <w:proofErr w:type="gramEnd"/>
      <w:r>
        <w:rPr>
          <w:rFonts w:hint="eastAsia"/>
          <w:sz w:val="18"/>
          <w:szCs w:val="18"/>
        </w:rPr>
        <w:t>的最佳估计为基础，按照本公司承担负债的公允价值金额，将当期取得的服务计入成本或费用和相应的负债。在相关负债结算前的每个资产负债表日以及结算日，对负债的公允价值重新计量，其变动计入当期损益。</w:t>
      </w:r>
    </w:p>
    <w:p w:rsidR="000F627F" w:rsidRDefault="000F627F">
      <w:pPr>
        <w:pStyle w:val="a3"/>
        <w:spacing w:before="0" w:beforeAutospacing="0" w:after="0" w:afterAutospacing="0" w:line="360" w:lineRule="auto"/>
        <w:ind w:firstLine="420"/>
        <w:jc w:val="both"/>
        <w:divId w:val="1384326110"/>
        <w:rPr>
          <w:sz w:val="21"/>
          <w:szCs w:val="21"/>
        </w:rPr>
      </w:pPr>
      <w:r>
        <w:rPr>
          <w:rFonts w:hint="eastAsia"/>
          <w:sz w:val="18"/>
          <w:szCs w:val="18"/>
        </w:rPr>
        <w:t>（2）股份支付条款和条件修改的会计处理</w:t>
      </w:r>
    </w:p>
    <w:p w:rsidR="000F627F" w:rsidRDefault="000F627F">
      <w:pPr>
        <w:pStyle w:val="a3"/>
        <w:spacing w:before="0" w:beforeAutospacing="0" w:after="0" w:afterAutospacing="0" w:line="360" w:lineRule="auto"/>
        <w:ind w:firstLine="420"/>
        <w:jc w:val="both"/>
        <w:divId w:val="1384326110"/>
        <w:rPr>
          <w:sz w:val="21"/>
          <w:szCs w:val="21"/>
        </w:rPr>
      </w:pPr>
      <w:r>
        <w:rPr>
          <w:rFonts w:hint="eastAsia"/>
          <w:sz w:val="18"/>
          <w:szCs w:val="18"/>
        </w:rPr>
        <w:t>对于不利修改，本公司视同该变更从未发生，仍继续对取得的服务进行会计处理。</w:t>
      </w:r>
    </w:p>
    <w:p w:rsidR="000F627F" w:rsidRDefault="000F627F">
      <w:pPr>
        <w:pStyle w:val="a3"/>
        <w:spacing w:before="0" w:beforeAutospacing="0" w:after="0" w:afterAutospacing="0" w:line="360" w:lineRule="auto"/>
        <w:ind w:firstLine="420"/>
        <w:jc w:val="both"/>
        <w:divId w:val="1384326110"/>
        <w:rPr>
          <w:sz w:val="21"/>
          <w:szCs w:val="21"/>
        </w:rPr>
      </w:pPr>
      <w:r>
        <w:rPr>
          <w:rFonts w:hint="eastAsia"/>
          <w:sz w:val="18"/>
          <w:szCs w:val="18"/>
        </w:rPr>
        <w:t>对于有利修改，本公司按照如下规定进行处理：如果修改增加了所授予的权益工具的公允价值，企业应按照权益工具公允价值的增加相应地确认取得服务的增加。如果修改发生在等待期内，在确认修改日至修改后的可行权日之间取得服务的公允价值时，应当既包括在剩余原等待期内以原权益工具授予日公允价值为基础确定的服务金额，也包括权益工具公允价值的增加。如果修改发生在可行权日之后，应当立即确认权益工具公允价值的增加。如果股份支付协议要求职工只有先完成更长期间的服务才能取得修改后的权益工具，则企业应在整个等待期内确认权益工具公允价值的增加。</w:t>
      </w:r>
    </w:p>
    <w:p w:rsidR="000F627F" w:rsidRDefault="000F627F">
      <w:pPr>
        <w:pStyle w:val="a3"/>
        <w:spacing w:before="0" w:beforeAutospacing="0" w:after="0" w:afterAutospacing="0" w:line="360" w:lineRule="auto"/>
        <w:ind w:firstLine="420"/>
        <w:jc w:val="both"/>
        <w:divId w:val="1384326110"/>
        <w:rPr>
          <w:sz w:val="21"/>
          <w:szCs w:val="21"/>
        </w:rPr>
      </w:pPr>
      <w:r>
        <w:rPr>
          <w:rFonts w:hint="eastAsia"/>
          <w:sz w:val="18"/>
          <w:szCs w:val="18"/>
        </w:rPr>
        <w:t>如果修改增加了所授予的权益工具的数量，企业将增加的权益工具的公允价值相应地确认为取得服务的增加。如果修改发生在等待期内，在确认修改日至增加的权益工具可行权日之间取得服务的公允价值时，应当既包括在剩余原等待期内以原权益工具授予日公允价值为基础确定的服务金额，也包括权益工具公允价值的增加。</w:t>
      </w:r>
    </w:p>
    <w:p w:rsidR="000F627F" w:rsidRDefault="000F627F">
      <w:pPr>
        <w:pStyle w:val="a3"/>
        <w:spacing w:before="0" w:beforeAutospacing="0" w:after="0" w:afterAutospacing="0" w:line="360" w:lineRule="auto"/>
        <w:ind w:firstLine="420"/>
        <w:jc w:val="both"/>
        <w:divId w:val="1384326110"/>
        <w:rPr>
          <w:sz w:val="21"/>
          <w:szCs w:val="21"/>
        </w:rPr>
      </w:pPr>
      <w:r>
        <w:rPr>
          <w:rFonts w:hint="eastAsia"/>
          <w:sz w:val="18"/>
          <w:szCs w:val="18"/>
        </w:rPr>
        <w:t>如果企业按照有利于职工的方式修改可行权条件，如缩短等待期、变更或取消业绩条件（而非市场条件），企业在处理可行</w:t>
      </w:r>
      <w:proofErr w:type="gramStart"/>
      <w:r>
        <w:rPr>
          <w:rFonts w:hint="eastAsia"/>
          <w:sz w:val="18"/>
          <w:szCs w:val="18"/>
        </w:rPr>
        <w:t>权条件</w:t>
      </w:r>
      <w:proofErr w:type="gramEnd"/>
      <w:r>
        <w:rPr>
          <w:rFonts w:hint="eastAsia"/>
          <w:sz w:val="18"/>
          <w:szCs w:val="18"/>
        </w:rPr>
        <w:t>时，应当考虑修改后的可行权条件。</w:t>
      </w:r>
    </w:p>
    <w:p w:rsidR="000F627F" w:rsidRDefault="000F627F">
      <w:pPr>
        <w:pStyle w:val="a3"/>
        <w:spacing w:before="0" w:beforeAutospacing="0" w:after="0" w:afterAutospacing="0" w:line="360" w:lineRule="auto"/>
        <w:ind w:firstLine="420"/>
        <w:jc w:val="both"/>
        <w:divId w:val="1384326110"/>
        <w:rPr>
          <w:sz w:val="21"/>
          <w:szCs w:val="21"/>
        </w:rPr>
      </w:pPr>
      <w:r>
        <w:rPr>
          <w:rFonts w:hint="eastAsia"/>
          <w:sz w:val="18"/>
          <w:szCs w:val="18"/>
        </w:rPr>
        <w:t>（3）股份支付取消的会计处理</w:t>
      </w:r>
    </w:p>
    <w:p w:rsidR="000F627F" w:rsidRDefault="000F627F">
      <w:pPr>
        <w:pStyle w:val="a3"/>
        <w:spacing w:before="0" w:beforeAutospacing="0" w:after="0" w:afterAutospacing="0" w:line="360" w:lineRule="auto"/>
        <w:ind w:firstLine="420"/>
        <w:jc w:val="both"/>
        <w:divId w:val="1384326110"/>
        <w:rPr>
          <w:sz w:val="21"/>
          <w:szCs w:val="21"/>
        </w:rPr>
      </w:pPr>
      <w:r>
        <w:rPr>
          <w:rFonts w:hint="eastAsia"/>
          <w:sz w:val="18"/>
          <w:szCs w:val="18"/>
        </w:rPr>
        <w:t>若在等待期内取消了授予的权益工具，本公司对取消所授予的权益性工具作为加速行权处理，将剩余等待期内应确认的金额立即计入当期损益，同时确认资本公积。职工或其他方能够选择满足非可行</w:t>
      </w:r>
      <w:proofErr w:type="gramStart"/>
      <w:r>
        <w:rPr>
          <w:rFonts w:hint="eastAsia"/>
          <w:sz w:val="18"/>
          <w:szCs w:val="18"/>
        </w:rPr>
        <w:t>权条件</w:t>
      </w:r>
      <w:proofErr w:type="gramEnd"/>
      <w:r>
        <w:rPr>
          <w:rFonts w:hint="eastAsia"/>
          <w:sz w:val="18"/>
          <w:szCs w:val="18"/>
        </w:rPr>
        <w:t>但在等待期内未满足的，本公司将其作为授予权益工具的取消处理。</w:t>
      </w:r>
    </w:p>
    <w:p w:rsidR="000D58D8" w:rsidRDefault="000F627F">
      <w:pPr>
        <w:pStyle w:val="3"/>
        <w:spacing w:line="280" w:lineRule="exact"/>
        <w:jc w:val="left"/>
        <w:rPr>
          <w:rFonts w:ascii="宋体" w:hAnsi="宋体" w:cs="宋体"/>
          <w:b/>
          <w:bCs/>
        </w:rPr>
      </w:pPr>
      <w:bookmarkStart w:id="221" w:name="_Toc989108"/>
      <w:r>
        <w:rPr>
          <w:rFonts w:ascii="宋体" w:hAnsi="宋体" w:cs="宋体"/>
          <w:b/>
          <w:bCs/>
        </w:rPr>
        <w:t>36、优先股、永续债等其他金融工具</w:t>
      </w:r>
      <w:bookmarkEnd w:id="221"/>
    </w:p>
    <w:p w:rsidR="000F627F" w:rsidRDefault="000F627F">
      <w:pPr>
        <w:pStyle w:val="a3"/>
        <w:divId w:val="204801917"/>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222" w:name="_Toc989109"/>
      <w:r>
        <w:rPr>
          <w:rFonts w:ascii="宋体" w:hAnsi="宋体" w:cs="宋体"/>
          <w:b/>
          <w:bCs/>
        </w:rPr>
        <w:lastRenderedPageBreak/>
        <w:t>37、收入</w:t>
      </w:r>
      <w:bookmarkEnd w:id="22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按照业务类型披露收入确认和计量所采用的会计政策</w:t>
      </w:r>
    </w:p>
    <w:p w:rsidR="000F627F" w:rsidRDefault="000F627F">
      <w:pPr>
        <w:widowControl/>
        <w:numPr>
          <w:ilvl w:val="0"/>
          <w:numId w:val="98"/>
        </w:numPr>
        <w:spacing w:before="100" w:beforeAutospacing="1" w:after="100" w:afterAutospacing="1"/>
        <w:divId w:val="110363484"/>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收入确认的一般原则</w:t>
      </w:r>
    </w:p>
    <w:p w:rsidR="000F627F" w:rsidRDefault="000F627F">
      <w:pPr>
        <w:pStyle w:val="a3"/>
        <w:spacing w:before="0" w:beforeAutospacing="0" w:after="0" w:afterAutospacing="0" w:line="360" w:lineRule="auto"/>
        <w:ind w:firstLine="420"/>
        <w:jc w:val="both"/>
        <w:divId w:val="110363484"/>
        <w:rPr>
          <w:sz w:val="21"/>
          <w:szCs w:val="21"/>
        </w:rPr>
      </w:pPr>
      <w:r>
        <w:rPr>
          <w:rFonts w:hint="eastAsia"/>
          <w:sz w:val="18"/>
          <w:szCs w:val="18"/>
        </w:rPr>
        <w:t>本公司在履行了合同中的履约义务，即在客户取得相关商品或服务控制权时，按照分摊至该项履约义务的交易价格确认收入。履约义务，是指合同中本公司向客户转让可明确区分商品或服务的承诺。取得相关商品控制权，是指能够主导该商品的使用并从中获得几乎全部的经济利益。</w:t>
      </w:r>
    </w:p>
    <w:p w:rsidR="000F627F" w:rsidRDefault="000F627F">
      <w:pPr>
        <w:pStyle w:val="a3"/>
        <w:spacing w:before="0" w:beforeAutospacing="0" w:after="0" w:afterAutospacing="0" w:line="360" w:lineRule="auto"/>
        <w:ind w:firstLine="420"/>
        <w:jc w:val="both"/>
        <w:divId w:val="110363484"/>
        <w:rPr>
          <w:sz w:val="21"/>
          <w:szCs w:val="21"/>
        </w:rPr>
      </w:pPr>
      <w:r>
        <w:rPr>
          <w:rFonts w:hint="eastAsia"/>
          <w:sz w:val="18"/>
          <w:szCs w:val="18"/>
        </w:rPr>
        <w:t>本公司在合同开始日即对合同进行评估，识别该合同所包含的各单项履约义务，并确定各单项履约义务是在某一时段内履行，还是某一时点履行。满足下列条件之一的，属于在某一时间段内履行的履约义务，本公司按照履约进度，在一段时间内确认收入：</w:t>
      </w:r>
      <w:r>
        <w:rPr>
          <w:rFonts w:ascii="Times New Roman" w:hAnsi="Times New Roman" w:cs="Times New Roman"/>
          <w:sz w:val="18"/>
          <w:szCs w:val="18"/>
        </w:rPr>
        <w:t>(1)</w:t>
      </w:r>
      <w:r>
        <w:rPr>
          <w:rFonts w:hint="eastAsia"/>
          <w:sz w:val="18"/>
          <w:szCs w:val="18"/>
        </w:rPr>
        <w:t>客户在本公司履约的同时即取得并消耗本公司履约所带来的经济利益；</w:t>
      </w:r>
      <w:r>
        <w:rPr>
          <w:rFonts w:ascii="Times New Roman" w:hAnsi="Times New Roman" w:cs="Times New Roman"/>
          <w:sz w:val="18"/>
          <w:szCs w:val="18"/>
        </w:rPr>
        <w:t>(2)</w:t>
      </w:r>
      <w:r>
        <w:rPr>
          <w:rFonts w:hint="eastAsia"/>
          <w:sz w:val="18"/>
          <w:szCs w:val="18"/>
        </w:rPr>
        <w:t>客户能够控制本公司履约过程中在建的商品；</w:t>
      </w:r>
      <w:r>
        <w:rPr>
          <w:rFonts w:ascii="Times New Roman" w:hAnsi="Times New Roman" w:cs="Times New Roman"/>
          <w:sz w:val="18"/>
          <w:szCs w:val="18"/>
        </w:rPr>
        <w:t>(3)</w:t>
      </w:r>
      <w:r>
        <w:rPr>
          <w:rFonts w:hint="eastAsia"/>
          <w:sz w:val="18"/>
          <w:szCs w:val="18"/>
        </w:rPr>
        <w:t>本公司履约过程中所产出的商品具有不可替代用途，且本公司在整个合同期间内有权就累计至今已完成的履约部分收取款项。否则，本公司在客户取得相关商品或服务控制权的时点确认收入。</w:t>
      </w:r>
    </w:p>
    <w:p w:rsidR="000F627F" w:rsidRDefault="000F627F">
      <w:pPr>
        <w:pStyle w:val="a3"/>
        <w:spacing w:before="0" w:beforeAutospacing="0" w:after="0" w:afterAutospacing="0" w:line="360" w:lineRule="auto"/>
        <w:ind w:firstLine="420"/>
        <w:jc w:val="both"/>
        <w:divId w:val="110363484"/>
        <w:rPr>
          <w:sz w:val="21"/>
          <w:szCs w:val="21"/>
        </w:rPr>
      </w:pPr>
      <w:r>
        <w:rPr>
          <w:rFonts w:hint="eastAsia"/>
          <w:sz w:val="18"/>
          <w:szCs w:val="18"/>
        </w:rPr>
        <w:t>对于在某一时段内履行的履约义务，本公司根据商品和劳务的性质，采用产出法确定恰当的履约进度。产出法是根据已转移给客户的商品对于客户的价值确定履约进度。当履约进度不能合理确定时，已经发生的成本预计能够得到补偿的，本公司按照已经发生的成本金额确认收入，直到履约进度能够合理确定为止。</w:t>
      </w:r>
    </w:p>
    <w:p w:rsidR="000F627F" w:rsidRDefault="000F627F">
      <w:pPr>
        <w:widowControl/>
        <w:numPr>
          <w:ilvl w:val="0"/>
          <w:numId w:val="99"/>
        </w:numPr>
        <w:spacing w:before="100" w:beforeAutospacing="1" w:after="100" w:afterAutospacing="1"/>
        <w:divId w:val="110363484"/>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收入确认的具体方法</w:t>
      </w:r>
    </w:p>
    <w:p w:rsidR="000F627F" w:rsidRDefault="000F627F">
      <w:pPr>
        <w:pStyle w:val="a3"/>
        <w:spacing w:before="0" w:beforeAutospacing="0" w:after="0" w:afterAutospacing="0" w:line="360" w:lineRule="auto"/>
        <w:ind w:left="422"/>
        <w:jc w:val="both"/>
        <w:divId w:val="110363484"/>
        <w:rPr>
          <w:b/>
          <w:bCs/>
          <w:sz w:val="21"/>
          <w:szCs w:val="21"/>
        </w:rPr>
      </w:pPr>
      <w:r>
        <w:rPr>
          <w:rFonts w:hint="eastAsia"/>
          <w:b/>
          <w:bCs/>
          <w:sz w:val="18"/>
          <w:szCs w:val="18"/>
        </w:rPr>
        <w:t>（</w:t>
      </w:r>
      <w:r>
        <w:rPr>
          <w:rFonts w:ascii="Times New Roman" w:hAnsi="Times New Roman" w:cs="Times New Roman"/>
          <w:b/>
          <w:bCs/>
          <w:sz w:val="18"/>
          <w:szCs w:val="18"/>
        </w:rPr>
        <w:t>1</w:t>
      </w:r>
      <w:r>
        <w:rPr>
          <w:rFonts w:hint="eastAsia"/>
          <w:b/>
          <w:bCs/>
          <w:sz w:val="18"/>
          <w:szCs w:val="18"/>
        </w:rPr>
        <w:t>）销售商品收入</w:t>
      </w:r>
    </w:p>
    <w:p w:rsidR="000F627F" w:rsidRDefault="000F627F">
      <w:pPr>
        <w:pStyle w:val="a3"/>
        <w:spacing w:before="0" w:beforeAutospacing="0" w:after="0" w:afterAutospacing="0" w:line="360" w:lineRule="auto"/>
        <w:ind w:firstLine="420"/>
        <w:jc w:val="both"/>
        <w:divId w:val="110363484"/>
        <w:rPr>
          <w:sz w:val="21"/>
          <w:szCs w:val="21"/>
        </w:rPr>
      </w:pPr>
      <w:r>
        <w:rPr>
          <w:rFonts w:hint="eastAsia"/>
          <w:sz w:val="18"/>
          <w:szCs w:val="18"/>
        </w:rPr>
        <w:t>公司的产品销售属于在某一时</w:t>
      </w:r>
      <w:proofErr w:type="gramStart"/>
      <w:r>
        <w:rPr>
          <w:rFonts w:hint="eastAsia"/>
          <w:sz w:val="18"/>
          <w:szCs w:val="18"/>
        </w:rPr>
        <w:t>点履行</w:t>
      </w:r>
      <w:proofErr w:type="gramEnd"/>
      <w:r>
        <w:rPr>
          <w:rFonts w:hint="eastAsia"/>
          <w:sz w:val="18"/>
          <w:szCs w:val="18"/>
        </w:rPr>
        <w:t>的履约义务，内销收入在公司将产品运送至合同约定交货地点并由客户确认接受、已收取价款或取得收款权利且相关的经济利益很可能流入时确认。外销收入在公司已根据合同约定将产品报关，取得提单，已收取货款或取得了收款权利且相关的经济利益很可能流入时确认。线上销售收入在客户确认签收时确认对应的收入实现。</w:t>
      </w:r>
    </w:p>
    <w:p w:rsidR="000F627F" w:rsidRDefault="000F627F">
      <w:pPr>
        <w:pStyle w:val="a3"/>
        <w:spacing w:before="0" w:beforeAutospacing="0" w:after="0" w:afterAutospacing="0" w:line="360" w:lineRule="auto"/>
        <w:ind w:firstLine="422"/>
        <w:jc w:val="both"/>
        <w:divId w:val="110363484"/>
        <w:rPr>
          <w:sz w:val="21"/>
          <w:szCs w:val="21"/>
        </w:rPr>
      </w:pPr>
      <w:r>
        <w:rPr>
          <w:rStyle w:val="a5"/>
          <w:rFonts w:hint="eastAsia"/>
          <w:sz w:val="18"/>
          <w:szCs w:val="18"/>
        </w:rPr>
        <w:t>（</w:t>
      </w:r>
      <w:r>
        <w:rPr>
          <w:rStyle w:val="a5"/>
          <w:rFonts w:ascii="Times New Roman" w:hAnsi="Times New Roman" w:cs="Times New Roman"/>
          <w:sz w:val="18"/>
          <w:szCs w:val="18"/>
        </w:rPr>
        <w:t>2</w:t>
      </w:r>
      <w:r>
        <w:rPr>
          <w:rStyle w:val="a5"/>
          <w:rFonts w:hint="eastAsia"/>
          <w:sz w:val="18"/>
          <w:szCs w:val="18"/>
        </w:rPr>
        <w:t>）出租收入</w:t>
      </w:r>
    </w:p>
    <w:p w:rsidR="000F627F" w:rsidRDefault="000F627F">
      <w:pPr>
        <w:pStyle w:val="a3"/>
        <w:spacing w:before="0" w:beforeAutospacing="0" w:after="0" w:afterAutospacing="0" w:line="360" w:lineRule="auto"/>
        <w:ind w:firstLine="420"/>
        <w:jc w:val="both"/>
        <w:divId w:val="110363484"/>
        <w:rPr>
          <w:sz w:val="21"/>
          <w:szCs w:val="21"/>
        </w:rPr>
      </w:pPr>
      <w:r>
        <w:rPr>
          <w:rFonts w:hint="eastAsia"/>
          <w:sz w:val="18"/>
          <w:szCs w:val="18"/>
        </w:rPr>
        <w:t>按与承租方</w:t>
      </w:r>
      <w:proofErr w:type="gramStart"/>
      <w:r>
        <w:rPr>
          <w:rFonts w:hint="eastAsia"/>
          <w:sz w:val="18"/>
          <w:szCs w:val="18"/>
        </w:rPr>
        <w:t>签定</w:t>
      </w:r>
      <w:proofErr w:type="gramEnd"/>
      <w:r>
        <w:rPr>
          <w:rFonts w:hint="eastAsia"/>
          <w:sz w:val="18"/>
          <w:szCs w:val="18"/>
        </w:rPr>
        <w:t>的合同或协议规定的承租方付租期间和金额，按直线法分摊确认设备出租收入的实现。</w:t>
      </w:r>
    </w:p>
    <w:p w:rsidR="000F627F" w:rsidRDefault="000F627F">
      <w:pPr>
        <w:widowControl/>
        <w:numPr>
          <w:ilvl w:val="0"/>
          <w:numId w:val="100"/>
        </w:numPr>
        <w:spacing w:before="100" w:beforeAutospacing="1" w:after="100" w:afterAutospacing="1"/>
        <w:divId w:val="110363484"/>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特定交易的收入处理原则</w:t>
      </w:r>
      <w:r>
        <w:rPr>
          <w:rFonts w:ascii="Times New Roman" w:hAnsi="Times New Roman" w:cs="Times New Roman"/>
          <w:sz w:val="18"/>
          <w:szCs w:val="18"/>
        </w:rPr>
        <w:t xml:space="preserve"> </w:t>
      </w:r>
    </w:p>
    <w:p w:rsidR="000F627F" w:rsidRDefault="000F627F">
      <w:pPr>
        <w:pStyle w:val="a3"/>
        <w:spacing w:before="0" w:beforeAutospacing="0" w:after="0" w:afterAutospacing="0" w:line="360" w:lineRule="auto"/>
        <w:ind w:firstLine="420"/>
        <w:jc w:val="both"/>
        <w:divId w:val="110363484"/>
        <w:rPr>
          <w:sz w:val="21"/>
          <w:szCs w:val="21"/>
        </w:rPr>
      </w:pPr>
      <w:r>
        <w:rPr>
          <w:rFonts w:hint="eastAsia"/>
          <w:sz w:val="18"/>
          <w:szCs w:val="18"/>
        </w:rPr>
        <w:t>（</w:t>
      </w:r>
      <w:r>
        <w:rPr>
          <w:rFonts w:ascii="Times New Roman" w:hAnsi="Times New Roman" w:cs="Times New Roman"/>
          <w:sz w:val="18"/>
          <w:szCs w:val="18"/>
        </w:rPr>
        <w:t>1</w:t>
      </w:r>
      <w:r>
        <w:rPr>
          <w:rFonts w:hint="eastAsia"/>
          <w:sz w:val="18"/>
          <w:szCs w:val="18"/>
        </w:rPr>
        <w:t>）附有销售退回条款的合同</w:t>
      </w:r>
    </w:p>
    <w:p w:rsidR="000F627F" w:rsidRDefault="000F627F">
      <w:pPr>
        <w:pStyle w:val="a3"/>
        <w:spacing w:before="0" w:beforeAutospacing="0" w:after="0" w:afterAutospacing="0" w:line="360" w:lineRule="auto"/>
        <w:ind w:firstLine="420"/>
        <w:jc w:val="both"/>
        <w:divId w:val="110363484"/>
        <w:rPr>
          <w:sz w:val="21"/>
          <w:szCs w:val="21"/>
        </w:rPr>
      </w:pPr>
      <w:r>
        <w:rPr>
          <w:rFonts w:hint="eastAsia"/>
          <w:sz w:val="18"/>
          <w:szCs w:val="18"/>
        </w:rPr>
        <w:t>对于附有销售退回条款的销售，本公司在客户取得相关商品控制权时，按照因向客户转让商品而预期有权收取的对</w:t>
      </w:r>
      <w:proofErr w:type="gramStart"/>
      <w:r>
        <w:rPr>
          <w:rFonts w:hint="eastAsia"/>
          <w:sz w:val="18"/>
          <w:szCs w:val="18"/>
        </w:rPr>
        <w:t>价金额</w:t>
      </w:r>
      <w:proofErr w:type="gramEnd"/>
      <w:r>
        <w:rPr>
          <w:rFonts w:ascii="Times New Roman" w:hAnsi="Times New Roman" w:cs="Times New Roman"/>
          <w:sz w:val="18"/>
          <w:szCs w:val="18"/>
        </w:rPr>
        <w:t>(</w:t>
      </w:r>
      <w:r>
        <w:rPr>
          <w:rFonts w:hint="eastAsia"/>
          <w:sz w:val="18"/>
          <w:szCs w:val="18"/>
        </w:rPr>
        <w:t>即，不包含预期因销售退回将退还的金额</w:t>
      </w:r>
      <w:r>
        <w:rPr>
          <w:rFonts w:ascii="Times New Roman" w:hAnsi="Times New Roman" w:cs="Times New Roman"/>
          <w:sz w:val="18"/>
          <w:szCs w:val="18"/>
        </w:rPr>
        <w:t>)</w:t>
      </w:r>
      <w:r>
        <w:rPr>
          <w:rFonts w:hint="eastAsia"/>
          <w:sz w:val="18"/>
          <w:szCs w:val="18"/>
        </w:rPr>
        <w:t>确认收入，按照预期因销售退回将退还的金额确认负债；同时，按照</w:t>
      </w:r>
      <w:r>
        <w:rPr>
          <w:rFonts w:hint="eastAsia"/>
          <w:sz w:val="18"/>
          <w:szCs w:val="18"/>
        </w:rPr>
        <w:lastRenderedPageBreak/>
        <w:t>预期将退回商品转让时的账面价值，扣除收回该商品预计发生的成本</w:t>
      </w:r>
      <w:r>
        <w:rPr>
          <w:rFonts w:ascii="Times New Roman" w:hAnsi="Times New Roman" w:cs="Times New Roman"/>
          <w:sz w:val="18"/>
          <w:szCs w:val="18"/>
        </w:rPr>
        <w:t>(</w:t>
      </w:r>
      <w:r>
        <w:rPr>
          <w:rFonts w:hint="eastAsia"/>
          <w:sz w:val="18"/>
          <w:szCs w:val="18"/>
        </w:rPr>
        <w:t>包括退回商品的价值减损</w:t>
      </w:r>
      <w:r>
        <w:rPr>
          <w:rFonts w:ascii="Times New Roman" w:hAnsi="Times New Roman" w:cs="Times New Roman"/>
          <w:sz w:val="18"/>
          <w:szCs w:val="18"/>
        </w:rPr>
        <w:t>)</w:t>
      </w:r>
      <w:r>
        <w:rPr>
          <w:rFonts w:hint="eastAsia"/>
          <w:sz w:val="18"/>
          <w:szCs w:val="18"/>
        </w:rPr>
        <w:t>后的余额，确认为一项资产，按照所转让商品转让时的账面价值，扣除上述资产成本的净额结转成本。</w:t>
      </w:r>
    </w:p>
    <w:p w:rsidR="000F627F" w:rsidRDefault="000F627F">
      <w:pPr>
        <w:pStyle w:val="a3"/>
        <w:spacing w:before="0" w:beforeAutospacing="0" w:after="0" w:afterAutospacing="0" w:line="360" w:lineRule="auto"/>
        <w:ind w:firstLine="420"/>
        <w:jc w:val="both"/>
        <w:divId w:val="110363484"/>
        <w:rPr>
          <w:sz w:val="21"/>
          <w:szCs w:val="21"/>
        </w:rPr>
      </w:pPr>
      <w:r>
        <w:rPr>
          <w:rFonts w:hint="eastAsia"/>
          <w:sz w:val="18"/>
          <w:szCs w:val="18"/>
        </w:rPr>
        <w:t>（</w:t>
      </w:r>
      <w:r>
        <w:rPr>
          <w:rFonts w:ascii="Times New Roman" w:hAnsi="Times New Roman" w:cs="Times New Roman"/>
          <w:sz w:val="18"/>
          <w:szCs w:val="18"/>
        </w:rPr>
        <w:t>2</w:t>
      </w:r>
      <w:r>
        <w:rPr>
          <w:rFonts w:hint="eastAsia"/>
          <w:sz w:val="18"/>
          <w:szCs w:val="18"/>
        </w:rPr>
        <w:t>）附有质量保证条款的合同</w:t>
      </w:r>
    </w:p>
    <w:p w:rsidR="000F627F" w:rsidRDefault="000F627F">
      <w:pPr>
        <w:pStyle w:val="a3"/>
        <w:spacing w:before="0" w:beforeAutospacing="0" w:after="0" w:afterAutospacing="0" w:line="360" w:lineRule="auto"/>
        <w:ind w:firstLine="420"/>
        <w:jc w:val="both"/>
        <w:divId w:val="110363484"/>
        <w:rPr>
          <w:sz w:val="21"/>
          <w:szCs w:val="21"/>
        </w:rPr>
      </w:pPr>
      <w:r>
        <w:rPr>
          <w:rFonts w:hint="eastAsia"/>
          <w:sz w:val="18"/>
          <w:szCs w:val="18"/>
        </w:rPr>
        <w:t>对于附有质量保证条款的销售，如果该质量保证在向客户保证所销售商品或服务符合既定标准之外提供了一项单独的服务，该质量保证构成单项履约义务。否则，本公司按照《企业会计准则第</w:t>
      </w:r>
      <w:r>
        <w:rPr>
          <w:rFonts w:ascii="Times New Roman" w:hAnsi="Times New Roman" w:cs="Times New Roman"/>
          <w:sz w:val="18"/>
          <w:szCs w:val="18"/>
        </w:rPr>
        <w:t xml:space="preserve">13 </w:t>
      </w:r>
      <w:r>
        <w:rPr>
          <w:rFonts w:hint="eastAsia"/>
          <w:sz w:val="18"/>
          <w:szCs w:val="18"/>
        </w:rPr>
        <w:t>号</w:t>
      </w:r>
      <w:r>
        <w:rPr>
          <w:rFonts w:ascii="Courier New" w:hAnsi="Courier New" w:cs="Courier New"/>
          <w:sz w:val="18"/>
          <w:szCs w:val="18"/>
        </w:rPr>
        <w:t>——</w:t>
      </w:r>
      <w:r>
        <w:rPr>
          <w:rFonts w:hint="eastAsia"/>
          <w:sz w:val="18"/>
          <w:szCs w:val="18"/>
        </w:rPr>
        <w:t>或有事项》规定对质量保证责任进行会计处理</w:t>
      </w:r>
    </w:p>
    <w:p w:rsidR="000F627F" w:rsidRDefault="000F627F">
      <w:pPr>
        <w:pStyle w:val="a3"/>
        <w:spacing w:before="0" w:beforeAutospacing="0" w:after="0" w:afterAutospacing="0" w:line="360" w:lineRule="auto"/>
        <w:ind w:firstLine="420"/>
        <w:jc w:val="both"/>
        <w:divId w:val="110363484"/>
        <w:rPr>
          <w:sz w:val="21"/>
          <w:szCs w:val="21"/>
        </w:rPr>
      </w:pPr>
      <w:r>
        <w:rPr>
          <w:rFonts w:hint="eastAsia"/>
          <w:sz w:val="18"/>
          <w:szCs w:val="18"/>
        </w:rPr>
        <w:t>（</w:t>
      </w:r>
      <w:r>
        <w:rPr>
          <w:rFonts w:ascii="Times New Roman" w:hAnsi="Times New Roman" w:cs="Times New Roman"/>
          <w:sz w:val="18"/>
          <w:szCs w:val="18"/>
        </w:rPr>
        <w:t>3</w:t>
      </w:r>
      <w:r>
        <w:rPr>
          <w:rFonts w:hint="eastAsia"/>
          <w:sz w:val="18"/>
          <w:szCs w:val="18"/>
        </w:rPr>
        <w:t>）附有客户额外购买选择权的销售合同</w:t>
      </w:r>
    </w:p>
    <w:p w:rsidR="000F627F" w:rsidRDefault="000F627F">
      <w:pPr>
        <w:pStyle w:val="a3"/>
        <w:spacing w:before="0" w:beforeAutospacing="0" w:after="0" w:afterAutospacing="0" w:line="360" w:lineRule="auto"/>
        <w:ind w:firstLine="420"/>
        <w:jc w:val="both"/>
        <w:divId w:val="110363484"/>
        <w:rPr>
          <w:sz w:val="21"/>
          <w:szCs w:val="21"/>
        </w:rPr>
      </w:pPr>
      <w:r>
        <w:rPr>
          <w:rFonts w:hint="eastAsia"/>
          <w:sz w:val="18"/>
          <w:szCs w:val="18"/>
        </w:rPr>
        <w:t>客户额外购买选择权包括销售激励措施、客户奖励积分、续约选择权、针对未来商品或服务的其他折扣等，对于向客户提供了重大权利的额外购买选择权，本公司将其作为单项履约义务，在客户未来行使购买选择</w:t>
      </w:r>
      <w:proofErr w:type="gramStart"/>
      <w:r>
        <w:rPr>
          <w:rFonts w:hint="eastAsia"/>
          <w:sz w:val="18"/>
          <w:szCs w:val="18"/>
        </w:rPr>
        <w:t>权取得</w:t>
      </w:r>
      <w:proofErr w:type="gramEnd"/>
      <w:r>
        <w:rPr>
          <w:rFonts w:hint="eastAsia"/>
          <w:sz w:val="18"/>
          <w:szCs w:val="18"/>
        </w:rPr>
        <w:t>相关商品或服务控制权时，或者该选择权失效时，确认相应的收入。客户额外购买选择权的单独售价无法直接观察的，本公司综合考虑客户行使和不行使该选择权所能获得的折扣的差异、客户行使该选择权的可能性等全部相关信息予以估计。</w:t>
      </w:r>
    </w:p>
    <w:p w:rsidR="000F627F" w:rsidRDefault="000F627F">
      <w:pPr>
        <w:pStyle w:val="a3"/>
        <w:spacing w:before="0" w:beforeAutospacing="0" w:after="0" w:afterAutospacing="0" w:line="360" w:lineRule="auto"/>
        <w:ind w:firstLine="420"/>
        <w:jc w:val="both"/>
        <w:divId w:val="110363484"/>
        <w:rPr>
          <w:sz w:val="21"/>
          <w:szCs w:val="21"/>
        </w:rPr>
      </w:pPr>
      <w:r>
        <w:rPr>
          <w:rFonts w:hint="eastAsia"/>
          <w:sz w:val="18"/>
          <w:szCs w:val="18"/>
        </w:rPr>
        <w:t>（</w:t>
      </w:r>
      <w:r>
        <w:rPr>
          <w:rFonts w:ascii="Times New Roman" w:hAnsi="Times New Roman" w:cs="Times New Roman"/>
          <w:sz w:val="18"/>
          <w:szCs w:val="18"/>
        </w:rPr>
        <w:t>4</w:t>
      </w:r>
      <w:r>
        <w:rPr>
          <w:rFonts w:hint="eastAsia"/>
          <w:sz w:val="18"/>
          <w:szCs w:val="18"/>
        </w:rPr>
        <w:t>）向客户授予知识产权许可的合同</w:t>
      </w:r>
    </w:p>
    <w:p w:rsidR="000F627F" w:rsidRDefault="000F627F">
      <w:pPr>
        <w:pStyle w:val="a3"/>
        <w:spacing w:before="0" w:beforeAutospacing="0" w:after="0" w:afterAutospacing="0" w:line="360" w:lineRule="auto"/>
        <w:ind w:firstLine="420"/>
        <w:jc w:val="both"/>
        <w:divId w:val="110363484"/>
        <w:rPr>
          <w:sz w:val="21"/>
          <w:szCs w:val="21"/>
        </w:rPr>
      </w:pPr>
      <w:r>
        <w:rPr>
          <w:rFonts w:hint="eastAsia"/>
          <w:sz w:val="18"/>
          <w:szCs w:val="18"/>
        </w:rPr>
        <w:t>评估该知识产权许可是否构成单项履约义务，构成单项履约义务的，则进一步确定其是在某一时段内履行还是在某一时点履行。向客户授予知识产权许可，并约定按客户实际销售或使用情况收取特许权使用费的，则在下列</w:t>
      </w:r>
      <w:proofErr w:type="gramStart"/>
      <w:r>
        <w:rPr>
          <w:rFonts w:hint="eastAsia"/>
          <w:sz w:val="18"/>
          <w:szCs w:val="18"/>
        </w:rPr>
        <w:t>两项孰晚的</w:t>
      </w:r>
      <w:proofErr w:type="gramEnd"/>
      <w:r>
        <w:rPr>
          <w:rFonts w:hint="eastAsia"/>
          <w:sz w:val="18"/>
          <w:szCs w:val="18"/>
        </w:rPr>
        <w:t>时点确认收入：客户后续销售或使用行为实际发生；公司履行相关履约义务。</w:t>
      </w:r>
    </w:p>
    <w:p w:rsidR="000F627F" w:rsidRDefault="000F627F">
      <w:pPr>
        <w:pStyle w:val="a3"/>
        <w:spacing w:before="0" w:beforeAutospacing="0" w:after="0" w:afterAutospacing="0" w:line="360" w:lineRule="auto"/>
        <w:ind w:firstLine="420"/>
        <w:jc w:val="both"/>
        <w:divId w:val="110363484"/>
        <w:rPr>
          <w:sz w:val="21"/>
          <w:szCs w:val="21"/>
        </w:rPr>
      </w:pPr>
      <w:r>
        <w:rPr>
          <w:rFonts w:hint="eastAsia"/>
          <w:sz w:val="18"/>
          <w:szCs w:val="18"/>
        </w:rPr>
        <w:t>（</w:t>
      </w:r>
      <w:r>
        <w:rPr>
          <w:rFonts w:ascii="Times New Roman" w:hAnsi="Times New Roman" w:cs="Times New Roman"/>
          <w:sz w:val="18"/>
          <w:szCs w:val="18"/>
        </w:rPr>
        <w:t>5</w:t>
      </w:r>
      <w:r>
        <w:rPr>
          <w:rFonts w:hint="eastAsia"/>
          <w:sz w:val="18"/>
          <w:szCs w:val="18"/>
        </w:rPr>
        <w:t>）售后回购</w:t>
      </w:r>
    </w:p>
    <w:p w:rsidR="000F627F" w:rsidRDefault="000F627F">
      <w:pPr>
        <w:widowControl/>
        <w:numPr>
          <w:ilvl w:val="0"/>
          <w:numId w:val="101"/>
        </w:numPr>
        <w:spacing w:before="100" w:beforeAutospacing="1" w:after="100" w:afterAutospacing="1"/>
        <w:divId w:val="110363484"/>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因与客户的远期安排而负有回购义务的合同：这种情况下客户在销售时点并未取得相关商品控制权，因此作为租赁交易或融资交易进行相应的会计处理。其中，回购价格低于原售价的视为租赁交易，按照企业会计准则对租赁的相关规定进行会计处理；回购价格不低于原售价的视为融资交易，在收到客户款项时确认金融负债，并将该款项和回购价格的差额在回购期间内确认为利息费用等。公司到期未行使回购权利的，则在该回购权利到期时终止确认金融负债，同时确认收入。</w:t>
      </w:r>
    </w:p>
    <w:p w:rsidR="000F627F" w:rsidRDefault="000F627F">
      <w:pPr>
        <w:widowControl/>
        <w:numPr>
          <w:ilvl w:val="0"/>
          <w:numId w:val="101"/>
        </w:numPr>
        <w:spacing w:before="100" w:beforeAutospacing="1" w:after="100" w:afterAutospacing="1"/>
        <w:divId w:val="110363484"/>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应客户要求产生的回购义务的合同：经评估客户具有重大经济动因的，将售后回购作为租赁交易或融资交易，按照本条</w:t>
      </w:r>
      <w:r>
        <w:rPr>
          <w:rFonts w:ascii="Times New Roman" w:hAnsi="Times New Roman" w:cs="Times New Roman"/>
          <w:sz w:val="18"/>
          <w:szCs w:val="18"/>
        </w:rPr>
        <w:t>1</w:t>
      </w:r>
      <w:r>
        <w:rPr>
          <w:rFonts w:hint="eastAsia"/>
          <w:sz w:val="18"/>
          <w:szCs w:val="18"/>
        </w:rPr>
        <w:t>）规定进行会计处理；否则将其作为附有销售退回条款的销售交易进行处理。</w:t>
      </w:r>
    </w:p>
    <w:p w:rsidR="000F627F" w:rsidRDefault="000F627F">
      <w:pPr>
        <w:pStyle w:val="a3"/>
        <w:spacing w:before="0" w:beforeAutospacing="0" w:after="0" w:afterAutospacing="0" w:line="360" w:lineRule="auto"/>
        <w:ind w:firstLine="420"/>
        <w:jc w:val="both"/>
        <w:divId w:val="110363484"/>
        <w:rPr>
          <w:sz w:val="21"/>
          <w:szCs w:val="21"/>
        </w:rPr>
      </w:pPr>
      <w:r>
        <w:rPr>
          <w:rFonts w:hint="eastAsia"/>
          <w:sz w:val="18"/>
          <w:szCs w:val="18"/>
        </w:rPr>
        <w:t>（</w:t>
      </w:r>
      <w:r>
        <w:rPr>
          <w:rFonts w:ascii="Times New Roman" w:hAnsi="Times New Roman" w:cs="Times New Roman"/>
          <w:sz w:val="18"/>
          <w:szCs w:val="18"/>
        </w:rPr>
        <w:t>6</w:t>
      </w:r>
      <w:r>
        <w:rPr>
          <w:rFonts w:hint="eastAsia"/>
          <w:sz w:val="18"/>
          <w:szCs w:val="18"/>
        </w:rPr>
        <w:t>）向客户收取无需退回的初始费的合同</w:t>
      </w:r>
    </w:p>
    <w:p w:rsidR="000F627F" w:rsidRDefault="000F627F">
      <w:pPr>
        <w:pStyle w:val="a3"/>
        <w:spacing w:before="0" w:beforeAutospacing="0" w:after="0" w:afterAutospacing="0" w:line="360" w:lineRule="auto"/>
        <w:ind w:firstLine="420"/>
        <w:jc w:val="both"/>
        <w:divId w:val="110363484"/>
        <w:rPr>
          <w:sz w:val="21"/>
          <w:szCs w:val="21"/>
        </w:rPr>
      </w:pPr>
      <w:r>
        <w:rPr>
          <w:rFonts w:hint="eastAsia"/>
          <w:sz w:val="18"/>
          <w:szCs w:val="18"/>
        </w:rPr>
        <w:t>在合同开始（或接近合同开始）日向客户收取的无需退回的初始费应当计入交易价格。公司经评估，该初始费与向客户转让已承诺的商品相关，并且该商品构成单项履约义务的，则在转让该商品时，按照分摊至该商品的交易价格确认收入；该初始费与向客户转让已承诺的商品相关，但该商品不构成单项履约义务的，则在包含该商品的单项履约义务履行时，按照分摊至该单项履约义务的交易价格确认收入；该初始费与向客户转让已承诺的商品不相关的，该初始费则作为未来将转让商品的预收款，在未来转让该商品时确认为收入。</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同类业务采用不同经营模式涉及不同收入确认方式及计量方法的情况</w:t>
      </w:r>
    </w:p>
    <w:p w:rsidR="000F627F" w:rsidRDefault="000F627F">
      <w:pPr>
        <w:divId w:val="1643651671"/>
        <w:rPr>
          <w:sz w:val="18"/>
          <w:szCs w:val="18"/>
        </w:rPr>
      </w:pPr>
    </w:p>
    <w:p w:rsidR="000D58D8" w:rsidRDefault="000F627F">
      <w:pPr>
        <w:pStyle w:val="3"/>
        <w:spacing w:line="280" w:lineRule="exact"/>
        <w:jc w:val="left"/>
        <w:rPr>
          <w:rFonts w:ascii="宋体" w:hAnsi="宋体" w:cs="宋体"/>
          <w:b/>
          <w:bCs/>
        </w:rPr>
      </w:pPr>
      <w:bookmarkStart w:id="223" w:name="_Toc989110"/>
      <w:r>
        <w:rPr>
          <w:rFonts w:ascii="宋体" w:hAnsi="宋体" w:cs="宋体"/>
          <w:b/>
          <w:bCs/>
        </w:rPr>
        <w:lastRenderedPageBreak/>
        <w:t>38、合同成本</w:t>
      </w:r>
      <w:bookmarkEnd w:id="223"/>
    </w:p>
    <w:p w:rsidR="000F627F" w:rsidRDefault="000F627F" w:rsidP="00134FC9">
      <w:pPr>
        <w:widowControl/>
        <w:numPr>
          <w:ilvl w:val="3"/>
          <w:numId w:val="102"/>
        </w:numPr>
        <w:tabs>
          <w:tab w:val="clear" w:pos="2880"/>
          <w:tab w:val="num" w:pos="0"/>
        </w:tabs>
        <w:spacing w:before="100" w:beforeAutospacing="1" w:after="100" w:afterAutospacing="1"/>
        <w:ind w:left="0" w:firstLine="426"/>
        <w:divId w:val="738213909"/>
        <w:rPr>
          <w:sz w:val="18"/>
          <w:szCs w:val="18"/>
        </w:rPr>
      </w:pPr>
      <w:r>
        <w:rPr>
          <w:rFonts w:hint="eastAsia"/>
          <w:sz w:val="18"/>
          <w:szCs w:val="18"/>
        </w:rPr>
        <w:t>合同履约成本</w:t>
      </w:r>
    </w:p>
    <w:p w:rsidR="000F627F" w:rsidRDefault="000F627F">
      <w:pPr>
        <w:pStyle w:val="a3"/>
        <w:spacing w:before="0" w:beforeAutospacing="0" w:after="0" w:afterAutospacing="0" w:line="360" w:lineRule="auto"/>
        <w:ind w:firstLine="420"/>
        <w:jc w:val="both"/>
        <w:divId w:val="738213909"/>
        <w:rPr>
          <w:sz w:val="21"/>
          <w:szCs w:val="21"/>
        </w:rPr>
      </w:pPr>
      <w:r>
        <w:rPr>
          <w:rFonts w:hint="eastAsia"/>
          <w:sz w:val="18"/>
          <w:szCs w:val="18"/>
        </w:rPr>
        <w:t>本公司对于为履行合同发生的成本，不属于除收入准则外的其他企业会计准则范围且同时满足下列条件的作为合同履约成本确认为一项资产：</w:t>
      </w:r>
    </w:p>
    <w:p w:rsidR="000F627F" w:rsidRDefault="000F627F">
      <w:pPr>
        <w:pStyle w:val="a3"/>
        <w:spacing w:before="0" w:beforeAutospacing="0" w:after="0" w:afterAutospacing="0" w:line="360" w:lineRule="auto"/>
        <w:ind w:firstLine="420"/>
        <w:jc w:val="both"/>
        <w:divId w:val="738213909"/>
        <w:rPr>
          <w:sz w:val="21"/>
          <w:szCs w:val="21"/>
        </w:rPr>
      </w:pPr>
      <w:r>
        <w:rPr>
          <w:rFonts w:hint="eastAsia"/>
          <w:sz w:val="18"/>
          <w:szCs w:val="18"/>
        </w:rPr>
        <w:t>（1）</w:t>
      </w:r>
      <w:proofErr w:type="gramStart"/>
      <w:r>
        <w:rPr>
          <w:rFonts w:hint="eastAsia"/>
          <w:sz w:val="18"/>
          <w:szCs w:val="18"/>
        </w:rPr>
        <w:t>该成本</w:t>
      </w:r>
      <w:proofErr w:type="gramEnd"/>
      <w:r>
        <w:rPr>
          <w:rFonts w:hint="eastAsia"/>
          <w:sz w:val="18"/>
          <w:szCs w:val="18"/>
        </w:rPr>
        <w:t>与一份当前或预期取得的合同直接相关，包括直接人工、直接材料、制造费用（或类似费用）、明确由客户承担的成本以及仅因该合同而发生的其他成本；</w:t>
      </w:r>
    </w:p>
    <w:p w:rsidR="000F627F" w:rsidRDefault="000F627F">
      <w:pPr>
        <w:pStyle w:val="a3"/>
        <w:spacing w:before="0" w:beforeAutospacing="0" w:after="0" w:afterAutospacing="0" w:line="360" w:lineRule="auto"/>
        <w:ind w:firstLine="420"/>
        <w:jc w:val="both"/>
        <w:divId w:val="738213909"/>
        <w:rPr>
          <w:sz w:val="21"/>
          <w:szCs w:val="21"/>
        </w:rPr>
      </w:pPr>
      <w:r>
        <w:rPr>
          <w:rFonts w:hint="eastAsia"/>
          <w:sz w:val="18"/>
          <w:szCs w:val="18"/>
        </w:rPr>
        <w:t>（</w:t>
      </w:r>
      <w:r>
        <w:rPr>
          <w:rFonts w:ascii="Times New Roman" w:hAnsi="Times New Roman" w:cs="Times New Roman"/>
          <w:sz w:val="18"/>
          <w:szCs w:val="18"/>
        </w:rPr>
        <w:t>2</w:t>
      </w:r>
      <w:r>
        <w:rPr>
          <w:rFonts w:hint="eastAsia"/>
          <w:sz w:val="18"/>
          <w:szCs w:val="18"/>
        </w:rPr>
        <w:t>）</w:t>
      </w:r>
      <w:proofErr w:type="gramStart"/>
      <w:r>
        <w:rPr>
          <w:rFonts w:hint="eastAsia"/>
          <w:sz w:val="18"/>
          <w:szCs w:val="18"/>
        </w:rPr>
        <w:t>该成本</w:t>
      </w:r>
      <w:proofErr w:type="gramEnd"/>
      <w:r>
        <w:rPr>
          <w:rFonts w:hint="eastAsia"/>
          <w:sz w:val="18"/>
          <w:szCs w:val="18"/>
        </w:rPr>
        <w:t>增加了企业未来用于履行履约义务的资源；</w:t>
      </w:r>
    </w:p>
    <w:p w:rsidR="000F627F" w:rsidRDefault="000F627F">
      <w:pPr>
        <w:pStyle w:val="a3"/>
        <w:spacing w:before="0" w:beforeAutospacing="0" w:after="0" w:afterAutospacing="0" w:line="360" w:lineRule="auto"/>
        <w:ind w:firstLine="420"/>
        <w:jc w:val="both"/>
        <w:divId w:val="738213909"/>
        <w:rPr>
          <w:sz w:val="21"/>
          <w:szCs w:val="21"/>
        </w:rPr>
      </w:pPr>
      <w:r>
        <w:rPr>
          <w:rFonts w:hint="eastAsia"/>
          <w:sz w:val="18"/>
          <w:szCs w:val="18"/>
        </w:rPr>
        <w:t>（</w:t>
      </w:r>
      <w:r>
        <w:rPr>
          <w:rFonts w:ascii="Times New Roman" w:hAnsi="Times New Roman" w:cs="Times New Roman"/>
          <w:sz w:val="18"/>
          <w:szCs w:val="18"/>
        </w:rPr>
        <w:t>3</w:t>
      </w:r>
      <w:r>
        <w:rPr>
          <w:rFonts w:hint="eastAsia"/>
          <w:sz w:val="18"/>
          <w:szCs w:val="18"/>
        </w:rPr>
        <w:t>）</w:t>
      </w:r>
      <w:proofErr w:type="gramStart"/>
      <w:r>
        <w:rPr>
          <w:rFonts w:hint="eastAsia"/>
          <w:sz w:val="18"/>
          <w:szCs w:val="18"/>
        </w:rPr>
        <w:t>该成本</w:t>
      </w:r>
      <w:proofErr w:type="gramEnd"/>
      <w:r>
        <w:rPr>
          <w:rFonts w:hint="eastAsia"/>
          <w:sz w:val="18"/>
          <w:szCs w:val="18"/>
        </w:rPr>
        <w:t>预期能够收回。</w:t>
      </w:r>
    </w:p>
    <w:p w:rsidR="000F627F" w:rsidRDefault="000F627F">
      <w:pPr>
        <w:pStyle w:val="a3"/>
        <w:spacing w:before="0" w:beforeAutospacing="0" w:after="0" w:afterAutospacing="0" w:line="360" w:lineRule="auto"/>
        <w:ind w:firstLine="420"/>
        <w:jc w:val="both"/>
        <w:divId w:val="738213909"/>
        <w:rPr>
          <w:sz w:val="21"/>
          <w:szCs w:val="21"/>
        </w:rPr>
      </w:pPr>
      <w:r>
        <w:rPr>
          <w:rFonts w:hint="eastAsia"/>
          <w:sz w:val="18"/>
          <w:szCs w:val="18"/>
        </w:rPr>
        <w:t>该资产根据其初始确认时摊销期限是否超过一个正常营业周期在存货或其他非流动资产中列报。</w:t>
      </w:r>
    </w:p>
    <w:p w:rsidR="000F627F" w:rsidRDefault="000F627F" w:rsidP="00134FC9">
      <w:pPr>
        <w:widowControl/>
        <w:numPr>
          <w:ilvl w:val="3"/>
          <w:numId w:val="103"/>
        </w:numPr>
        <w:tabs>
          <w:tab w:val="clear" w:pos="2880"/>
          <w:tab w:val="num" w:pos="0"/>
        </w:tabs>
        <w:spacing w:before="100" w:beforeAutospacing="1" w:after="100" w:afterAutospacing="1"/>
        <w:ind w:left="0" w:firstLine="426"/>
        <w:divId w:val="738213909"/>
        <w:rPr>
          <w:sz w:val="18"/>
          <w:szCs w:val="18"/>
        </w:rPr>
      </w:pPr>
      <w:r>
        <w:rPr>
          <w:rFonts w:hint="eastAsia"/>
          <w:sz w:val="18"/>
          <w:szCs w:val="18"/>
        </w:rPr>
        <w:t>合同取得成本</w:t>
      </w:r>
    </w:p>
    <w:p w:rsidR="000F627F" w:rsidRDefault="000F627F">
      <w:pPr>
        <w:pStyle w:val="a3"/>
        <w:spacing w:before="0" w:beforeAutospacing="0" w:after="0" w:afterAutospacing="0" w:line="360" w:lineRule="auto"/>
        <w:ind w:firstLine="420"/>
        <w:jc w:val="both"/>
        <w:divId w:val="738213909"/>
        <w:rPr>
          <w:sz w:val="21"/>
          <w:szCs w:val="21"/>
        </w:rPr>
      </w:pPr>
      <w:r>
        <w:rPr>
          <w:rFonts w:hint="eastAsia"/>
          <w:sz w:val="18"/>
          <w:szCs w:val="18"/>
        </w:rPr>
        <w:t>本公司为取得合同发生的增量成本预期能够收回的，作为合同取得成本确认为一项资产。增量成本是指本公司不取得合同就不会发生的成本，如销售佣金等。对于摊销期限不超过一年的，在发生时计入当期损益。</w:t>
      </w:r>
    </w:p>
    <w:p w:rsidR="000F627F" w:rsidRDefault="000F627F" w:rsidP="00134FC9">
      <w:pPr>
        <w:widowControl/>
        <w:numPr>
          <w:ilvl w:val="3"/>
          <w:numId w:val="104"/>
        </w:numPr>
        <w:tabs>
          <w:tab w:val="clear" w:pos="2880"/>
          <w:tab w:val="num" w:pos="0"/>
        </w:tabs>
        <w:spacing w:before="100" w:beforeAutospacing="1" w:after="100" w:afterAutospacing="1"/>
        <w:ind w:left="0" w:firstLine="426"/>
        <w:divId w:val="738213909"/>
        <w:rPr>
          <w:sz w:val="18"/>
          <w:szCs w:val="18"/>
        </w:rPr>
      </w:pPr>
      <w:r>
        <w:rPr>
          <w:rFonts w:hint="eastAsia"/>
          <w:sz w:val="18"/>
          <w:szCs w:val="18"/>
        </w:rPr>
        <w:t>合同成本摊销</w:t>
      </w:r>
    </w:p>
    <w:p w:rsidR="000F627F" w:rsidRDefault="000F627F">
      <w:pPr>
        <w:pStyle w:val="a3"/>
        <w:spacing w:before="0" w:beforeAutospacing="0" w:after="0" w:afterAutospacing="0" w:line="360" w:lineRule="auto"/>
        <w:ind w:firstLine="420"/>
        <w:jc w:val="both"/>
        <w:divId w:val="738213909"/>
        <w:rPr>
          <w:sz w:val="21"/>
          <w:szCs w:val="21"/>
        </w:rPr>
      </w:pPr>
      <w:r>
        <w:rPr>
          <w:rFonts w:hint="eastAsia"/>
          <w:sz w:val="18"/>
          <w:szCs w:val="18"/>
        </w:rPr>
        <w:t>上述与合同成本有关的资产，采用与该资产相关的商品或服务收入确认相同的基础，在履约义务履行的时点或按照履约义务的履约进度进行摊销，计入当期损益。</w:t>
      </w:r>
    </w:p>
    <w:p w:rsidR="000F627F" w:rsidRDefault="000F627F" w:rsidP="00134FC9">
      <w:pPr>
        <w:widowControl/>
        <w:numPr>
          <w:ilvl w:val="3"/>
          <w:numId w:val="105"/>
        </w:numPr>
        <w:tabs>
          <w:tab w:val="clear" w:pos="2880"/>
          <w:tab w:val="num" w:pos="0"/>
        </w:tabs>
        <w:spacing w:before="100" w:beforeAutospacing="1" w:after="100" w:afterAutospacing="1"/>
        <w:ind w:left="0" w:firstLine="426"/>
        <w:divId w:val="738213909"/>
        <w:rPr>
          <w:sz w:val="18"/>
          <w:szCs w:val="18"/>
        </w:rPr>
      </w:pPr>
      <w:r>
        <w:rPr>
          <w:rFonts w:hint="eastAsia"/>
          <w:sz w:val="18"/>
          <w:szCs w:val="18"/>
        </w:rPr>
        <w:t>合同成本减值</w:t>
      </w:r>
    </w:p>
    <w:p w:rsidR="000F627F" w:rsidRDefault="000F627F">
      <w:pPr>
        <w:pStyle w:val="a3"/>
        <w:spacing w:before="0" w:beforeAutospacing="0" w:after="0" w:afterAutospacing="0" w:line="360" w:lineRule="auto"/>
        <w:ind w:firstLine="420"/>
        <w:jc w:val="both"/>
        <w:divId w:val="738213909"/>
        <w:rPr>
          <w:sz w:val="21"/>
          <w:szCs w:val="21"/>
        </w:rPr>
      </w:pPr>
      <w:r>
        <w:rPr>
          <w:rFonts w:hint="eastAsia"/>
          <w:sz w:val="18"/>
          <w:szCs w:val="18"/>
        </w:rPr>
        <w:t>上述与合同成本有关的资产，账面价值高于本公司因转让与该资产相关的商品预期能够取得剩余对价与为转让</w:t>
      </w:r>
      <w:proofErr w:type="gramStart"/>
      <w:r>
        <w:rPr>
          <w:rFonts w:hint="eastAsia"/>
          <w:sz w:val="18"/>
          <w:szCs w:val="18"/>
        </w:rPr>
        <w:t>该相关</w:t>
      </w:r>
      <w:proofErr w:type="gramEnd"/>
      <w:r>
        <w:rPr>
          <w:rFonts w:hint="eastAsia"/>
          <w:sz w:val="18"/>
          <w:szCs w:val="18"/>
        </w:rPr>
        <w:t>商品估计将要发生的成本的差额的，超出部分应当计提减值准备，并确认为资产减值损失。</w:t>
      </w:r>
    </w:p>
    <w:p w:rsidR="000F627F" w:rsidRDefault="000F627F">
      <w:pPr>
        <w:pStyle w:val="a3"/>
        <w:spacing w:before="0" w:beforeAutospacing="0" w:after="0" w:afterAutospacing="0" w:line="360" w:lineRule="auto"/>
        <w:ind w:firstLine="420"/>
        <w:jc w:val="both"/>
        <w:divId w:val="738213909"/>
        <w:rPr>
          <w:sz w:val="21"/>
          <w:szCs w:val="21"/>
        </w:rPr>
      </w:pPr>
      <w:r>
        <w:rPr>
          <w:rFonts w:hint="eastAsia"/>
          <w:sz w:val="18"/>
          <w:szCs w:val="18"/>
        </w:rPr>
        <w:t>计提减值准备后，如果以前期间减值的因素发生变化，使得上述两项差额高于该资产账面价值的，转回原已计提的资产减值准备，并计入当期损益，但转回后的资产账面价值不超过假定不计提减值准备情况下该资产在</w:t>
      </w:r>
      <w:proofErr w:type="gramStart"/>
      <w:r>
        <w:rPr>
          <w:rFonts w:hint="eastAsia"/>
          <w:sz w:val="18"/>
          <w:szCs w:val="18"/>
        </w:rPr>
        <w:t>转回日</w:t>
      </w:r>
      <w:proofErr w:type="gramEnd"/>
      <w:r>
        <w:rPr>
          <w:rFonts w:hint="eastAsia"/>
          <w:sz w:val="18"/>
          <w:szCs w:val="18"/>
        </w:rPr>
        <w:t>的账面价值。</w:t>
      </w:r>
    </w:p>
    <w:p w:rsidR="000D58D8" w:rsidRDefault="000F627F">
      <w:pPr>
        <w:pStyle w:val="3"/>
        <w:spacing w:line="280" w:lineRule="exact"/>
        <w:jc w:val="left"/>
        <w:rPr>
          <w:rFonts w:ascii="宋体" w:hAnsi="宋体" w:cs="宋体"/>
          <w:b/>
          <w:bCs/>
        </w:rPr>
      </w:pPr>
      <w:bookmarkStart w:id="224" w:name="_Toc989111"/>
      <w:r>
        <w:rPr>
          <w:rFonts w:ascii="宋体" w:hAnsi="宋体" w:cs="宋体"/>
          <w:b/>
          <w:bCs/>
        </w:rPr>
        <w:t>39、政府补助</w:t>
      </w:r>
      <w:bookmarkEnd w:id="224"/>
    </w:p>
    <w:p w:rsidR="000F627F" w:rsidRDefault="000F627F">
      <w:pPr>
        <w:widowControl/>
        <w:numPr>
          <w:ilvl w:val="0"/>
          <w:numId w:val="106"/>
        </w:numPr>
        <w:spacing w:before="100" w:beforeAutospacing="1" w:after="100" w:afterAutospacing="1"/>
        <w:divId w:val="62739262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类型</w:t>
      </w:r>
    </w:p>
    <w:p w:rsidR="000F627F" w:rsidRDefault="000F627F">
      <w:pPr>
        <w:pStyle w:val="a3"/>
        <w:spacing w:before="0" w:beforeAutospacing="0" w:after="0" w:afterAutospacing="0" w:line="360" w:lineRule="auto"/>
        <w:ind w:firstLine="420"/>
        <w:jc w:val="both"/>
        <w:divId w:val="627392627"/>
        <w:rPr>
          <w:sz w:val="21"/>
          <w:szCs w:val="21"/>
        </w:rPr>
      </w:pPr>
      <w:r>
        <w:rPr>
          <w:rFonts w:hint="eastAsia"/>
          <w:sz w:val="18"/>
          <w:szCs w:val="18"/>
        </w:rPr>
        <w:t>政府补助，是本公司从政府无偿取得的货币性资产与非货币性资产。根据相关政府文件规定的补助对象，将政府补助划分为与资产相关的政府补助和与收益相关的政府补助。</w:t>
      </w:r>
    </w:p>
    <w:p w:rsidR="000F627F" w:rsidRDefault="000F627F">
      <w:pPr>
        <w:pStyle w:val="a3"/>
        <w:spacing w:before="0" w:beforeAutospacing="0" w:after="0" w:afterAutospacing="0" w:line="360" w:lineRule="auto"/>
        <w:ind w:firstLine="420"/>
        <w:jc w:val="both"/>
        <w:divId w:val="627392627"/>
        <w:rPr>
          <w:sz w:val="21"/>
          <w:szCs w:val="21"/>
        </w:rPr>
      </w:pPr>
      <w:r>
        <w:rPr>
          <w:rFonts w:hint="eastAsia"/>
          <w:sz w:val="18"/>
          <w:szCs w:val="18"/>
        </w:rPr>
        <w:lastRenderedPageBreak/>
        <w:t>对于政府文件未明确补助对象的政府补助，公司根据实际补助对象划分为与资产相关的政府补助或与收益相关的政府补助，相关判断依据说明详见附注五、注释</w:t>
      </w:r>
      <w:r>
        <w:rPr>
          <w:rFonts w:ascii="Times New Roman" w:hAnsi="Times New Roman" w:cs="Times New Roman"/>
          <w:sz w:val="18"/>
          <w:szCs w:val="18"/>
        </w:rPr>
        <w:t>37.</w:t>
      </w:r>
      <w:r>
        <w:rPr>
          <w:rFonts w:hint="eastAsia"/>
          <w:sz w:val="18"/>
          <w:szCs w:val="18"/>
        </w:rPr>
        <w:t>递延收益、注释</w:t>
      </w:r>
      <w:r>
        <w:rPr>
          <w:rFonts w:ascii="Times New Roman" w:hAnsi="Times New Roman" w:cs="Times New Roman"/>
          <w:sz w:val="18"/>
          <w:szCs w:val="18"/>
        </w:rPr>
        <w:t>50.</w:t>
      </w:r>
      <w:r>
        <w:rPr>
          <w:rFonts w:hint="eastAsia"/>
          <w:sz w:val="18"/>
          <w:szCs w:val="18"/>
        </w:rPr>
        <w:t>其他收益。</w:t>
      </w:r>
    </w:p>
    <w:p w:rsidR="000F627F" w:rsidRDefault="000F627F">
      <w:pPr>
        <w:pStyle w:val="a3"/>
        <w:spacing w:before="0" w:beforeAutospacing="0" w:after="0" w:afterAutospacing="0" w:line="360" w:lineRule="auto"/>
        <w:ind w:firstLine="420"/>
        <w:jc w:val="both"/>
        <w:divId w:val="627392627"/>
        <w:rPr>
          <w:sz w:val="21"/>
          <w:szCs w:val="21"/>
        </w:rPr>
      </w:pPr>
      <w:r>
        <w:rPr>
          <w:rFonts w:hint="eastAsia"/>
          <w:sz w:val="18"/>
          <w:szCs w:val="18"/>
        </w:rPr>
        <w:t>与资产相关的政府补助，是指本公司取得的、用于购建或以其他方式形成长期资产的政府补助。与收益相关的政府补助，是指除与资产相关的政府补助之外的政府补助。</w:t>
      </w:r>
    </w:p>
    <w:p w:rsidR="000F627F" w:rsidRDefault="000F627F">
      <w:pPr>
        <w:widowControl/>
        <w:numPr>
          <w:ilvl w:val="0"/>
          <w:numId w:val="107"/>
        </w:numPr>
        <w:spacing w:before="100" w:beforeAutospacing="1" w:after="100" w:afterAutospacing="1"/>
        <w:divId w:val="62739262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政府补助的确认</w:t>
      </w:r>
    </w:p>
    <w:p w:rsidR="000F627F" w:rsidRDefault="000F627F">
      <w:pPr>
        <w:pStyle w:val="a3"/>
        <w:spacing w:before="0" w:beforeAutospacing="0" w:after="0" w:afterAutospacing="0" w:line="360" w:lineRule="auto"/>
        <w:ind w:firstLine="420"/>
        <w:jc w:val="both"/>
        <w:divId w:val="627392627"/>
        <w:rPr>
          <w:sz w:val="21"/>
          <w:szCs w:val="21"/>
        </w:rPr>
      </w:pPr>
      <w:r>
        <w:rPr>
          <w:rFonts w:hint="eastAsia"/>
          <w:sz w:val="18"/>
          <w:szCs w:val="18"/>
        </w:rPr>
        <w:t>对期末有证据表明公司能够符合财政扶持政策规定的相关条件且预计能够收到财政扶持资金的，按应收金额确认政府补助。除此之外，政府补助均在实际收到时确认。</w:t>
      </w:r>
    </w:p>
    <w:p w:rsidR="000F627F" w:rsidRDefault="000F627F">
      <w:pPr>
        <w:pStyle w:val="a3"/>
        <w:spacing w:before="0" w:beforeAutospacing="0" w:after="0" w:afterAutospacing="0" w:line="360" w:lineRule="auto"/>
        <w:ind w:firstLine="420"/>
        <w:jc w:val="both"/>
        <w:divId w:val="627392627"/>
        <w:rPr>
          <w:sz w:val="21"/>
          <w:szCs w:val="21"/>
        </w:rPr>
      </w:pPr>
      <w:r>
        <w:rPr>
          <w:rFonts w:hint="eastAsia"/>
          <w:sz w:val="18"/>
          <w:szCs w:val="18"/>
        </w:rPr>
        <w:t>政府补助为货币性资产的，按照收到或应收的金额计量。政府补助为非货币性资产的，按照公允价值计量；公允价值不能够可靠取得的，按照名义金额（人民币</w:t>
      </w:r>
      <w:r>
        <w:rPr>
          <w:rFonts w:ascii="Times New Roman" w:hAnsi="Times New Roman" w:cs="Times New Roman"/>
          <w:sz w:val="18"/>
          <w:szCs w:val="18"/>
        </w:rPr>
        <w:t>1</w:t>
      </w:r>
      <w:r>
        <w:rPr>
          <w:rFonts w:hint="eastAsia"/>
          <w:sz w:val="18"/>
          <w:szCs w:val="18"/>
        </w:rPr>
        <w:t>元）计量。按照名义金额计量的政府补助，直接计入当期损益。</w:t>
      </w:r>
    </w:p>
    <w:p w:rsidR="000F627F" w:rsidRDefault="000F627F">
      <w:pPr>
        <w:widowControl/>
        <w:numPr>
          <w:ilvl w:val="0"/>
          <w:numId w:val="108"/>
        </w:numPr>
        <w:spacing w:before="100" w:beforeAutospacing="1" w:after="100" w:afterAutospacing="1"/>
        <w:divId w:val="627392627"/>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会计处理方法</w:t>
      </w:r>
    </w:p>
    <w:p w:rsidR="000F627F" w:rsidRDefault="000F627F">
      <w:pPr>
        <w:pStyle w:val="a3"/>
        <w:spacing w:before="0" w:beforeAutospacing="0" w:after="0" w:afterAutospacing="0" w:line="360" w:lineRule="auto"/>
        <w:ind w:firstLine="424"/>
        <w:jc w:val="both"/>
        <w:divId w:val="627392627"/>
        <w:rPr>
          <w:sz w:val="21"/>
          <w:szCs w:val="21"/>
        </w:rPr>
      </w:pPr>
      <w:r>
        <w:rPr>
          <w:rFonts w:hint="eastAsia"/>
          <w:sz w:val="18"/>
          <w:szCs w:val="18"/>
        </w:rPr>
        <w:t>本公司根据经济业务的实质，确定某一类政府补助业务应当采用总额法还是净额法进行会计处理。通常情况下，本公司对于同类或类似政府补助业务只选用一种方法，且对该业务一贯地运用该方法。</w:t>
      </w:r>
    </w:p>
    <w:p w:rsidR="000F627F" w:rsidRDefault="000F627F">
      <w:pPr>
        <w:pStyle w:val="a3"/>
        <w:spacing w:before="0" w:beforeAutospacing="0" w:after="0" w:afterAutospacing="0" w:line="360" w:lineRule="auto"/>
        <w:ind w:firstLine="420"/>
        <w:jc w:val="both"/>
        <w:divId w:val="627392627"/>
        <w:rPr>
          <w:sz w:val="21"/>
          <w:szCs w:val="21"/>
        </w:rPr>
      </w:pPr>
      <w:r>
        <w:rPr>
          <w:rFonts w:ascii="Times New Roman" w:hAnsi="Times New Roman" w:cs="Times New Roman"/>
          <w:sz w:val="18"/>
          <w:szCs w:val="18"/>
        </w:rPr>
        <w:t xml:space="preserve">    </w:t>
      </w:r>
      <w:r>
        <w:rPr>
          <w:rFonts w:hint="eastAsia"/>
          <w:sz w:val="18"/>
          <w:szCs w:val="18"/>
        </w:rPr>
        <w:t>与资产相关的政府补助，应当冲减相关资产的账面价值或</w:t>
      </w:r>
      <w:proofErr w:type="gramStart"/>
      <w:r>
        <w:rPr>
          <w:rFonts w:hint="eastAsia"/>
          <w:sz w:val="18"/>
          <w:szCs w:val="18"/>
        </w:rPr>
        <w:t>确认为递延</w:t>
      </w:r>
      <w:proofErr w:type="gramEnd"/>
      <w:r>
        <w:rPr>
          <w:rFonts w:hint="eastAsia"/>
          <w:sz w:val="18"/>
          <w:szCs w:val="18"/>
        </w:rPr>
        <w:t>收益。与资产相关的政府补助</w:t>
      </w:r>
      <w:proofErr w:type="gramStart"/>
      <w:r>
        <w:rPr>
          <w:rFonts w:hint="eastAsia"/>
          <w:sz w:val="18"/>
          <w:szCs w:val="18"/>
        </w:rPr>
        <w:t>确认为递延</w:t>
      </w:r>
      <w:proofErr w:type="gramEnd"/>
      <w:r>
        <w:rPr>
          <w:rFonts w:hint="eastAsia"/>
          <w:sz w:val="18"/>
          <w:szCs w:val="18"/>
        </w:rPr>
        <w:t>收益的，在所建造或购买资产使用寿命内按照合理、系统的方法分期计入损益。</w:t>
      </w:r>
    </w:p>
    <w:p w:rsidR="000F627F" w:rsidRDefault="000F627F">
      <w:pPr>
        <w:pStyle w:val="a3"/>
        <w:spacing w:before="0" w:beforeAutospacing="0" w:after="0" w:afterAutospacing="0" w:line="360" w:lineRule="auto"/>
        <w:ind w:firstLine="420"/>
        <w:jc w:val="both"/>
        <w:divId w:val="627392627"/>
        <w:rPr>
          <w:sz w:val="21"/>
          <w:szCs w:val="21"/>
        </w:rPr>
      </w:pPr>
      <w:r>
        <w:rPr>
          <w:rFonts w:hint="eastAsia"/>
          <w:sz w:val="18"/>
          <w:szCs w:val="18"/>
        </w:rPr>
        <w:t>与收益相关的政府补助，用于补偿企业以后期间的相关费用或损失的，</w:t>
      </w:r>
      <w:proofErr w:type="gramStart"/>
      <w:r>
        <w:rPr>
          <w:rFonts w:hint="eastAsia"/>
          <w:sz w:val="18"/>
          <w:szCs w:val="18"/>
        </w:rPr>
        <w:t>确认为递延</w:t>
      </w:r>
      <w:proofErr w:type="gramEnd"/>
      <w:r>
        <w:rPr>
          <w:rFonts w:hint="eastAsia"/>
          <w:sz w:val="18"/>
          <w:szCs w:val="18"/>
        </w:rPr>
        <w:t>收益，在确认相关费用或损失的期间计入当期损益或冲减相关成本；用于补偿企业已发生的相关费用或损失的，取得时直接计入当期损益或冲减相关成本。</w:t>
      </w:r>
    </w:p>
    <w:p w:rsidR="000F627F" w:rsidRDefault="000F627F">
      <w:pPr>
        <w:pStyle w:val="a3"/>
        <w:spacing w:before="0" w:beforeAutospacing="0" w:after="0" w:afterAutospacing="0" w:line="360" w:lineRule="auto"/>
        <w:ind w:firstLine="420"/>
        <w:jc w:val="both"/>
        <w:divId w:val="627392627"/>
        <w:rPr>
          <w:sz w:val="21"/>
          <w:szCs w:val="21"/>
        </w:rPr>
      </w:pPr>
      <w:r>
        <w:rPr>
          <w:rFonts w:hint="eastAsia"/>
          <w:sz w:val="18"/>
          <w:szCs w:val="18"/>
        </w:rPr>
        <w:t>与企业日常活动相关的政府补助计入其他收益或冲减相关成本费用；与企业日常活动无关的政府补助计入营业外收支。</w:t>
      </w:r>
    </w:p>
    <w:p w:rsidR="000F627F" w:rsidRDefault="000F627F">
      <w:pPr>
        <w:pStyle w:val="a3"/>
        <w:spacing w:before="0" w:beforeAutospacing="0" w:after="0" w:afterAutospacing="0" w:line="360" w:lineRule="auto"/>
        <w:ind w:firstLine="420"/>
        <w:jc w:val="both"/>
        <w:divId w:val="627392627"/>
        <w:rPr>
          <w:sz w:val="21"/>
          <w:szCs w:val="21"/>
        </w:rPr>
      </w:pPr>
      <w:r>
        <w:rPr>
          <w:rFonts w:hint="eastAsia"/>
          <w:sz w:val="18"/>
          <w:szCs w:val="18"/>
        </w:rPr>
        <w:t>收到与政策性优惠贷款贴息相关的政府补助冲减相关借款费用；取得贷款银行提供的政策性优惠利率贷款的，以实际收到的借款金额作为借款的入账价值，按照借款本金和该政策性优惠利率计算相关借款费用。</w:t>
      </w:r>
    </w:p>
    <w:p w:rsidR="000F627F" w:rsidRDefault="000F627F">
      <w:pPr>
        <w:pStyle w:val="a3"/>
        <w:spacing w:before="0" w:beforeAutospacing="0" w:after="0" w:afterAutospacing="0" w:line="360" w:lineRule="auto"/>
        <w:ind w:firstLine="420"/>
        <w:jc w:val="both"/>
        <w:divId w:val="627392627"/>
        <w:rPr>
          <w:sz w:val="21"/>
          <w:szCs w:val="21"/>
        </w:rPr>
      </w:pPr>
      <w:r>
        <w:rPr>
          <w:rFonts w:hint="eastAsia"/>
          <w:sz w:val="18"/>
          <w:szCs w:val="18"/>
        </w:rPr>
        <w:t>已确认的政府补助需要返还时，初始确认时冲减相关资产账面价值的，调整资产账面价值；存在相关递延收益余额的，冲减相关递延收益账面余额，超出部分计入当期损益；不存在相关递延收益的，直接计入当期损益。</w:t>
      </w:r>
    </w:p>
    <w:p w:rsidR="000D58D8" w:rsidRDefault="000F627F">
      <w:pPr>
        <w:pStyle w:val="3"/>
        <w:spacing w:line="280" w:lineRule="exact"/>
        <w:jc w:val="left"/>
        <w:rPr>
          <w:rFonts w:ascii="宋体" w:hAnsi="宋体" w:cs="宋体"/>
          <w:b/>
          <w:bCs/>
        </w:rPr>
      </w:pPr>
      <w:bookmarkStart w:id="225" w:name="_Toc989112"/>
      <w:r>
        <w:rPr>
          <w:rFonts w:ascii="宋体" w:hAnsi="宋体" w:cs="宋体"/>
          <w:b/>
          <w:bCs/>
        </w:rPr>
        <w:t>40、递延所得税资产/递延所得税负债</w:t>
      </w:r>
      <w:bookmarkEnd w:id="225"/>
    </w:p>
    <w:p w:rsidR="000F627F" w:rsidRDefault="000F627F">
      <w:pPr>
        <w:pStyle w:val="a3"/>
        <w:spacing w:before="0" w:beforeAutospacing="0" w:after="0" w:afterAutospacing="0" w:line="360" w:lineRule="auto"/>
        <w:ind w:firstLine="420"/>
        <w:jc w:val="both"/>
        <w:divId w:val="1814906416"/>
        <w:rPr>
          <w:sz w:val="21"/>
          <w:szCs w:val="21"/>
        </w:rPr>
      </w:pPr>
      <w:r>
        <w:rPr>
          <w:rFonts w:hint="eastAsia"/>
          <w:sz w:val="18"/>
          <w:szCs w:val="18"/>
        </w:rPr>
        <w:t>递延所得税资产和递延所得税负债根据资产和负债的计税基础与其账面价值的差额</w:t>
      </w:r>
      <w:r>
        <w:rPr>
          <w:rFonts w:ascii="Times New Roman" w:hAnsi="Times New Roman" w:cs="Times New Roman"/>
          <w:sz w:val="18"/>
          <w:szCs w:val="18"/>
        </w:rPr>
        <w:t>(</w:t>
      </w:r>
      <w:r>
        <w:rPr>
          <w:rFonts w:hint="eastAsia"/>
          <w:sz w:val="18"/>
          <w:szCs w:val="18"/>
        </w:rPr>
        <w:t>暂时性差异</w:t>
      </w:r>
      <w:r>
        <w:rPr>
          <w:rFonts w:ascii="Times New Roman" w:hAnsi="Times New Roman" w:cs="Times New Roman"/>
          <w:sz w:val="18"/>
          <w:szCs w:val="18"/>
        </w:rPr>
        <w:t>)</w:t>
      </w:r>
      <w:r>
        <w:rPr>
          <w:rFonts w:hint="eastAsia"/>
          <w:sz w:val="18"/>
          <w:szCs w:val="18"/>
        </w:rPr>
        <w:t>计算确认。于资产负债表日，递延所得税资产和递延所得税负债，按照预期收回该资产或清偿该负债期间的适用税率计量。</w:t>
      </w:r>
    </w:p>
    <w:p w:rsidR="000F627F" w:rsidRDefault="000F627F">
      <w:pPr>
        <w:widowControl/>
        <w:numPr>
          <w:ilvl w:val="0"/>
          <w:numId w:val="109"/>
        </w:numPr>
        <w:spacing w:before="100" w:beforeAutospacing="1" w:after="100" w:afterAutospacing="1"/>
        <w:divId w:val="1814906416"/>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确认递延所得税资产的依据</w:t>
      </w:r>
    </w:p>
    <w:p w:rsidR="000F627F" w:rsidRDefault="000F627F">
      <w:pPr>
        <w:pStyle w:val="a3"/>
        <w:spacing w:before="0" w:beforeAutospacing="0" w:after="0" w:afterAutospacing="0" w:line="360" w:lineRule="auto"/>
        <w:ind w:firstLine="420"/>
        <w:jc w:val="both"/>
        <w:divId w:val="1814906416"/>
        <w:rPr>
          <w:sz w:val="21"/>
          <w:szCs w:val="21"/>
        </w:rPr>
      </w:pPr>
      <w:r>
        <w:rPr>
          <w:rFonts w:hint="eastAsia"/>
          <w:sz w:val="18"/>
          <w:szCs w:val="18"/>
        </w:rPr>
        <w:lastRenderedPageBreak/>
        <w:t>本公司以很可能取得用来抵扣可抵扣暂时性差异、能够结转以后年度的可抵扣亏损和税款抵减的应纳税所得额为限，确认由可抵扣暂时性差异产生的递延所得税资产。但是，同时具有下列特征的交易中因资产或负债的初始确认所产生的递延所得税资产不予确认：（</w:t>
      </w:r>
      <w:r>
        <w:rPr>
          <w:rFonts w:ascii="Times New Roman" w:hAnsi="Times New Roman" w:cs="Times New Roman"/>
          <w:sz w:val="18"/>
          <w:szCs w:val="18"/>
        </w:rPr>
        <w:t>1</w:t>
      </w:r>
      <w:r>
        <w:rPr>
          <w:rFonts w:hint="eastAsia"/>
          <w:sz w:val="18"/>
          <w:szCs w:val="18"/>
        </w:rPr>
        <w:t>）该交易不是企业合并；（</w:t>
      </w:r>
      <w:r>
        <w:rPr>
          <w:rFonts w:ascii="Times New Roman" w:hAnsi="Times New Roman" w:cs="Times New Roman"/>
          <w:sz w:val="18"/>
          <w:szCs w:val="18"/>
        </w:rPr>
        <w:t>2</w:t>
      </w:r>
      <w:r>
        <w:rPr>
          <w:rFonts w:hint="eastAsia"/>
          <w:sz w:val="18"/>
          <w:szCs w:val="18"/>
        </w:rPr>
        <w:t>）交易发生时既不影响会计利润也不影响应纳税所得额或可抵扣亏损。</w:t>
      </w:r>
    </w:p>
    <w:p w:rsidR="000F627F" w:rsidRDefault="000F627F">
      <w:pPr>
        <w:pStyle w:val="a3"/>
        <w:spacing w:before="0" w:beforeAutospacing="0" w:after="0" w:afterAutospacing="0" w:line="360" w:lineRule="auto"/>
        <w:ind w:firstLine="420"/>
        <w:jc w:val="both"/>
        <w:divId w:val="1814906416"/>
        <w:rPr>
          <w:sz w:val="21"/>
          <w:szCs w:val="21"/>
        </w:rPr>
      </w:pPr>
      <w:r>
        <w:rPr>
          <w:rFonts w:hint="eastAsia"/>
          <w:sz w:val="18"/>
          <w:szCs w:val="18"/>
        </w:rPr>
        <w:t>对于与联营企业投资相关的可抵扣暂时性差异，同时满足下列条件的，确认相应的递延所得税资产：暂时性差异在可预见的未来很可能转回，且未来很可能获得用来抵扣可抵扣暂时性差异的应纳税所得额。</w:t>
      </w:r>
    </w:p>
    <w:p w:rsidR="000F627F" w:rsidRDefault="000F627F">
      <w:pPr>
        <w:widowControl/>
        <w:numPr>
          <w:ilvl w:val="0"/>
          <w:numId w:val="110"/>
        </w:numPr>
        <w:spacing w:before="100" w:beforeAutospacing="1" w:after="100" w:afterAutospacing="1"/>
        <w:divId w:val="1814906416"/>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确认递延所得税负债的依据</w:t>
      </w:r>
    </w:p>
    <w:p w:rsidR="000F627F" w:rsidRDefault="000F627F">
      <w:pPr>
        <w:pStyle w:val="a3"/>
        <w:spacing w:before="0" w:beforeAutospacing="0" w:after="0" w:afterAutospacing="0" w:line="360" w:lineRule="auto"/>
        <w:ind w:firstLine="420"/>
        <w:jc w:val="both"/>
        <w:divId w:val="1814906416"/>
        <w:rPr>
          <w:sz w:val="21"/>
          <w:szCs w:val="21"/>
        </w:rPr>
      </w:pPr>
      <w:r>
        <w:rPr>
          <w:rFonts w:hint="eastAsia"/>
          <w:sz w:val="18"/>
          <w:szCs w:val="18"/>
        </w:rPr>
        <w:t>公司将当期与以前期间应交未交的应纳税暂时性差异</w:t>
      </w:r>
      <w:proofErr w:type="gramStart"/>
      <w:r>
        <w:rPr>
          <w:rFonts w:hint="eastAsia"/>
          <w:sz w:val="18"/>
          <w:szCs w:val="18"/>
        </w:rPr>
        <w:t>确认为递延</w:t>
      </w:r>
      <w:proofErr w:type="gramEnd"/>
      <w:r>
        <w:rPr>
          <w:rFonts w:hint="eastAsia"/>
          <w:sz w:val="18"/>
          <w:szCs w:val="18"/>
        </w:rPr>
        <w:t>所得税负债。但不包括：</w:t>
      </w:r>
    </w:p>
    <w:p w:rsidR="000F627F" w:rsidRDefault="000F627F">
      <w:pPr>
        <w:pStyle w:val="a3"/>
        <w:spacing w:before="0" w:beforeAutospacing="0" w:after="0" w:afterAutospacing="0" w:line="360" w:lineRule="auto"/>
        <w:ind w:firstLine="420"/>
        <w:jc w:val="both"/>
        <w:divId w:val="1814906416"/>
        <w:rPr>
          <w:sz w:val="21"/>
          <w:szCs w:val="21"/>
        </w:rPr>
      </w:pPr>
      <w:r>
        <w:rPr>
          <w:rFonts w:hint="eastAsia"/>
          <w:sz w:val="18"/>
          <w:szCs w:val="18"/>
        </w:rPr>
        <w:t>（</w:t>
      </w:r>
      <w:r>
        <w:rPr>
          <w:rFonts w:ascii="Times New Roman" w:hAnsi="Times New Roman" w:cs="Times New Roman"/>
          <w:sz w:val="18"/>
          <w:szCs w:val="18"/>
        </w:rPr>
        <w:t>1</w:t>
      </w:r>
      <w:r>
        <w:rPr>
          <w:rFonts w:hint="eastAsia"/>
          <w:sz w:val="18"/>
          <w:szCs w:val="18"/>
        </w:rPr>
        <w:t>）商誉的初始确认所形成的暂时性差异；</w:t>
      </w:r>
    </w:p>
    <w:p w:rsidR="000F627F" w:rsidRDefault="000F627F">
      <w:pPr>
        <w:pStyle w:val="a3"/>
        <w:spacing w:before="0" w:beforeAutospacing="0" w:after="0" w:afterAutospacing="0" w:line="360" w:lineRule="auto"/>
        <w:ind w:firstLine="420"/>
        <w:jc w:val="both"/>
        <w:divId w:val="1814906416"/>
        <w:rPr>
          <w:sz w:val="21"/>
          <w:szCs w:val="21"/>
        </w:rPr>
      </w:pPr>
      <w:r>
        <w:rPr>
          <w:rFonts w:hint="eastAsia"/>
          <w:sz w:val="18"/>
          <w:szCs w:val="18"/>
        </w:rPr>
        <w:t>（</w:t>
      </w:r>
      <w:r>
        <w:rPr>
          <w:rFonts w:ascii="Times New Roman" w:hAnsi="Times New Roman" w:cs="Times New Roman"/>
          <w:sz w:val="18"/>
          <w:szCs w:val="18"/>
        </w:rPr>
        <w:t>2</w:t>
      </w:r>
      <w:r>
        <w:rPr>
          <w:rFonts w:hint="eastAsia"/>
          <w:sz w:val="18"/>
          <w:szCs w:val="18"/>
        </w:rPr>
        <w:t>）非企业合并形成的交易或事项，且该交易或事项发生时既不影响会计利润，也不影响应纳税所得额（或可抵扣亏损）所形成的暂时性差异；</w:t>
      </w:r>
    </w:p>
    <w:p w:rsidR="000F627F" w:rsidRDefault="000F627F">
      <w:pPr>
        <w:pStyle w:val="a3"/>
        <w:spacing w:before="0" w:beforeAutospacing="0" w:after="0" w:afterAutospacing="0" w:line="360" w:lineRule="auto"/>
        <w:ind w:firstLine="420"/>
        <w:jc w:val="both"/>
        <w:divId w:val="1814906416"/>
        <w:rPr>
          <w:sz w:val="21"/>
          <w:szCs w:val="21"/>
        </w:rPr>
      </w:pPr>
      <w:r>
        <w:rPr>
          <w:rFonts w:hint="eastAsia"/>
          <w:sz w:val="18"/>
          <w:szCs w:val="18"/>
        </w:rPr>
        <w:t>（</w:t>
      </w:r>
      <w:r>
        <w:rPr>
          <w:rFonts w:ascii="Times New Roman" w:hAnsi="Times New Roman" w:cs="Times New Roman"/>
          <w:sz w:val="18"/>
          <w:szCs w:val="18"/>
        </w:rPr>
        <w:t>3</w:t>
      </w:r>
      <w:r>
        <w:rPr>
          <w:rFonts w:hint="eastAsia"/>
          <w:sz w:val="18"/>
          <w:szCs w:val="18"/>
        </w:rPr>
        <w:t>）对于与子公司、联营企业投资相关的应纳税暂时性差异，该暂时性差异转回的时间能够控制并且该暂时性差异在可预见的未来很可能不会转回。</w:t>
      </w:r>
    </w:p>
    <w:p w:rsidR="000F627F" w:rsidRDefault="000F627F">
      <w:pPr>
        <w:widowControl/>
        <w:numPr>
          <w:ilvl w:val="0"/>
          <w:numId w:val="111"/>
        </w:numPr>
        <w:spacing w:before="100" w:beforeAutospacing="1" w:after="100" w:afterAutospacing="1"/>
        <w:divId w:val="1814906416"/>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同时满足下列条件时，</w:t>
      </w:r>
      <w:proofErr w:type="gramStart"/>
      <w:r>
        <w:rPr>
          <w:rFonts w:hint="eastAsia"/>
          <w:sz w:val="18"/>
          <w:szCs w:val="18"/>
        </w:rPr>
        <w:t>将递延</w:t>
      </w:r>
      <w:proofErr w:type="gramEnd"/>
      <w:r>
        <w:rPr>
          <w:rFonts w:hint="eastAsia"/>
          <w:sz w:val="18"/>
          <w:szCs w:val="18"/>
        </w:rPr>
        <w:t>所得税资产及递延所得税负债以</w:t>
      </w:r>
      <w:proofErr w:type="gramStart"/>
      <w:r>
        <w:rPr>
          <w:rFonts w:hint="eastAsia"/>
          <w:sz w:val="18"/>
          <w:szCs w:val="18"/>
        </w:rPr>
        <w:t>抵销</w:t>
      </w:r>
      <w:proofErr w:type="gramEnd"/>
      <w:r>
        <w:rPr>
          <w:rFonts w:hint="eastAsia"/>
          <w:sz w:val="18"/>
          <w:szCs w:val="18"/>
        </w:rPr>
        <w:t>后的净额列示</w:t>
      </w:r>
    </w:p>
    <w:p w:rsidR="000F627F" w:rsidRDefault="000F627F">
      <w:pPr>
        <w:pStyle w:val="a3"/>
        <w:spacing w:before="0" w:beforeAutospacing="0" w:after="0" w:afterAutospacing="0" w:line="360" w:lineRule="auto"/>
        <w:ind w:firstLine="420"/>
        <w:jc w:val="both"/>
        <w:divId w:val="1814906416"/>
        <w:rPr>
          <w:sz w:val="21"/>
          <w:szCs w:val="21"/>
        </w:rPr>
      </w:pPr>
      <w:r>
        <w:rPr>
          <w:rFonts w:hint="eastAsia"/>
          <w:sz w:val="18"/>
          <w:szCs w:val="18"/>
        </w:rPr>
        <w:t>（</w:t>
      </w:r>
      <w:r>
        <w:rPr>
          <w:rFonts w:ascii="Times New Roman" w:hAnsi="Times New Roman" w:cs="Times New Roman"/>
          <w:sz w:val="18"/>
          <w:szCs w:val="18"/>
        </w:rPr>
        <w:t>1</w:t>
      </w:r>
      <w:r>
        <w:rPr>
          <w:rFonts w:hint="eastAsia"/>
          <w:sz w:val="18"/>
          <w:szCs w:val="18"/>
        </w:rPr>
        <w:t>）企业拥有以净额结算当期所得税资产及当期所得税负债的法定权利；</w:t>
      </w:r>
    </w:p>
    <w:p w:rsidR="000F627F" w:rsidRDefault="000F627F">
      <w:pPr>
        <w:pStyle w:val="a3"/>
        <w:divId w:val="1814906416"/>
        <w:rPr>
          <w:sz w:val="18"/>
          <w:szCs w:val="18"/>
        </w:rPr>
      </w:pPr>
      <w:r>
        <w:rPr>
          <w:rFonts w:hint="eastAsia"/>
          <w:sz w:val="18"/>
          <w:szCs w:val="18"/>
        </w:rPr>
        <w:t>（</w:t>
      </w:r>
      <w:r>
        <w:rPr>
          <w:rFonts w:ascii="Times New Roman" w:hAnsi="Times New Roman" w:cs="Times New Roman"/>
          <w:sz w:val="18"/>
          <w:szCs w:val="18"/>
        </w:rPr>
        <w:t>2</w:t>
      </w:r>
      <w:r>
        <w:rPr>
          <w:rFonts w:hint="eastAsia"/>
          <w:sz w:val="18"/>
          <w:szCs w:val="18"/>
        </w:rPr>
        <w:t>）递延所得税资产和递延所得税负债是与同</w:t>
      </w:r>
      <w:proofErr w:type="gramStart"/>
      <w:r>
        <w:rPr>
          <w:rFonts w:hint="eastAsia"/>
          <w:sz w:val="18"/>
          <w:szCs w:val="18"/>
        </w:rPr>
        <w:t>一税收</w:t>
      </w:r>
      <w:proofErr w:type="gramEnd"/>
      <w:r>
        <w:rPr>
          <w:rFonts w:hint="eastAsia"/>
          <w:sz w:val="18"/>
          <w:szCs w:val="18"/>
        </w:rPr>
        <w:t>征管部门对同一纳税主体征收的所得税相关或者对不同的纳税主体相关，但在未来每一具有重要性的递延所得税资产和递延所得税负债转回的期间内，涉及的纳税主体</w:t>
      </w:r>
      <w:proofErr w:type="gramStart"/>
      <w:r>
        <w:rPr>
          <w:rFonts w:hint="eastAsia"/>
          <w:sz w:val="18"/>
          <w:szCs w:val="18"/>
        </w:rPr>
        <w:t>体</w:t>
      </w:r>
      <w:proofErr w:type="gramEnd"/>
      <w:r>
        <w:rPr>
          <w:rFonts w:hint="eastAsia"/>
          <w:sz w:val="18"/>
          <w:szCs w:val="18"/>
        </w:rPr>
        <w:t xml:space="preserve">意图以净额结算当期所得税资产及当期所得税负债或是同时取得资产、清偿债务。 </w:t>
      </w:r>
    </w:p>
    <w:p w:rsidR="000D58D8" w:rsidRDefault="000F627F">
      <w:pPr>
        <w:pStyle w:val="3"/>
        <w:spacing w:line="280" w:lineRule="exact"/>
        <w:jc w:val="left"/>
        <w:rPr>
          <w:rFonts w:ascii="宋体" w:hAnsi="宋体" w:cs="宋体"/>
          <w:b/>
          <w:bCs/>
        </w:rPr>
      </w:pPr>
      <w:bookmarkStart w:id="226" w:name="_Toc989113"/>
      <w:r>
        <w:rPr>
          <w:rFonts w:ascii="宋体" w:hAnsi="宋体" w:cs="宋体"/>
          <w:b/>
          <w:bCs/>
        </w:rPr>
        <w:t>41、租赁</w:t>
      </w:r>
      <w:bookmarkEnd w:id="226"/>
    </w:p>
    <w:p w:rsidR="000D58D8" w:rsidRDefault="000F627F">
      <w:pPr>
        <w:keepNext/>
        <w:keepLines/>
        <w:spacing w:before="300" w:after="300" w:line="280" w:lineRule="exact"/>
        <w:outlineLvl w:val="3"/>
        <w:rPr>
          <w:rFonts w:ascii="宋体" w:eastAsia="宋体" w:hAnsi="宋体" w:cs="宋体"/>
          <w:b/>
          <w:bCs/>
          <w:szCs w:val="21"/>
        </w:rPr>
      </w:pPr>
      <w:bookmarkStart w:id="227" w:name="_Toc989114"/>
      <w:r>
        <w:rPr>
          <w:rFonts w:ascii="宋体" w:eastAsia="宋体" w:hAnsi="宋体" w:cs="宋体"/>
          <w:b/>
          <w:bCs/>
          <w:szCs w:val="21"/>
        </w:rPr>
        <w:t>（1） 作为承租方租赁的会计处理方法</w:t>
      </w:r>
      <w:bookmarkEnd w:id="227"/>
    </w:p>
    <w:p w:rsidR="000F627F" w:rsidRDefault="000F627F">
      <w:pPr>
        <w:pStyle w:val="a3"/>
        <w:spacing w:before="0" w:beforeAutospacing="0" w:after="0" w:afterAutospacing="0" w:line="360" w:lineRule="auto"/>
        <w:ind w:firstLine="420"/>
        <w:divId w:val="1732269475"/>
        <w:rPr>
          <w:rFonts w:ascii="Times New Roman" w:hAnsi="Times New Roman" w:cs="Times New Roman"/>
          <w:sz w:val="21"/>
          <w:szCs w:val="21"/>
        </w:rPr>
      </w:pPr>
      <w:r>
        <w:rPr>
          <w:rFonts w:cs="Times New Roman" w:hint="eastAsia"/>
          <w:sz w:val="18"/>
          <w:szCs w:val="18"/>
        </w:rPr>
        <w:t>在租赁期开始日，除应用简化处理的短期租赁和低价值资产租赁外，本公司对租赁确认使用权资产和租赁负债。</w:t>
      </w:r>
    </w:p>
    <w:p w:rsidR="000F627F" w:rsidRDefault="000F627F">
      <w:pPr>
        <w:pStyle w:val="a3"/>
        <w:spacing w:before="0" w:beforeAutospacing="0" w:after="0" w:afterAutospacing="0" w:line="360" w:lineRule="auto"/>
        <w:ind w:firstLine="420"/>
        <w:divId w:val="1732269475"/>
        <w:rPr>
          <w:rFonts w:ascii="Times New Roman" w:hAnsi="Times New Roman" w:cs="Times New Roman"/>
          <w:sz w:val="21"/>
          <w:szCs w:val="21"/>
        </w:rPr>
      </w:pPr>
      <w:r>
        <w:rPr>
          <w:rFonts w:cs="Times New Roman" w:hint="eastAsia"/>
          <w:sz w:val="18"/>
          <w:szCs w:val="18"/>
        </w:rPr>
        <w:t>（1）短期租赁和低价值资产租赁</w:t>
      </w:r>
    </w:p>
    <w:p w:rsidR="000F627F" w:rsidRDefault="000F627F">
      <w:pPr>
        <w:pStyle w:val="a3"/>
        <w:spacing w:before="0" w:beforeAutospacing="0" w:after="0" w:afterAutospacing="0" w:line="360" w:lineRule="auto"/>
        <w:ind w:firstLine="420"/>
        <w:divId w:val="1732269475"/>
        <w:rPr>
          <w:rFonts w:ascii="Times New Roman" w:hAnsi="Times New Roman" w:cs="Times New Roman"/>
          <w:sz w:val="21"/>
          <w:szCs w:val="21"/>
        </w:rPr>
      </w:pPr>
      <w:r>
        <w:rPr>
          <w:rFonts w:cs="Times New Roman" w:hint="eastAsia"/>
          <w:sz w:val="18"/>
          <w:szCs w:val="18"/>
        </w:rPr>
        <w:t>短期租赁是指不包含购买选择权且租赁期不超过12个月的租赁。低价值资产租赁是指单项租赁资产为全新资产时价值较低的租赁，主要包括员工宿舍租赁。</w:t>
      </w:r>
    </w:p>
    <w:p w:rsidR="000F627F" w:rsidRDefault="000F627F">
      <w:pPr>
        <w:pStyle w:val="a3"/>
        <w:spacing w:before="0" w:beforeAutospacing="0" w:after="0" w:afterAutospacing="0" w:line="360" w:lineRule="auto"/>
        <w:ind w:firstLine="420"/>
        <w:divId w:val="1732269475"/>
        <w:rPr>
          <w:rFonts w:ascii="Times New Roman" w:hAnsi="Times New Roman" w:cs="Times New Roman"/>
          <w:sz w:val="21"/>
          <w:szCs w:val="21"/>
        </w:rPr>
      </w:pPr>
      <w:r>
        <w:rPr>
          <w:rFonts w:cs="Times New Roman" w:hint="eastAsia"/>
          <w:sz w:val="18"/>
          <w:szCs w:val="18"/>
        </w:rPr>
        <w:t>本公司对以下短期租赁和低价值资产租赁不确认使用权资产和租赁负债，相关租赁付款额在租赁期内各个期间按照直线法计入相关资产成本或当期损益。</w:t>
      </w:r>
    </w:p>
    <w:tbl>
      <w:tblPr>
        <w:tblW w:w="9097" w:type="dxa"/>
        <w:jc w:val="center"/>
        <w:tblCellMar>
          <w:left w:w="0" w:type="dxa"/>
          <w:right w:w="0" w:type="dxa"/>
        </w:tblCellMar>
        <w:tblLook w:val="04A0" w:firstRow="1" w:lastRow="0" w:firstColumn="1" w:lastColumn="0" w:noHBand="0" w:noVBand="1"/>
        <w:tblCaption w:val="D:\大华\华孚\2023年度\TB|0-合并TB-华孚时尚股份有限公司-2023年度.xlsx|W附注模板|_jds18|0|desc|||0|1"/>
      </w:tblPr>
      <w:tblGrid>
        <w:gridCol w:w="1844"/>
        <w:gridCol w:w="7253"/>
      </w:tblGrid>
      <w:tr w:rsidR="000F627F" w:rsidTr="00134FC9">
        <w:trPr>
          <w:divId w:val="1732269475"/>
          <w:trHeight w:val="340"/>
          <w:jc w:val="center"/>
        </w:trPr>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项目</w:t>
            </w:r>
          </w:p>
        </w:tc>
        <w:tc>
          <w:tcPr>
            <w:tcW w:w="7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采用简化处理的租赁资产类别</w:t>
            </w:r>
          </w:p>
        </w:tc>
      </w:tr>
      <w:tr w:rsidR="000F627F" w:rsidTr="00134FC9">
        <w:trPr>
          <w:divId w:val="1732269475"/>
          <w:trHeight w:val="340"/>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lastRenderedPageBreak/>
              <w:t>短期租赁</w:t>
            </w:r>
          </w:p>
        </w:tc>
        <w:tc>
          <w:tcPr>
            <w:tcW w:w="7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租赁期在1年及以下的租赁</w:t>
            </w:r>
          </w:p>
        </w:tc>
      </w:tr>
    </w:tbl>
    <w:p w:rsidR="000F627F" w:rsidRDefault="000F627F">
      <w:pPr>
        <w:pStyle w:val="a3"/>
        <w:spacing w:before="0" w:beforeAutospacing="0" w:after="0" w:afterAutospacing="0" w:line="360" w:lineRule="auto"/>
        <w:ind w:firstLine="420"/>
        <w:divId w:val="1732269475"/>
        <w:rPr>
          <w:rFonts w:ascii="Times New Roman" w:hAnsi="Times New Roman" w:cs="Times New Roman"/>
          <w:sz w:val="21"/>
          <w:szCs w:val="21"/>
        </w:rPr>
      </w:pPr>
      <w:r>
        <w:rPr>
          <w:rFonts w:cs="Times New Roman" w:hint="eastAsia"/>
          <w:sz w:val="18"/>
          <w:szCs w:val="18"/>
        </w:rPr>
        <w:t>本公司对除上述以外的短期租赁和低价值资产租赁确认使用权资产和租赁负债。</w:t>
      </w:r>
    </w:p>
    <w:p w:rsidR="000F627F" w:rsidRDefault="000F627F">
      <w:pPr>
        <w:pStyle w:val="a3"/>
        <w:spacing w:before="0" w:beforeAutospacing="0" w:after="0" w:afterAutospacing="0" w:line="360" w:lineRule="auto"/>
        <w:ind w:firstLine="420"/>
        <w:divId w:val="1732269475"/>
        <w:rPr>
          <w:rFonts w:ascii="Times New Roman" w:hAnsi="Times New Roman" w:cs="Times New Roman"/>
          <w:sz w:val="21"/>
          <w:szCs w:val="21"/>
        </w:rPr>
      </w:pPr>
      <w:r>
        <w:rPr>
          <w:rFonts w:cs="Times New Roman" w:hint="eastAsia"/>
          <w:sz w:val="18"/>
          <w:szCs w:val="18"/>
        </w:rPr>
        <w:t>（2）使用权资产和租赁负债的会计政策详见本附注（二十六）和（三十三）。</w:t>
      </w:r>
    </w:p>
    <w:p w:rsidR="000D58D8" w:rsidRDefault="000F627F">
      <w:pPr>
        <w:keepNext/>
        <w:keepLines/>
        <w:spacing w:before="300" w:after="300" w:line="280" w:lineRule="exact"/>
        <w:outlineLvl w:val="3"/>
        <w:rPr>
          <w:rFonts w:ascii="宋体" w:eastAsia="宋体" w:hAnsi="宋体" w:cs="宋体"/>
          <w:b/>
          <w:bCs/>
          <w:szCs w:val="21"/>
        </w:rPr>
      </w:pPr>
      <w:bookmarkStart w:id="228" w:name="_Toc989115"/>
      <w:r>
        <w:rPr>
          <w:rFonts w:ascii="宋体" w:eastAsia="宋体" w:hAnsi="宋体" w:cs="宋体"/>
          <w:b/>
          <w:bCs/>
          <w:szCs w:val="21"/>
        </w:rPr>
        <w:t>（2） 作为出租方租赁的会计处理方法</w:t>
      </w:r>
      <w:bookmarkEnd w:id="228"/>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租赁的分类</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本公司在租赁开始日将租赁分为融资租赁和经营租赁。融资租赁是指实质上转移了与租赁资产所有权有关的几乎全部风险和报酬的租赁，其所有权最终可能转移，也可能不转移。经营租赁是指除融资租赁以外的其他租赁。</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一项租赁存在下列一种或多种情形的，本公司通常分类为融资租赁：</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1）在租赁期届满时，租赁资产的所有权转移给承租人。</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2）承租人有购买租赁资产的选择权，所订立的购买价款与预计行使选择权时租赁资产的公允价值相比足够低，因而在租赁开始日就可以合理确定承租人将行使该选择权。</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3）资产的所有权虽然不转移，但租赁期占租赁资产使用寿命的大部分。</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4）在租赁开始日，</w:t>
      </w:r>
      <w:proofErr w:type="gramStart"/>
      <w:r>
        <w:rPr>
          <w:rFonts w:cs="Times New Roman" w:hint="eastAsia"/>
          <w:sz w:val="18"/>
          <w:szCs w:val="18"/>
        </w:rPr>
        <w:t>租赁收</w:t>
      </w:r>
      <w:proofErr w:type="gramEnd"/>
      <w:r>
        <w:rPr>
          <w:rFonts w:cs="Times New Roman" w:hint="eastAsia"/>
          <w:sz w:val="18"/>
          <w:szCs w:val="18"/>
        </w:rPr>
        <w:t>款额的现值几乎相当于租赁资产的公允价值。</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5）租赁资产性质特殊，如果不作较大改造，只有承租人才能使用。</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一项租赁存在下列一项或</w:t>
      </w:r>
      <w:proofErr w:type="gramStart"/>
      <w:r>
        <w:rPr>
          <w:rFonts w:cs="Times New Roman" w:hint="eastAsia"/>
          <w:sz w:val="18"/>
          <w:szCs w:val="18"/>
        </w:rPr>
        <w:t>多项迹象</w:t>
      </w:r>
      <w:proofErr w:type="gramEnd"/>
      <w:r>
        <w:rPr>
          <w:rFonts w:cs="Times New Roman" w:hint="eastAsia"/>
          <w:sz w:val="18"/>
          <w:szCs w:val="18"/>
        </w:rPr>
        <w:t>的，本公司也可能分类为融资租赁：</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1）若承租人撤销租赁，撤销租赁对出租人造成的损失由承租人承担。</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2）资产余值的公允价值波动所产生的利得或损失归属于承租人。</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3）承租人有能力以远低于市场水平的租金继续租赁至下一期间。</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（2）对融资租赁的会计处理</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在租赁期开始日，本公司对融资租赁确认应收融资租赁款，并终止确认融资租赁资产。</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应收融资租赁款初始计量时，以未担保余值和租赁期开始日尚未收到的</w:t>
      </w:r>
      <w:proofErr w:type="gramStart"/>
      <w:r>
        <w:rPr>
          <w:rFonts w:cs="Times New Roman" w:hint="eastAsia"/>
          <w:sz w:val="18"/>
          <w:szCs w:val="18"/>
        </w:rPr>
        <w:t>租赁收</w:t>
      </w:r>
      <w:proofErr w:type="gramEnd"/>
      <w:r>
        <w:rPr>
          <w:rFonts w:cs="Times New Roman" w:hint="eastAsia"/>
          <w:sz w:val="18"/>
          <w:szCs w:val="18"/>
        </w:rPr>
        <w:t>款额按照租赁内含利率折现的现值之和作为应收融资租赁款的入账价值。</w:t>
      </w:r>
      <w:proofErr w:type="gramStart"/>
      <w:r>
        <w:rPr>
          <w:rFonts w:cs="Times New Roman" w:hint="eastAsia"/>
          <w:sz w:val="18"/>
          <w:szCs w:val="18"/>
        </w:rPr>
        <w:t>租赁收</w:t>
      </w:r>
      <w:proofErr w:type="gramEnd"/>
      <w:r>
        <w:rPr>
          <w:rFonts w:cs="Times New Roman" w:hint="eastAsia"/>
          <w:sz w:val="18"/>
          <w:szCs w:val="18"/>
        </w:rPr>
        <w:t>款额包括：</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1）扣除租赁激励相关金额后的固定付款额及实质固定付款额；</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2）取决于指数或比率的可变租赁付款额；</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3）合理确定承租人将行使购买选择权的情况下，</w:t>
      </w:r>
      <w:proofErr w:type="gramStart"/>
      <w:r>
        <w:rPr>
          <w:rFonts w:cs="Times New Roman" w:hint="eastAsia"/>
          <w:sz w:val="18"/>
          <w:szCs w:val="18"/>
        </w:rPr>
        <w:t>租赁收</w:t>
      </w:r>
      <w:proofErr w:type="gramEnd"/>
      <w:r>
        <w:rPr>
          <w:rFonts w:cs="Times New Roman" w:hint="eastAsia"/>
          <w:sz w:val="18"/>
          <w:szCs w:val="18"/>
        </w:rPr>
        <w:t>款额包括购买选择权的行权价格；</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4）租赁</w:t>
      </w:r>
      <w:proofErr w:type="gramStart"/>
      <w:r>
        <w:rPr>
          <w:rFonts w:cs="Times New Roman" w:hint="eastAsia"/>
          <w:sz w:val="18"/>
          <w:szCs w:val="18"/>
        </w:rPr>
        <w:t>期反映</w:t>
      </w:r>
      <w:proofErr w:type="gramEnd"/>
      <w:r>
        <w:rPr>
          <w:rFonts w:cs="Times New Roman" w:hint="eastAsia"/>
          <w:sz w:val="18"/>
          <w:szCs w:val="18"/>
        </w:rPr>
        <w:t>出承租人将行使终止租赁选择权的情况下，</w:t>
      </w:r>
      <w:proofErr w:type="gramStart"/>
      <w:r>
        <w:rPr>
          <w:rFonts w:cs="Times New Roman" w:hint="eastAsia"/>
          <w:sz w:val="18"/>
          <w:szCs w:val="18"/>
        </w:rPr>
        <w:t>租赁收</w:t>
      </w:r>
      <w:proofErr w:type="gramEnd"/>
      <w:r>
        <w:rPr>
          <w:rFonts w:cs="Times New Roman" w:hint="eastAsia"/>
          <w:sz w:val="18"/>
          <w:szCs w:val="18"/>
        </w:rPr>
        <w:t>款额包括承租人行使终止租赁选择权需支付的款项；</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5）由承租人、与承租人有关的一方以及有经济能力履行担保义务的</w:t>
      </w:r>
      <w:proofErr w:type="gramStart"/>
      <w:r>
        <w:rPr>
          <w:rFonts w:cs="Times New Roman" w:hint="eastAsia"/>
          <w:sz w:val="18"/>
          <w:szCs w:val="18"/>
        </w:rPr>
        <w:t>独立第三</w:t>
      </w:r>
      <w:proofErr w:type="gramEnd"/>
      <w:r>
        <w:rPr>
          <w:rFonts w:cs="Times New Roman" w:hint="eastAsia"/>
          <w:sz w:val="18"/>
          <w:szCs w:val="18"/>
        </w:rPr>
        <w:t>方向出租人提供的担保余值。</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lastRenderedPageBreak/>
        <w:t>本公司按照固定的租赁内含利率计算并确认租赁期内各个期间的利息收入，所取得的未纳入租赁投资净额计量的可变租赁付款额在实际发生时计入当期损益。</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（3）对经营租赁的会计处理</w:t>
      </w:r>
    </w:p>
    <w:p w:rsidR="000F627F" w:rsidRDefault="000F627F">
      <w:pPr>
        <w:pStyle w:val="a3"/>
        <w:spacing w:before="0" w:beforeAutospacing="0" w:after="0" w:afterAutospacing="0" w:line="360" w:lineRule="auto"/>
        <w:ind w:firstLine="420"/>
        <w:divId w:val="1763641694"/>
        <w:rPr>
          <w:rFonts w:ascii="Times New Roman" w:hAnsi="Times New Roman" w:cs="Times New Roman"/>
          <w:sz w:val="21"/>
          <w:szCs w:val="21"/>
        </w:rPr>
      </w:pPr>
      <w:r>
        <w:rPr>
          <w:rFonts w:cs="Times New Roman" w:hint="eastAsia"/>
          <w:sz w:val="18"/>
          <w:szCs w:val="18"/>
        </w:rPr>
        <w:t>本公司在租赁期内各个期间采用直线法或其他系统合理的方法，将经营租赁的</w:t>
      </w:r>
      <w:proofErr w:type="gramStart"/>
      <w:r>
        <w:rPr>
          <w:rFonts w:cs="Times New Roman" w:hint="eastAsia"/>
          <w:sz w:val="18"/>
          <w:szCs w:val="18"/>
        </w:rPr>
        <w:t>租赁收</w:t>
      </w:r>
      <w:proofErr w:type="gramEnd"/>
      <w:r>
        <w:rPr>
          <w:rFonts w:cs="Times New Roman" w:hint="eastAsia"/>
          <w:sz w:val="18"/>
          <w:szCs w:val="18"/>
        </w:rPr>
        <w:t>款额确认为租金收入；发生的与经营租赁有关的初始直接费用资本化，在租赁期内按照与租金收入确认相同的基础进行分摊，分期计入当期损益；取得的与经营租赁有关的未计入</w:t>
      </w:r>
      <w:proofErr w:type="gramStart"/>
      <w:r>
        <w:rPr>
          <w:rFonts w:cs="Times New Roman" w:hint="eastAsia"/>
          <w:sz w:val="18"/>
          <w:szCs w:val="18"/>
        </w:rPr>
        <w:t>租赁收</w:t>
      </w:r>
      <w:proofErr w:type="gramEnd"/>
      <w:r>
        <w:rPr>
          <w:rFonts w:cs="Times New Roman" w:hint="eastAsia"/>
          <w:sz w:val="18"/>
          <w:szCs w:val="18"/>
        </w:rPr>
        <w:t>款额的可变租赁付款额，在实际发生时计入当期损益。</w:t>
      </w:r>
    </w:p>
    <w:p w:rsidR="000D58D8" w:rsidRDefault="000F627F">
      <w:pPr>
        <w:pStyle w:val="3"/>
        <w:spacing w:line="280" w:lineRule="exact"/>
        <w:jc w:val="left"/>
        <w:rPr>
          <w:rFonts w:ascii="宋体" w:hAnsi="宋体" w:cs="宋体"/>
          <w:b/>
          <w:bCs/>
        </w:rPr>
      </w:pPr>
      <w:bookmarkStart w:id="229" w:name="_Toc989116"/>
      <w:r>
        <w:rPr>
          <w:rFonts w:ascii="宋体" w:hAnsi="宋体" w:cs="宋体"/>
          <w:b/>
          <w:bCs/>
        </w:rPr>
        <w:t>42、其他重要的会计政策和会计估计</w:t>
      </w:r>
      <w:bookmarkEnd w:id="229"/>
    </w:p>
    <w:p w:rsidR="000F627F" w:rsidRDefault="000F627F">
      <w:pPr>
        <w:widowControl/>
        <w:numPr>
          <w:ilvl w:val="0"/>
          <w:numId w:val="112"/>
        </w:numPr>
        <w:spacing w:before="100" w:beforeAutospacing="1" w:after="100" w:afterAutospacing="1"/>
        <w:divId w:val="1585411352"/>
        <w:rPr>
          <w:sz w:val="18"/>
          <w:szCs w:val="18"/>
        </w:rPr>
      </w:pPr>
      <w:r>
        <w:rPr>
          <w:rFonts w:hint="eastAsia"/>
          <w:sz w:val="18"/>
          <w:szCs w:val="18"/>
        </w:rPr>
        <w:t>终止经营</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本公司将满足下列条件之一的，且该组成部分已经处置或划归为持有待售类别的、能够单独区分的组成部分确认为终止经营组成部分：</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w:t>
      </w:r>
      <w:r>
        <w:rPr>
          <w:rFonts w:ascii="Times New Roman" w:hAnsi="Times New Roman" w:cs="Times New Roman"/>
          <w:sz w:val="18"/>
          <w:szCs w:val="18"/>
        </w:rPr>
        <w:t>1</w:t>
      </w:r>
      <w:r>
        <w:rPr>
          <w:rFonts w:hint="eastAsia"/>
          <w:sz w:val="18"/>
          <w:szCs w:val="18"/>
        </w:rPr>
        <w:t>）该组成部分代表一项独立的主要业务或一个单独的主要经营地区。</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w:t>
      </w:r>
      <w:r>
        <w:rPr>
          <w:rFonts w:ascii="Times New Roman" w:hAnsi="Times New Roman" w:cs="Times New Roman"/>
          <w:sz w:val="18"/>
          <w:szCs w:val="18"/>
        </w:rPr>
        <w:t>2</w:t>
      </w:r>
      <w:r>
        <w:rPr>
          <w:rFonts w:hint="eastAsia"/>
          <w:sz w:val="18"/>
          <w:szCs w:val="18"/>
        </w:rPr>
        <w:t>）该组成部分是拟对一项独立的主要业务或一个单独的主要经营地区进行处置的一项相关联计划的一部分。</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w:t>
      </w:r>
      <w:r>
        <w:rPr>
          <w:rFonts w:ascii="Times New Roman" w:hAnsi="Times New Roman" w:cs="Times New Roman"/>
          <w:sz w:val="18"/>
          <w:szCs w:val="18"/>
        </w:rPr>
        <w:t>3</w:t>
      </w:r>
      <w:r>
        <w:rPr>
          <w:rFonts w:hint="eastAsia"/>
          <w:sz w:val="18"/>
          <w:szCs w:val="18"/>
        </w:rPr>
        <w:t>）该组成部分是专为转售而取得的子公司。</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终止经营的减值损失和转回金额等经营损益及处置损益作为终止经营损益在利润表中列示。</w:t>
      </w:r>
    </w:p>
    <w:p w:rsidR="000F627F" w:rsidRDefault="000F627F">
      <w:pPr>
        <w:widowControl/>
        <w:numPr>
          <w:ilvl w:val="0"/>
          <w:numId w:val="113"/>
        </w:numPr>
        <w:spacing w:before="100" w:beforeAutospacing="1" w:after="100" w:afterAutospacing="1"/>
        <w:divId w:val="1585411352"/>
        <w:rPr>
          <w:sz w:val="18"/>
          <w:szCs w:val="18"/>
        </w:rPr>
      </w:pPr>
      <w:r>
        <w:rPr>
          <w:rFonts w:hint="eastAsia"/>
          <w:sz w:val="18"/>
          <w:szCs w:val="18"/>
        </w:rPr>
        <w:t>套期会计</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本公司按照套期关系，将套期保值划分为公允价值套期、现金流量套期和境外净投资套期。</w:t>
      </w:r>
    </w:p>
    <w:p w:rsidR="000F627F" w:rsidRDefault="000F627F">
      <w:pPr>
        <w:widowControl/>
        <w:numPr>
          <w:ilvl w:val="0"/>
          <w:numId w:val="114"/>
        </w:numPr>
        <w:spacing w:before="100" w:beforeAutospacing="1" w:after="100" w:afterAutospacing="1"/>
        <w:divId w:val="1585411352"/>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对于同时满足下列条件的套期工具，运用套期会计方法进行处理</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w:t>
      </w:r>
      <w:r>
        <w:rPr>
          <w:rFonts w:ascii="Times New Roman" w:hAnsi="Times New Roman" w:cs="Times New Roman"/>
          <w:sz w:val="18"/>
          <w:szCs w:val="18"/>
        </w:rPr>
        <w:t>1</w:t>
      </w:r>
      <w:r>
        <w:rPr>
          <w:rFonts w:hint="eastAsia"/>
          <w:sz w:val="18"/>
          <w:szCs w:val="18"/>
        </w:rPr>
        <w:t>）套</w:t>
      </w:r>
      <w:proofErr w:type="gramStart"/>
      <w:r>
        <w:rPr>
          <w:rFonts w:hint="eastAsia"/>
          <w:sz w:val="18"/>
          <w:szCs w:val="18"/>
        </w:rPr>
        <w:t>期关系</w:t>
      </w:r>
      <w:proofErr w:type="gramEnd"/>
      <w:r>
        <w:rPr>
          <w:rFonts w:hint="eastAsia"/>
          <w:sz w:val="18"/>
          <w:szCs w:val="18"/>
        </w:rPr>
        <w:t>仅由符合条件的套</w:t>
      </w:r>
      <w:proofErr w:type="gramStart"/>
      <w:r>
        <w:rPr>
          <w:rFonts w:hint="eastAsia"/>
          <w:sz w:val="18"/>
          <w:szCs w:val="18"/>
        </w:rPr>
        <w:t>期工具</w:t>
      </w:r>
      <w:proofErr w:type="gramEnd"/>
      <w:r>
        <w:rPr>
          <w:rFonts w:hint="eastAsia"/>
          <w:sz w:val="18"/>
          <w:szCs w:val="18"/>
        </w:rPr>
        <w:t>和被套</w:t>
      </w:r>
      <w:proofErr w:type="gramStart"/>
      <w:r>
        <w:rPr>
          <w:rFonts w:hint="eastAsia"/>
          <w:sz w:val="18"/>
          <w:szCs w:val="18"/>
        </w:rPr>
        <w:t>期项目</w:t>
      </w:r>
      <w:proofErr w:type="gramEnd"/>
      <w:r>
        <w:rPr>
          <w:rFonts w:hint="eastAsia"/>
          <w:sz w:val="18"/>
          <w:szCs w:val="18"/>
        </w:rPr>
        <w:t>组成。</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w:t>
      </w:r>
      <w:r>
        <w:rPr>
          <w:rFonts w:ascii="Times New Roman" w:hAnsi="Times New Roman" w:cs="Times New Roman"/>
          <w:sz w:val="18"/>
          <w:szCs w:val="18"/>
        </w:rPr>
        <w:t>2</w:t>
      </w:r>
      <w:r>
        <w:rPr>
          <w:rFonts w:hint="eastAsia"/>
          <w:sz w:val="18"/>
          <w:szCs w:val="18"/>
        </w:rPr>
        <w:t>）在套期开始时，本公司正式指定了套</w:t>
      </w:r>
      <w:proofErr w:type="gramStart"/>
      <w:r>
        <w:rPr>
          <w:rFonts w:hint="eastAsia"/>
          <w:sz w:val="18"/>
          <w:szCs w:val="18"/>
        </w:rPr>
        <w:t>期工具</w:t>
      </w:r>
      <w:proofErr w:type="gramEnd"/>
      <w:r>
        <w:rPr>
          <w:rFonts w:hint="eastAsia"/>
          <w:sz w:val="18"/>
          <w:szCs w:val="18"/>
        </w:rPr>
        <w:t>和被套期项目，并准备了关于套</w:t>
      </w:r>
      <w:proofErr w:type="gramStart"/>
      <w:r>
        <w:rPr>
          <w:rFonts w:hint="eastAsia"/>
          <w:sz w:val="18"/>
          <w:szCs w:val="18"/>
        </w:rPr>
        <w:t>期关系</w:t>
      </w:r>
      <w:proofErr w:type="gramEnd"/>
      <w:r>
        <w:rPr>
          <w:rFonts w:hint="eastAsia"/>
          <w:sz w:val="18"/>
          <w:szCs w:val="18"/>
        </w:rPr>
        <w:t>和从事套期的风险管理策略和风险管理目标的书面文件。</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w:t>
      </w:r>
      <w:r>
        <w:rPr>
          <w:rFonts w:ascii="Times New Roman" w:hAnsi="Times New Roman" w:cs="Times New Roman"/>
          <w:sz w:val="18"/>
          <w:szCs w:val="18"/>
        </w:rPr>
        <w:t>3</w:t>
      </w:r>
      <w:r>
        <w:rPr>
          <w:rFonts w:hint="eastAsia"/>
          <w:sz w:val="18"/>
          <w:szCs w:val="18"/>
        </w:rPr>
        <w:t>）套</w:t>
      </w:r>
      <w:proofErr w:type="gramStart"/>
      <w:r>
        <w:rPr>
          <w:rFonts w:hint="eastAsia"/>
          <w:sz w:val="18"/>
          <w:szCs w:val="18"/>
        </w:rPr>
        <w:t>期关系</w:t>
      </w:r>
      <w:proofErr w:type="gramEnd"/>
      <w:r>
        <w:rPr>
          <w:rFonts w:hint="eastAsia"/>
          <w:sz w:val="18"/>
          <w:szCs w:val="18"/>
        </w:rPr>
        <w:t>符合套期有效性要求。</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套</w:t>
      </w:r>
      <w:proofErr w:type="gramStart"/>
      <w:r>
        <w:rPr>
          <w:rFonts w:hint="eastAsia"/>
          <w:sz w:val="18"/>
          <w:szCs w:val="18"/>
        </w:rPr>
        <w:t>期同时</w:t>
      </w:r>
      <w:proofErr w:type="gramEnd"/>
      <w:r>
        <w:rPr>
          <w:rFonts w:hint="eastAsia"/>
          <w:sz w:val="18"/>
          <w:szCs w:val="18"/>
        </w:rPr>
        <w:t>满足下列条件的，认定套</w:t>
      </w:r>
      <w:proofErr w:type="gramStart"/>
      <w:r>
        <w:rPr>
          <w:rFonts w:hint="eastAsia"/>
          <w:sz w:val="18"/>
          <w:szCs w:val="18"/>
        </w:rPr>
        <w:t>期关系</w:t>
      </w:r>
      <w:proofErr w:type="gramEnd"/>
      <w:r>
        <w:rPr>
          <w:rFonts w:hint="eastAsia"/>
          <w:sz w:val="18"/>
          <w:szCs w:val="18"/>
        </w:rPr>
        <w:t>符合套期有效性要求：</w:t>
      </w:r>
    </w:p>
    <w:p w:rsidR="000F627F" w:rsidRDefault="000F627F">
      <w:pPr>
        <w:pStyle w:val="a3"/>
        <w:spacing w:before="0" w:beforeAutospacing="0" w:after="0" w:afterAutospacing="0" w:line="360" w:lineRule="auto"/>
        <w:ind w:firstLine="420"/>
        <w:jc w:val="both"/>
        <w:divId w:val="1585411352"/>
        <w:rPr>
          <w:sz w:val="21"/>
          <w:szCs w:val="21"/>
        </w:rPr>
      </w:pPr>
      <w:r>
        <w:rPr>
          <w:rFonts w:ascii="Times New Roman" w:hAnsi="Times New Roman" w:cs="Times New Roman"/>
          <w:sz w:val="18"/>
          <w:szCs w:val="18"/>
        </w:rPr>
        <w:t>1</w:t>
      </w:r>
      <w:r>
        <w:rPr>
          <w:rFonts w:hint="eastAsia"/>
          <w:sz w:val="18"/>
          <w:szCs w:val="18"/>
        </w:rPr>
        <w:t>）被套</w:t>
      </w:r>
      <w:proofErr w:type="gramStart"/>
      <w:r>
        <w:rPr>
          <w:rFonts w:hint="eastAsia"/>
          <w:sz w:val="18"/>
          <w:szCs w:val="18"/>
        </w:rPr>
        <w:t>期项目</w:t>
      </w:r>
      <w:proofErr w:type="gramEnd"/>
      <w:r>
        <w:rPr>
          <w:rFonts w:hint="eastAsia"/>
          <w:sz w:val="18"/>
          <w:szCs w:val="18"/>
        </w:rPr>
        <w:t>和套</w:t>
      </w:r>
      <w:proofErr w:type="gramStart"/>
      <w:r>
        <w:rPr>
          <w:rFonts w:hint="eastAsia"/>
          <w:sz w:val="18"/>
          <w:szCs w:val="18"/>
        </w:rPr>
        <w:t>期工具</w:t>
      </w:r>
      <w:proofErr w:type="gramEnd"/>
      <w:r>
        <w:rPr>
          <w:rFonts w:hint="eastAsia"/>
          <w:sz w:val="18"/>
          <w:szCs w:val="18"/>
        </w:rPr>
        <w:t>之间存在经济关系。该经济关系使得套</w:t>
      </w:r>
      <w:proofErr w:type="gramStart"/>
      <w:r>
        <w:rPr>
          <w:rFonts w:hint="eastAsia"/>
          <w:sz w:val="18"/>
          <w:szCs w:val="18"/>
        </w:rPr>
        <w:t>期工具</w:t>
      </w:r>
      <w:proofErr w:type="gramEnd"/>
      <w:r>
        <w:rPr>
          <w:rFonts w:hint="eastAsia"/>
          <w:sz w:val="18"/>
          <w:szCs w:val="18"/>
        </w:rPr>
        <w:t>和被套</w:t>
      </w:r>
      <w:proofErr w:type="gramStart"/>
      <w:r>
        <w:rPr>
          <w:rFonts w:hint="eastAsia"/>
          <w:sz w:val="18"/>
          <w:szCs w:val="18"/>
        </w:rPr>
        <w:t>期项目</w:t>
      </w:r>
      <w:proofErr w:type="gramEnd"/>
      <w:r>
        <w:rPr>
          <w:rFonts w:hint="eastAsia"/>
          <w:sz w:val="18"/>
          <w:szCs w:val="18"/>
        </w:rPr>
        <w:t>的价值因面临相同的被套期风险而发生方向相反的变动。</w:t>
      </w:r>
    </w:p>
    <w:p w:rsidR="000F627F" w:rsidRDefault="000F627F">
      <w:pPr>
        <w:pStyle w:val="a3"/>
        <w:spacing w:before="0" w:beforeAutospacing="0" w:after="0" w:afterAutospacing="0" w:line="360" w:lineRule="auto"/>
        <w:ind w:firstLine="420"/>
        <w:jc w:val="both"/>
        <w:divId w:val="1585411352"/>
        <w:rPr>
          <w:sz w:val="21"/>
          <w:szCs w:val="21"/>
        </w:rPr>
      </w:pPr>
      <w:r>
        <w:rPr>
          <w:rFonts w:ascii="Times New Roman" w:hAnsi="Times New Roman" w:cs="Times New Roman"/>
          <w:sz w:val="18"/>
          <w:szCs w:val="18"/>
        </w:rPr>
        <w:t>2</w:t>
      </w:r>
      <w:r>
        <w:rPr>
          <w:rFonts w:hint="eastAsia"/>
          <w:sz w:val="18"/>
          <w:szCs w:val="18"/>
        </w:rPr>
        <w:t>）被套</w:t>
      </w:r>
      <w:proofErr w:type="gramStart"/>
      <w:r>
        <w:rPr>
          <w:rFonts w:hint="eastAsia"/>
          <w:sz w:val="18"/>
          <w:szCs w:val="18"/>
        </w:rPr>
        <w:t>期项目</w:t>
      </w:r>
      <w:proofErr w:type="gramEnd"/>
      <w:r>
        <w:rPr>
          <w:rFonts w:hint="eastAsia"/>
          <w:sz w:val="18"/>
          <w:szCs w:val="18"/>
        </w:rPr>
        <w:t>和套</w:t>
      </w:r>
      <w:proofErr w:type="gramStart"/>
      <w:r>
        <w:rPr>
          <w:rFonts w:hint="eastAsia"/>
          <w:sz w:val="18"/>
          <w:szCs w:val="18"/>
        </w:rPr>
        <w:t>期工具</w:t>
      </w:r>
      <w:proofErr w:type="gramEnd"/>
      <w:r>
        <w:rPr>
          <w:rFonts w:hint="eastAsia"/>
          <w:sz w:val="18"/>
          <w:szCs w:val="18"/>
        </w:rPr>
        <w:t>经济关系产生的价值变动中，信用风险的影响不占主导地位。</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3）套</w:t>
      </w:r>
      <w:proofErr w:type="gramStart"/>
      <w:r>
        <w:rPr>
          <w:rFonts w:hint="eastAsia"/>
          <w:sz w:val="18"/>
          <w:szCs w:val="18"/>
        </w:rPr>
        <w:t>期关系</w:t>
      </w:r>
      <w:proofErr w:type="gramEnd"/>
      <w:r>
        <w:rPr>
          <w:rFonts w:hint="eastAsia"/>
          <w:sz w:val="18"/>
          <w:szCs w:val="18"/>
        </w:rPr>
        <w:t>的套期比率，等于公司实际套期的被套</w:t>
      </w:r>
      <w:proofErr w:type="gramStart"/>
      <w:r>
        <w:rPr>
          <w:rFonts w:hint="eastAsia"/>
          <w:sz w:val="18"/>
          <w:szCs w:val="18"/>
        </w:rPr>
        <w:t>期项目</w:t>
      </w:r>
      <w:proofErr w:type="gramEnd"/>
      <w:r>
        <w:rPr>
          <w:rFonts w:hint="eastAsia"/>
          <w:sz w:val="18"/>
          <w:szCs w:val="18"/>
        </w:rPr>
        <w:t>数量与对其进行套期的套</w:t>
      </w:r>
      <w:proofErr w:type="gramStart"/>
      <w:r>
        <w:rPr>
          <w:rFonts w:hint="eastAsia"/>
          <w:sz w:val="18"/>
          <w:szCs w:val="18"/>
        </w:rPr>
        <w:t>期工具</w:t>
      </w:r>
      <w:proofErr w:type="gramEnd"/>
      <w:r>
        <w:rPr>
          <w:rFonts w:hint="eastAsia"/>
          <w:sz w:val="18"/>
          <w:szCs w:val="18"/>
        </w:rPr>
        <w:t>实际数量之比，但不反映被套</w:t>
      </w:r>
      <w:proofErr w:type="gramStart"/>
      <w:r>
        <w:rPr>
          <w:rFonts w:hint="eastAsia"/>
          <w:sz w:val="18"/>
          <w:szCs w:val="18"/>
        </w:rPr>
        <w:t>期项目</w:t>
      </w:r>
      <w:proofErr w:type="gramEnd"/>
      <w:r>
        <w:rPr>
          <w:rFonts w:hint="eastAsia"/>
          <w:sz w:val="18"/>
          <w:szCs w:val="18"/>
        </w:rPr>
        <w:t>和套</w:t>
      </w:r>
      <w:proofErr w:type="gramStart"/>
      <w:r>
        <w:rPr>
          <w:rFonts w:hint="eastAsia"/>
          <w:sz w:val="18"/>
          <w:szCs w:val="18"/>
        </w:rPr>
        <w:t>期工具</w:t>
      </w:r>
      <w:proofErr w:type="gramEnd"/>
      <w:r>
        <w:rPr>
          <w:rFonts w:hint="eastAsia"/>
          <w:sz w:val="18"/>
          <w:szCs w:val="18"/>
        </w:rPr>
        <w:t>相对权重的失衡，这种失衡会导致套期无效，并可能产生与套期会计目标不一致的会计结果。</w:t>
      </w:r>
    </w:p>
    <w:p w:rsidR="000F627F" w:rsidRDefault="000F627F">
      <w:pPr>
        <w:widowControl/>
        <w:numPr>
          <w:ilvl w:val="0"/>
          <w:numId w:val="115"/>
        </w:numPr>
        <w:spacing w:before="100" w:beforeAutospacing="1" w:after="100" w:afterAutospacing="1"/>
        <w:divId w:val="1585411352"/>
        <w:rPr>
          <w:sz w:val="18"/>
          <w:szCs w:val="18"/>
        </w:rPr>
      </w:pPr>
      <w:r>
        <w:rPr>
          <w:rFonts w:hint="eastAsia"/>
          <w:sz w:val="18"/>
          <w:szCs w:val="18"/>
        </w:rPr>
        <w:lastRenderedPageBreak/>
        <w:t>．</w:t>
      </w:r>
      <w:r>
        <w:rPr>
          <w:rFonts w:ascii="Times New Roman" w:hAnsi="Times New Roman" w:cs="Times New Roman"/>
          <w:sz w:val="18"/>
          <w:szCs w:val="18"/>
        </w:rPr>
        <w:t xml:space="preserve">   </w:t>
      </w:r>
      <w:r>
        <w:rPr>
          <w:rFonts w:hint="eastAsia"/>
          <w:sz w:val="18"/>
          <w:szCs w:val="18"/>
        </w:rPr>
        <w:t>公允价值套期会计处理</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（1）套</w:t>
      </w:r>
      <w:proofErr w:type="gramStart"/>
      <w:r>
        <w:rPr>
          <w:rFonts w:hint="eastAsia"/>
          <w:sz w:val="18"/>
          <w:szCs w:val="18"/>
        </w:rPr>
        <w:t>期工具</w:t>
      </w:r>
      <w:proofErr w:type="gramEnd"/>
      <w:r>
        <w:rPr>
          <w:rFonts w:hint="eastAsia"/>
          <w:sz w:val="18"/>
          <w:szCs w:val="18"/>
        </w:rPr>
        <w:t>产生的利得或损失计入当期损益。如果套</w:t>
      </w:r>
      <w:proofErr w:type="gramStart"/>
      <w:r>
        <w:rPr>
          <w:rFonts w:hint="eastAsia"/>
          <w:sz w:val="18"/>
          <w:szCs w:val="18"/>
        </w:rPr>
        <w:t>期工具</w:t>
      </w:r>
      <w:proofErr w:type="gramEnd"/>
      <w:r>
        <w:rPr>
          <w:rFonts w:hint="eastAsia"/>
          <w:sz w:val="18"/>
          <w:szCs w:val="18"/>
        </w:rPr>
        <w:t>是对选择以公允价值计量且其变动计入其他综合收益的</w:t>
      </w:r>
      <w:proofErr w:type="gramStart"/>
      <w:r>
        <w:rPr>
          <w:rFonts w:hint="eastAsia"/>
          <w:sz w:val="18"/>
          <w:szCs w:val="18"/>
        </w:rPr>
        <w:t>非交易</w:t>
      </w:r>
      <w:proofErr w:type="gramEnd"/>
      <w:r>
        <w:rPr>
          <w:rFonts w:hint="eastAsia"/>
          <w:sz w:val="18"/>
          <w:szCs w:val="18"/>
        </w:rPr>
        <w:t>性权益工具投资（或其组成部分）进行套期的，套</w:t>
      </w:r>
      <w:proofErr w:type="gramStart"/>
      <w:r>
        <w:rPr>
          <w:rFonts w:hint="eastAsia"/>
          <w:sz w:val="18"/>
          <w:szCs w:val="18"/>
        </w:rPr>
        <w:t>期工具</w:t>
      </w:r>
      <w:proofErr w:type="gramEnd"/>
      <w:r>
        <w:rPr>
          <w:rFonts w:hint="eastAsia"/>
          <w:sz w:val="18"/>
          <w:szCs w:val="18"/>
        </w:rPr>
        <w:t>产生的利得或损失计入其他综合收益。</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（2）被套</w:t>
      </w:r>
      <w:proofErr w:type="gramStart"/>
      <w:r>
        <w:rPr>
          <w:rFonts w:hint="eastAsia"/>
          <w:sz w:val="18"/>
          <w:szCs w:val="18"/>
        </w:rPr>
        <w:t>期项目</w:t>
      </w:r>
      <w:proofErr w:type="gramEnd"/>
      <w:r>
        <w:rPr>
          <w:rFonts w:hint="eastAsia"/>
          <w:sz w:val="18"/>
          <w:szCs w:val="18"/>
        </w:rPr>
        <w:t>因被套期风险敞口形成的利得或损失计入当期损益，同时调整未以公允价值计量的已确认被套</w:t>
      </w:r>
      <w:proofErr w:type="gramStart"/>
      <w:r>
        <w:rPr>
          <w:rFonts w:hint="eastAsia"/>
          <w:sz w:val="18"/>
          <w:szCs w:val="18"/>
        </w:rPr>
        <w:t>期项目</w:t>
      </w:r>
      <w:proofErr w:type="gramEnd"/>
      <w:r>
        <w:rPr>
          <w:rFonts w:hint="eastAsia"/>
          <w:sz w:val="18"/>
          <w:szCs w:val="18"/>
        </w:rPr>
        <w:t>的账面价值。被套</w:t>
      </w:r>
      <w:proofErr w:type="gramStart"/>
      <w:r>
        <w:rPr>
          <w:rFonts w:hint="eastAsia"/>
          <w:sz w:val="18"/>
          <w:szCs w:val="18"/>
        </w:rPr>
        <w:t>期项目</w:t>
      </w:r>
      <w:proofErr w:type="gramEnd"/>
      <w:r>
        <w:rPr>
          <w:rFonts w:hint="eastAsia"/>
          <w:sz w:val="18"/>
          <w:szCs w:val="18"/>
        </w:rPr>
        <w:t>为以公允价值计量且其变动计入其他综合收益的金融资产（或其组成部分）的，其因被套期风险敞口形成的利得或损失计入当期损益，其账面价值已经按公允价值计量，不需要调整；被套</w:t>
      </w:r>
      <w:proofErr w:type="gramStart"/>
      <w:r>
        <w:rPr>
          <w:rFonts w:hint="eastAsia"/>
          <w:sz w:val="18"/>
          <w:szCs w:val="18"/>
        </w:rPr>
        <w:t>期项目</w:t>
      </w:r>
      <w:proofErr w:type="gramEnd"/>
      <w:r>
        <w:rPr>
          <w:rFonts w:hint="eastAsia"/>
          <w:sz w:val="18"/>
          <w:szCs w:val="18"/>
        </w:rPr>
        <w:t>为公司选择以公允价值计量且其变动计入其他综合收益的</w:t>
      </w:r>
      <w:proofErr w:type="gramStart"/>
      <w:r>
        <w:rPr>
          <w:rFonts w:hint="eastAsia"/>
          <w:sz w:val="18"/>
          <w:szCs w:val="18"/>
        </w:rPr>
        <w:t>非交易</w:t>
      </w:r>
      <w:proofErr w:type="gramEnd"/>
      <w:r>
        <w:rPr>
          <w:rFonts w:hint="eastAsia"/>
          <w:sz w:val="18"/>
          <w:szCs w:val="18"/>
        </w:rPr>
        <w:t>性权益工具投资（或其组成部分）的，其因被套期风险敞口形成的利得或损失计入其他综合收益，其账面价值已经按公允价值计量，不需要调整。</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被套</w:t>
      </w:r>
      <w:proofErr w:type="gramStart"/>
      <w:r>
        <w:rPr>
          <w:rFonts w:hint="eastAsia"/>
          <w:sz w:val="18"/>
          <w:szCs w:val="18"/>
        </w:rPr>
        <w:t>期项目</w:t>
      </w:r>
      <w:proofErr w:type="gramEnd"/>
      <w:r>
        <w:rPr>
          <w:rFonts w:hint="eastAsia"/>
          <w:sz w:val="18"/>
          <w:szCs w:val="18"/>
        </w:rPr>
        <w:t>为尚未确认的确定承诺（或其组成部分）的，其在套</w:t>
      </w:r>
      <w:proofErr w:type="gramStart"/>
      <w:r>
        <w:rPr>
          <w:rFonts w:hint="eastAsia"/>
          <w:sz w:val="18"/>
          <w:szCs w:val="18"/>
        </w:rPr>
        <w:t>期关系</w:t>
      </w:r>
      <w:proofErr w:type="gramEnd"/>
      <w:r>
        <w:rPr>
          <w:rFonts w:hint="eastAsia"/>
          <w:sz w:val="18"/>
          <w:szCs w:val="18"/>
        </w:rPr>
        <w:t>指定后因被套期风险引起的公允价值累计变动额确认为一项资产或负债，相关的利得或损失计入各相关期间损益。当履行确定承诺而取得资产或承担负债时，调整该资产或负债的初始确认金额，以包括已确认的被套</w:t>
      </w:r>
      <w:proofErr w:type="gramStart"/>
      <w:r>
        <w:rPr>
          <w:rFonts w:hint="eastAsia"/>
          <w:sz w:val="18"/>
          <w:szCs w:val="18"/>
        </w:rPr>
        <w:t>期项目</w:t>
      </w:r>
      <w:proofErr w:type="gramEnd"/>
      <w:r>
        <w:rPr>
          <w:rFonts w:hint="eastAsia"/>
          <w:sz w:val="18"/>
          <w:szCs w:val="18"/>
        </w:rPr>
        <w:t>的公允价值累计变动额。</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（3）被套</w:t>
      </w:r>
      <w:proofErr w:type="gramStart"/>
      <w:r>
        <w:rPr>
          <w:rFonts w:hint="eastAsia"/>
          <w:sz w:val="18"/>
          <w:szCs w:val="18"/>
        </w:rPr>
        <w:t>期项目</w:t>
      </w:r>
      <w:proofErr w:type="gramEnd"/>
      <w:r>
        <w:rPr>
          <w:rFonts w:hint="eastAsia"/>
          <w:sz w:val="18"/>
          <w:szCs w:val="18"/>
        </w:rPr>
        <w:t>为以摊</w:t>
      </w:r>
      <w:proofErr w:type="gramStart"/>
      <w:r>
        <w:rPr>
          <w:rFonts w:hint="eastAsia"/>
          <w:sz w:val="18"/>
          <w:szCs w:val="18"/>
        </w:rPr>
        <w:t>余成本</w:t>
      </w:r>
      <w:proofErr w:type="gramEnd"/>
      <w:r>
        <w:rPr>
          <w:rFonts w:hint="eastAsia"/>
          <w:sz w:val="18"/>
          <w:szCs w:val="18"/>
        </w:rPr>
        <w:t>计量的金融工具（或其组成部分）的，对被套</w:t>
      </w:r>
      <w:proofErr w:type="gramStart"/>
      <w:r>
        <w:rPr>
          <w:rFonts w:hint="eastAsia"/>
          <w:sz w:val="18"/>
          <w:szCs w:val="18"/>
        </w:rPr>
        <w:t>期项目</w:t>
      </w:r>
      <w:proofErr w:type="gramEnd"/>
      <w:r>
        <w:rPr>
          <w:rFonts w:hint="eastAsia"/>
          <w:sz w:val="18"/>
          <w:szCs w:val="18"/>
        </w:rPr>
        <w:t>账面价值所作的调整按照开始摊销日重新计算的实际利率进行摊销，并计入当期损益。该摊销可以自调整日开始，但不晚于对被套</w:t>
      </w:r>
      <w:proofErr w:type="gramStart"/>
      <w:r>
        <w:rPr>
          <w:rFonts w:hint="eastAsia"/>
          <w:sz w:val="18"/>
          <w:szCs w:val="18"/>
        </w:rPr>
        <w:t>期项目</w:t>
      </w:r>
      <w:proofErr w:type="gramEnd"/>
      <w:r>
        <w:rPr>
          <w:rFonts w:hint="eastAsia"/>
          <w:sz w:val="18"/>
          <w:szCs w:val="18"/>
        </w:rPr>
        <w:t>终止进行</w:t>
      </w:r>
      <w:proofErr w:type="gramStart"/>
      <w:r>
        <w:rPr>
          <w:rFonts w:hint="eastAsia"/>
          <w:sz w:val="18"/>
          <w:szCs w:val="18"/>
        </w:rPr>
        <w:t>套期利得</w:t>
      </w:r>
      <w:proofErr w:type="gramEnd"/>
      <w:r>
        <w:rPr>
          <w:rFonts w:hint="eastAsia"/>
          <w:sz w:val="18"/>
          <w:szCs w:val="18"/>
        </w:rPr>
        <w:t>和损失调整的时点。被套</w:t>
      </w:r>
      <w:proofErr w:type="gramStart"/>
      <w:r>
        <w:rPr>
          <w:rFonts w:hint="eastAsia"/>
          <w:sz w:val="18"/>
          <w:szCs w:val="18"/>
        </w:rPr>
        <w:t>期项目</w:t>
      </w:r>
      <w:proofErr w:type="gramEnd"/>
      <w:r>
        <w:rPr>
          <w:rFonts w:hint="eastAsia"/>
          <w:sz w:val="18"/>
          <w:szCs w:val="18"/>
        </w:rPr>
        <w:t>为以公允价值计量且其变动计入其他综合收益的金融资产（或其组成部分）的，则按照相同的方式对累计已确认的</w:t>
      </w:r>
      <w:proofErr w:type="gramStart"/>
      <w:r>
        <w:rPr>
          <w:rFonts w:hint="eastAsia"/>
          <w:sz w:val="18"/>
          <w:szCs w:val="18"/>
        </w:rPr>
        <w:t>套期利得</w:t>
      </w:r>
      <w:proofErr w:type="gramEnd"/>
      <w:r>
        <w:rPr>
          <w:rFonts w:hint="eastAsia"/>
          <w:sz w:val="18"/>
          <w:szCs w:val="18"/>
        </w:rPr>
        <w:t>或损失进行摊销，并计入当期损益，但不调整金融资产（或其组成部分）的账面价值。</w:t>
      </w:r>
    </w:p>
    <w:p w:rsidR="000F627F" w:rsidRDefault="000F627F">
      <w:pPr>
        <w:widowControl/>
        <w:numPr>
          <w:ilvl w:val="0"/>
          <w:numId w:val="116"/>
        </w:numPr>
        <w:spacing w:before="100" w:beforeAutospacing="1" w:after="100" w:afterAutospacing="1"/>
        <w:divId w:val="1585411352"/>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现金流量套期会计处理</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（1）套</w:t>
      </w:r>
      <w:proofErr w:type="gramStart"/>
      <w:r>
        <w:rPr>
          <w:rFonts w:hint="eastAsia"/>
          <w:sz w:val="18"/>
          <w:szCs w:val="18"/>
        </w:rPr>
        <w:t>期工具</w:t>
      </w:r>
      <w:proofErr w:type="gramEnd"/>
      <w:r>
        <w:rPr>
          <w:rFonts w:hint="eastAsia"/>
          <w:sz w:val="18"/>
          <w:szCs w:val="18"/>
        </w:rPr>
        <w:t>产生的利得或损失中属于套</w:t>
      </w:r>
      <w:proofErr w:type="gramStart"/>
      <w:r>
        <w:rPr>
          <w:rFonts w:hint="eastAsia"/>
          <w:sz w:val="18"/>
          <w:szCs w:val="18"/>
        </w:rPr>
        <w:t>期有效</w:t>
      </w:r>
      <w:proofErr w:type="gramEnd"/>
      <w:r>
        <w:rPr>
          <w:rFonts w:hint="eastAsia"/>
          <w:sz w:val="18"/>
          <w:szCs w:val="18"/>
        </w:rPr>
        <w:t>的部分，作为现金流量套期储备，计入其他综合收益。现金流量套期储备的金额，按照下列两项的绝对额中较低者确定：</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1）套</w:t>
      </w:r>
      <w:proofErr w:type="gramStart"/>
      <w:r>
        <w:rPr>
          <w:rFonts w:hint="eastAsia"/>
          <w:sz w:val="18"/>
          <w:szCs w:val="18"/>
        </w:rPr>
        <w:t>期工具</w:t>
      </w:r>
      <w:proofErr w:type="gramEnd"/>
      <w:r>
        <w:rPr>
          <w:rFonts w:hint="eastAsia"/>
          <w:sz w:val="18"/>
          <w:szCs w:val="18"/>
        </w:rPr>
        <w:t>自套期开始的累计利得或损失；</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2）被套</w:t>
      </w:r>
      <w:proofErr w:type="gramStart"/>
      <w:r>
        <w:rPr>
          <w:rFonts w:hint="eastAsia"/>
          <w:sz w:val="18"/>
          <w:szCs w:val="18"/>
        </w:rPr>
        <w:t>期项目</w:t>
      </w:r>
      <w:proofErr w:type="gramEnd"/>
      <w:r>
        <w:rPr>
          <w:rFonts w:hint="eastAsia"/>
          <w:sz w:val="18"/>
          <w:szCs w:val="18"/>
        </w:rPr>
        <w:t>自套期开始的预计未来现金流量现值的累计变动额。每期计入其他综合收益的现金流量套期储备的金额为当期现金流量套期储备的变动额。</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（2）套</w:t>
      </w:r>
      <w:proofErr w:type="gramStart"/>
      <w:r>
        <w:rPr>
          <w:rFonts w:hint="eastAsia"/>
          <w:sz w:val="18"/>
          <w:szCs w:val="18"/>
        </w:rPr>
        <w:t>期工具</w:t>
      </w:r>
      <w:proofErr w:type="gramEnd"/>
      <w:r>
        <w:rPr>
          <w:rFonts w:hint="eastAsia"/>
          <w:sz w:val="18"/>
          <w:szCs w:val="18"/>
        </w:rPr>
        <w:t>产生的利得或损失中属于套期无效的部分（即扣除计入其他综合收益后的其他利得或损失），计入当期损益。</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（3）现金流量套期储备的金额，按照下列规定处理：</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1）被套</w:t>
      </w:r>
      <w:proofErr w:type="gramStart"/>
      <w:r>
        <w:rPr>
          <w:rFonts w:hint="eastAsia"/>
          <w:sz w:val="18"/>
          <w:szCs w:val="18"/>
        </w:rPr>
        <w:t>期项目</w:t>
      </w:r>
      <w:proofErr w:type="gramEnd"/>
      <w:r>
        <w:rPr>
          <w:rFonts w:hint="eastAsia"/>
          <w:sz w:val="18"/>
          <w:szCs w:val="18"/>
        </w:rPr>
        <w:t>为预期交易，且该预期交易使公司随后确认一项非金融资产或非金融负债的，或者非金融资产或非金融负债的预期交易形成一项适用于公允价值套期会计的确定承诺时，则将原在其他综合收益中确认的现金流量套期储备金额转出，计入该资产或负债的初始确认金额。</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lastRenderedPageBreak/>
        <w:t>2）对于不属于前一条涉及的现金流量套期，在被套期的预期现金流量影响损益的相同期间，将原在其他综合收益中确认的现金流量套期储备金额转出，计入当期损益。</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3）如果在其他综合收益中确认的现金流量套期储备金额是一项损失，且该损失全部或部分预计在未来会计期间不能弥补的，则在预计不能弥补时，将预计不能弥补的部分从其他综合收益中转出，计入当期损益。</w:t>
      </w:r>
    </w:p>
    <w:p w:rsidR="000F627F" w:rsidRDefault="000F627F">
      <w:pPr>
        <w:widowControl/>
        <w:numPr>
          <w:ilvl w:val="0"/>
          <w:numId w:val="117"/>
        </w:numPr>
        <w:spacing w:before="100" w:beforeAutospacing="1" w:after="100" w:afterAutospacing="1"/>
        <w:divId w:val="1585411352"/>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境外经营净投资套期</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对境外经营净投资的套期，包括对作为净投资的一部分进行会计处理的货币性项目的套期，本公司按照类似于现金流量套期会计的规定处理:</w:t>
      </w:r>
    </w:p>
    <w:p w:rsidR="000F627F" w:rsidRDefault="000F627F">
      <w:pPr>
        <w:widowControl/>
        <w:numPr>
          <w:ilvl w:val="0"/>
          <w:numId w:val="118"/>
        </w:numPr>
        <w:spacing w:before="100" w:beforeAutospacing="1" w:after="100" w:afterAutospacing="1"/>
        <w:divId w:val="1585411352"/>
        <w:rPr>
          <w:sz w:val="18"/>
          <w:szCs w:val="18"/>
        </w:rPr>
      </w:pPr>
      <w:r>
        <w:rPr>
          <w:rFonts w:hint="eastAsia"/>
          <w:sz w:val="18"/>
          <w:szCs w:val="18"/>
        </w:rPr>
        <w:t>套</w:t>
      </w:r>
      <w:proofErr w:type="gramStart"/>
      <w:r>
        <w:rPr>
          <w:rFonts w:hint="eastAsia"/>
          <w:sz w:val="18"/>
          <w:szCs w:val="18"/>
        </w:rPr>
        <w:t>期工具</w:t>
      </w:r>
      <w:proofErr w:type="gramEnd"/>
      <w:r>
        <w:rPr>
          <w:rFonts w:hint="eastAsia"/>
          <w:sz w:val="18"/>
          <w:szCs w:val="18"/>
        </w:rPr>
        <w:t>形成的利得或损失中属于套</w:t>
      </w:r>
      <w:proofErr w:type="gramStart"/>
      <w:r>
        <w:rPr>
          <w:rFonts w:hint="eastAsia"/>
          <w:sz w:val="18"/>
          <w:szCs w:val="18"/>
        </w:rPr>
        <w:t>期有效</w:t>
      </w:r>
      <w:proofErr w:type="gramEnd"/>
      <w:r>
        <w:rPr>
          <w:rFonts w:hint="eastAsia"/>
          <w:sz w:val="18"/>
          <w:szCs w:val="18"/>
        </w:rPr>
        <w:t>的部分，应当计入其他综合收益。</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全部或部分处置境外经营时，上述计入其他综合收益的套</w:t>
      </w:r>
      <w:proofErr w:type="gramStart"/>
      <w:r>
        <w:rPr>
          <w:rFonts w:hint="eastAsia"/>
          <w:sz w:val="18"/>
          <w:szCs w:val="18"/>
        </w:rPr>
        <w:t>期工具利</w:t>
      </w:r>
      <w:proofErr w:type="gramEnd"/>
      <w:r>
        <w:rPr>
          <w:rFonts w:hint="eastAsia"/>
          <w:sz w:val="18"/>
          <w:szCs w:val="18"/>
        </w:rPr>
        <w:t>得或损失应当相应转出，计入当期损益。</w:t>
      </w:r>
    </w:p>
    <w:p w:rsidR="000F627F" w:rsidRDefault="000F627F">
      <w:pPr>
        <w:widowControl/>
        <w:numPr>
          <w:ilvl w:val="0"/>
          <w:numId w:val="119"/>
        </w:numPr>
        <w:spacing w:before="100" w:beforeAutospacing="1" w:after="100" w:afterAutospacing="1"/>
        <w:divId w:val="1585411352"/>
        <w:rPr>
          <w:sz w:val="18"/>
          <w:szCs w:val="18"/>
        </w:rPr>
      </w:pPr>
      <w:r>
        <w:rPr>
          <w:rFonts w:hint="eastAsia"/>
          <w:sz w:val="18"/>
          <w:szCs w:val="18"/>
        </w:rPr>
        <w:t>套</w:t>
      </w:r>
      <w:proofErr w:type="gramStart"/>
      <w:r>
        <w:rPr>
          <w:rFonts w:hint="eastAsia"/>
          <w:sz w:val="18"/>
          <w:szCs w:val="18"/>
        </w:rPr>
        <w:t>期工具</w:t>
      </w:r>
      <w:proofErr w:type="gramEnd"/>
      <w:r>
        <w:rPr>
          <w:rFonts w:hint="eastAsia"/>
          <w:sz w:val="18"/>
          <w:szCs w:val="18"/>
        </w:rPr>
        <w:t>形成的利得或损失中属于套期无效的部分，应当计入当期损益。</w:t>
      </w:r>
    </w:p>
    <w:p w:rsidR="000F627F" w:rsidRDefault="000F627F">
      <w:pPr>
        <w:widowControl/>
        <w:numPr>
          <w:ilvl w:val="0"/>
          <w:numId w:val="120"/>
        </w:numPr>
        <w:spacing w:before="100" w:beforeAutospacing="1" w:after="100" w:afterAutospacing="1"/>
        <w:divId w:val="1585411352"/>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终止运用套期会计</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对于发生下列情形之一的，则终止运用套期会计：</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（1）因风险管理目标发生变化，导致套</w:t>
      </w:r>
      <w:proofErr w:type="gramStart"/>
      <w:r>
        <w:rPr>
          <w:rFonts w:hint="eastAsia"/>
          <w:sz w:val="18"/>
          <w:szCs w:val="18"/>
        </w:rPr>
        <w:t>期关系</w:t>
      </w:r>
      <w:proofErr w:type="gramEnd"/>
      <w:r>
        <w:rPr>
          <w:rFonts w:hint="eastAsia"/>
          <w:sz w:val="18"/>
          <w:szCs w:val="18"/>
        </w:rPr>
        <w:t>不再满足风险管理目标。</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（2）套</w:t>
      </w:r>
      <w:proofErr w:type="gramStart"/>
      <w:r>
        <w:rPr>
          <w:rFonts w:hint="eastAsia"/>
          <w:sz w:val="18"/>
          <w:szCs w:val="18"/>
        </w:rPr>
        <w:t>期工具</w:t>
      </w:r>
      <w:proofErr w:type="gramEnd"/>
      <w:r>
        <w:rPr>
          <w:rFonts w:hint="eastAsia"/>
          <w:sz w:val="18"/>
          <w:szCs w:val="18"/>
        </w:rPr>
        <w:t>已到期、被出售、合同终止或已行使。</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（3）被套</w:t>
      </w:r>
      <w:proofErr w:type="gramStart"/>
      <w:r>
        <w:rPr>
          <w:rFonts w:hint="eastAsia"/>
          <w:sz w:val="18"/>
          <w:szCs w:val="18"/>
        </w:rPr>
        <w:t>期项目</w:t>
      </w:r>
      <w:proofErr w:type="gramEnd"/>
      <w:r>
        <w:rPr>
          <w:rFonts w:hint="eastAsia"/>
          <w:sz w:val="18"/>
          <w:szCs w:val="18"/>
        </w:rPr>
        <w:t>与套</w:t>
      </w:r>
      <w:proofErr w:type="gramStart"/>
      <w:r>
        <w:rPr>
          <w:rFonts w:hint="eastAsia"/>
          <w:sz w:val="18"/>
          <w:szCs w:val="18"/>
        </w:rPr>
        <w:t>期工具</w:t>
      </w:r>
      <w:proofErr w:type="gramEnd"/>
      <w:r>
        <w:rPr>
          <w:rFonts w:hint="eastAsia"/>
          <w:sz w:val="18"/>
          <w:szCs w:val="18"/>
        </w:rPr>
        <w:t>之间不再存在经济关系，或者被套</w:t>
      </w:r>
      <w:proofErr w:type="gramStart"/>
      <w:r>
        <w:rPr>
          <w:rFonts w:hint="eastAsia"/>
          <w:sz w:val="18"/>
          <w:szCs w:val="18"/>
        </w:rPr>
        <w:t>期项目</w:t>
      </w:r>
      <w:proofErr w:type="gramEnd"/>
      <w:r>
        <w:rPr>
          <w:rFonts w:hint="eastAsia"/>
          <w:sz w:val="18"/>
          <w:szCs w:val="18"/>
        </w:rPr>
        <w:t>和套</w:t>
      </w:r>
      <w:proofErr w:type="gramStart"/>
      <w:r>
        <w:rPr>
          <w:rFonts w:hint="eastAsia"/>
          <w:sz w:val="18"/>
          <w:szCs w:val="18"/>
        </w:rPr>
        <w:t>期工具</w:t>
      </w:r>
      <w:proofErr w:type="gramEnd"/>
      <w:r>
        <w:rPr>
          <w:rFonts w:hint="eastAsia"/>
          <w:sz w:val="18"/>
          <w:szCs w:val="18"/>
        </w:rPr>
        <w:t>经济关系产生的价值变动中，信用风险的影响开始占主导地位。</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（4）套</w:t>
      </w:r>
      <w:proofErr w:type="gramStart"/>
      <w:r>
        <w:rPr>
          <w:rFonts w:hint="eastAsia"/>
          <w:sz w:val="18"/>
          <w:szCs w:val="18"/>
        </w:rPr>
        <w:t>期关系</w:t>
      </w:r>
      <w:proofErr w:type="gramEnd"/>
      <w:r>
        <w:rPr>
          <w:rFonts w:hint="eastAsia"/>
          <w:sz w:val="18"/>
          <w:szCs w:val="18"/>
        </w:rPr>
        <w:t>不再满足本准则所规定的运用套期会计方法的其他条件。在适用套</w:t>
      </w:r>
      <w:proofErr w:type="gramStart"/>
      <w:r>
        <w:rPr>
          <w:rFonts w:hint="eastAsia"/>
          <w:sz w:val="18"/>
          <w:szCs w:val="18"/>
        </w:rPr>
        <w:t>期关系</w:t>
      </w:r>
      <w:proofErr w:type="gramEnd"/>
      <w:r>
        <w:rPr>
          <w:rFonts w:hint="eastAsia"/>
          <w:sz w:val="18"/>
          <w:szCs w:val="18"/>
        </w:rPr>
        <w:t>再平衡的情况下，企业应当首先考虑套</w:t>
      </w:r>
      <w:proofErr w:type="gramStart"/>
      <w:r>
        <w:rPr>
          <w:rFonts w:hint="eastAsia"/>
          <w:sz w:val="18"/>
          <w:szCs w:val="18"/>
        </w:rPr>
        <w:t>期关系</w:t>
      </w:r>
      <w:proofErr w:type="gramEnd"/>
      <w:r>
        <w:rPr>
          <w:rFonts w:hint="eastAsia"/>
          <w:sz w:val="18"/>
          <w:szCs w:val="18"/>
        </w:rPr>
        <w:t>再平衡，然后评估套</w:t>
      </w:r>
      <w:proofErr w:type="gramStart"/>
      <w:r>
        <w:rPr>
          <w:rFonts w:hint="eastAsia"/>
          <w:sz w:val="18"/>
          <w:szCs w:val="18"/>
        </w:rPr>
        <w:t>期关系</w:t>
      </w:r>
      <w:proofErr w:type="gramEnd"/>
      <w:r>
        <w:rPr>
          <w:rFonts w:hint="eastAsia"/>
          <w:sz w:val="18"/>
          <w:szCs w:val="18"/>
        </w:rPr>
        <w:t>是否满足本准则所规定的运用套期会计方法的条件。</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终止套期会计可能会影响套</w:t>
      </w:r>
      <w:proofErr w:type="gramStart"/>
      <w:r>
        <w:rPr>
          <w:rFonts w:hint="eastAsia"/>
          <w:sz w:val="18"/>
          <w:szCs w:val="18"/>
        </w:rPr>
        <w:t>期关系</w:t>
      </w:r>
      <w:proofErr w:type="gramEnd"/>
      <w:r>
        <w:rPr>
          <w:rFonts w:hint="eastAsia"/>
          <w:sz w:val="18"/>
          <w:szCs w:val="18"/>
        </w:rPr>
        <w:t>的整体或其中一部分，在仅影响其中一部分时，剩余未受影响的部分仍适用套期会计。</w:t>
      </w:r>
    </w:p>
    <w:p w:rsidR="000F627F" w:rsidRDefault="000F627F">
      <w:pPr>
        <w:widowControl/>
        <w:numPr>
          <w:ilvl w:val="0"/>
          <w:numId w:val="121"/>
        </w:numPr>
        <w:spacing w:before="100" w:beforeAutospacing="1" w:after="100" w:afterAutospacing="1"/>
        <w:divId w:val="1585411352"/>
        <w:rPr>
          <w:sz w:val="18"/>
          <w:szCs w:val="18"/>
        </w:rPr>
      </w:pPr>
      <w:r>
        <w:rPr>
          <w:rFonts w:hint="eastAsia"/>
          <w:sz w:val="18"/>
          <w:szCs w:val="18"/>
        </w:rPr>
        <w:t>．</w:t>
      </w:r>
      <w:r>
        <w:rPr>
          <w:rFonts w:ascii="Times New Roman" w:hAnsi="Times New Roman" w:cs="Times New Roman"/>
          <w:sz w:val="18"/>
          <w:szCs w:val="18"/>
        </w:rPr>
        <w:t xml:space="preserve">   </w:t>
      </w:r>
      <w:r>
        <w:rPr>
          <w:rFonts w:hint="eastAsia"/>
          <w:sz w:val="18"/>
          <w:szCs w:val="18"/>
        </w:rPr>
        <w:t>信用风险敞口的公允价值选择</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当使用以公允价值计量且其变动计入当期损益的信用衍生工具管理金融工具（或其组成部分）的信用风险敞口时，可以在该金融工具（或其组成部分）初始确认时、后续计量中或尚未确认时，将其指定为以公允价值计量且其变动计入当期损益的金融工具，并同时</w:t>
      </w:r>
      <w:proofErr w:type="gramStart"/>
      <w:r>
        <w:rPr>
          <w:rFonts w:hint="eastAsia"/>
          <w:sz w:val="18"/>
          <w:szCs w:val="18"/>
        </w:rPr>
        <w:t>作出</w:t>
      </w:r>
      <w:proofErr w:type="gramEnd"/>
      <w:r>
        <w:rPr>
          <w:rFonts w:hint="eastAsia"/>
          <w:sz w:val="18"/>
          <w:szCs w:val="18"/>
        </w:rPr>
        <w:t>书面记录，但应同时满足下列条件：</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（1）金融工具信用风险敞口的主体（如借款人或贷款承诺持有人）与信用衍生工具涉及的主体相一致；</w:t>
      </w:r>
    </w:p>
    <w:p w:rsidR="000F627F" w:rsidRDefault="000F627F">
      <w:pPr>
        <w:pStyle w:val="a3"/>
        <w:spacing w:before="0" w:beforeAutospacing="0" w:after="0" w:afterAutospacing="0" w:line="360" w:lineRule="auto"/>
        <w:ind w:firstLine="420"/>
        <w:jc w:val="both"/>
        <w:divId w:val="1585411352"/>
        <w:rPr>
          <w:sz w:val="21"/>
          <w:szCs w:val="21"/>
        </w:rPr>
      </w:pPr>
      <w:r>
        <w:rPr>
          <w:rFonts w:hint="eastAsia"/>
          <w:sz w:val="18"/>
          <w:szCs w:val="18"/>
        </w:rPr>
        <w:t>（2）金融工具的偿付级次与根据信用衍生工具条款须交付的工具的偿付级次相一致。</w:t>
      </w:r>
    </w:p>
    <w:p w:rsidR="000D58D8" w:rsidRDefault="000F627F">
      <w:pPr>
        <w:pStyle w:val="3"/>
        <w:spacing w:line="280" w:lineRule="exact"/>
        <w:jc w:val="left"/>
        <w:rPr>
          <w:rFonts w:ascii="宋体" w:hAnsi="宋体" w:cs="宋体"/>
          <w:b/>
          <w:bCs/>
        </w:rPr>
      </w:pPr>
      <w:bookmarkStart w:id="230" w:name="_Toc989117"/>
      <w:r>
        <w:rPr>
          <w:rFonts w:ascii="宋体" w:hAnsi="宋体" w:cs="宋体"/>
          <w:b/>
          <w:bCs/>
        </w:rPr>
        <w:lastRenderedPageBreak/>
        <w:t>43、重要会计政策和会计估计变更</w:t>
      </w:r>
      <w:bookmarkEnd w:id="230"/>
    </w:p>
    <w:p w:rsidR="000D58D8" w:rsidRDefault="000F627F">
      <w:pPr>
        <w:keepNext/>
        <w:keepLines/>
        <w:spacing w:before="300" w:after="300" w:line="280" w:lineRule="exact"/>
        <w:outlineLvl w:val="3"/>
        <w:rPr>
          <w:rFonts w:ascii="宋体" w:eastAsia="宋体" w:hAnsi="宋体" w:cs="宋体"/>
          <w:b/>
          <w:bCs/>
          <w:sz w:val="18"/>
          <w:szCs w:val="18"/>
        </w:rPr>
      </w:pPr>
      <w:bookmarkStart w:id="231" w:name="_Toc989118"/>
      <w:r>
        <w:rPr>
          <w:rFonts w:ascii="宋体" w:eastAsia="宋体" w:hAnsi="宋体" w:cs="宋体"/>
          <w:b/>
          <w:bCs/>
          <w:sz w:val="18"/>
          <w:szCs w:val="18"/>
        </w:rPr>
        <w:t>（1） 重要会计政策变更</w:t>
      </w:r>
      <w:bookmarkEnd w:id="23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778"/>
        <w:gridCol w:w="2410"/>
        <w:gridCol w:w="1451"/>
      </w:tblGrid>
      <w:tr w:rsidR="000D58D8" w:rsidTr="00134FC9">
        <w:trPr>
          <w:trHeight w:val="240"/>
        </w:trPr>
        <w:tc>
          <w:tcPr>
            <w:tcW w:w="577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会计政策变更的内容和原因</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受重要</w:t>
            </w:r>
            <w:proofErr w:type="gramEnd"/>
            <w:r>
              <w:rPr>
                <w:rFonts w:ascii="宋体" w:eastAsia="宋体" w:hAnsi="宋体" w:cs="宋体"/>
                <w:sz w:val="18"/>
                <w:szCs w:val="18"/>
              </w:rPr>
              <w:t>影响的报表项目名称</w:t>
            </w:r>
          </w:p>
        </w:tc>
        <w:tc>
          <w:tcPr>
            <w:tcW w:w="145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影响金额</w:t>
            </w:r>
          </w:p>
        </w:tc>
      </w:tr>
      <w:tr w:rsidR="000D58D8" w:rsidTr="00134FC9">
        <w:trPr>
          <w:trHeight w:val="240"/>
        </w:trPr>
        <w:tc>
          <w:tcPr>
            <w:tcW w:w="577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本公司自2023年1月1日起执行财政部2022年发布的《企业会计准则解释第16号》“关于单项交易产生的资产和负债相关的递延所得税不适用初始确认豁免的会计处理”。</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递延所得税资产</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768,616.10</w:t>
            </w:r>
          </w:p>
        </w:tc>
      </w:tr>
      <w:tr w:rsidR="000D58D8" w:rsidTr="00134FC9">
        <w:trPr>
          <w:trHeight w:val="240"/>
        </w:trPr>
        <w:tc>
          <w:tcPr>
            <w:tcW w:w="577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本公司自2023年1月1日起执行财政部2022年发布的《企业会计准则解释第16号》“关于单项交易产生的资产和负债相关的递延所得税不适用初始确认豁免的会计处理”。</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递延所得税负债</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6,212.64</w:t>
            </w:r>
          </w:p>
        </w:tc>
      </w:tr>
      <w:tr w:rsidR="000D58D8" w:rsidTr="00134FC9">
        <w:trPr>
          <w:trHeight w:val="240"/>
        </w:trPr>
        <w:tc>
          <w:tcPr>
            <w:tcW w:w="577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本公司自2023年1月1日起执行财政部2022年发布的《企业会计准则解释第16号》“关于单项交易产生的资产和负债相关的递延所得税不适用初始确认豁免的会计处理”。</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资本公积</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109,341.49</w:t>
            </w:r>
          </w:p>
        </w:tc>
      </w:tr>
      <w:tr w:rsidR="000D58D8" w:rsidTr="00134FC9">
        <w:trPr>
          <w:trHeight w:val="240"/>
        </w:trPr>
        <w:tc>
          <w:tcPr>
            <w:tcW w:w="577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本公司自2023年1月1日起执行财政部2022年发布的《企业会计准则解释第16号》“关于单项交易产生的资产和负债相关的递延所得税不适用初始确认豁免的会计处理”。</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未分配利润</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653,061.97</w:t>
            </w:r>
          </w:p>
        </w:tc>
      </w:tr>
      <w:tr w:rsidR="000D58D8" w:rsidTr="00134FC9">
        <w:trPr>
          <w:trHeight w:val="240"/>
        </w:trPr>
        <w:tc>
          <w:tcPr>
            <w:tcW w:w="577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本公司自2023年10月25日起执行财政部2023年发布的《企业会计准则解释第17号》“关于售后租回的会计处理”</w:t>
            </w:r>
            <w:proofErr w:type="gramStart"/>
            <w:r>
              <w:rPr>
                <w:rFonts w:ascii="宋体" w:eastAsia="宋体" w:hAnsi="宋体" w:cs="宋体"/>
                <w:sz w:val="18"/>
                <w:szCs w:val="18"/>
              </w:rPr>
              <w:t>【</w:t>
            </w:r>
            <w:proofErr w:type="gramEnd"/>
            <w:r>
              <w:rPr>
                <w:rFonts w:ascii="宋体" w:eastAsia="宋体" w:hAnsi="宋体" w:cs="宋体"/>
                <w:sz w:val="18"/>
                <w:szCs w:val="18"/>
              </w:rPr>
              <w:t>适用于企业提前执行“关于售后租回的会计处理”的情形</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所得税费用</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-762,403.46</w:t>
            </w:r>
          </w:p>
        </w:tc>
      </w:tr>
      <w:tr w:rsidR="000D58D8" w:rsidTr="00134FC9">
        <w:trPr>
          <w:trHeight w:val="240"/>
        </w:trPr>
        <w:tc>
          <w:tcPr>
            <w:tcW w:w="577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本公司自2023年10月25日起执行财政部2023年发布的《企业会计准则解释第17号》“关于售后租回的会计处理”</w:t>
            </w:r>
            <w:proofErr w:type="gramStart"/>
            <w:r>
              <w:rPr>
                <w:rFonts w:ascii="宋体" w:eastAsia="宋体" w:hAnsi="宋体" w:cs="宋体"/>
                <w:sz w:val="18"/>
                <w:szCs w:val="18"/>
              </w:rPr>
              <w:t>【</w:t>
            </w:r>
            <w:proofErr w:type="gramEnd"/>
            <w:r>
              <w:rPr>
                <w:rFonts w:ascii="宋体" w:eastAsia="宋体" w:hAnsi="宋体" w:cs="宋体"/>
                <w:sz w:val="18"/>
                <w:szCs w:val="18"/>
              </w:rPr>
              <w:t>适用于企业提前执行“关于售后租回的会计处理”的情形</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净利润</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762,403.46</w:t>
            </w:r>
          </w:p>
        </w:tc>
      </w:tr>
      <w:tr w:rsidR="000D58D8" w:rsidTr="00134FC9">
        <w:trPr>
          <w:trHeight w:val="240"/>
        </w:trPr>
        <w:tc>
          <w:tcPr>
            <w:tcW w:w="577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本公司自2023年10月25日起执行财政部2023年发布的《企业会计准则解释第17号》“关于售后租回的会计处理”</w:t>
            </w:r>
            <w:proofErr w:type="gramStart"/>
            <w:r>
              <w:rPr>
                <w:rFonts w:ascii="宋体" w:eastAsia="宋体" w:hAnsi="宋体" w:cs="宋体"/>
                <w:sz w:val="18"/>
                <w:szCs w:val="18"/>
              </w:rPr>
              <w:t>【</w:t>
            </w:r>
            <w:proofErr w:type="gramEnd"/>
            <w:r>
              <w:rPr>
                <w:rFonts w:ascii="宋体" w:eastAsia="宋体" w:hAnsi="宋体" w:cs="宋体"/>
                <w:sz w:val="18"/>
                <w:szCs w:val="18"/>
              </w:rPr>
              <w:t>适用于企业提前执行“关于售后租回的会计处理”的情形</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归属于母公司所有者的净利润</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653,061.97</w:t>
            </w:r>
          </w:p>
        </w:tc>
      </w:tr>
      <w:tr w:rsidR="000D58D8" w:rsidTr="00134FC9">
        <w:trPr>
          <w:trHeight w:val="240"/>
        </w:trPr>
        <w:tc>
          <w:tcPr>
            <w:tcW w:w="577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本公司自2023年10月25日起执行财政部2023年发布的《企业会计准则解释第17号》“关于售后租回的会计处理”</w:t>
            </w:r>
            <w:proofErr w:type="gramStart"/>
            <w:r>
              <w:rPr>
                <w:rFonts w:ascii="宋体" w:eastAsia="宋体" w:hAnsi="宋体" w:cs="宋体"/>
                <w:sz w:val="18"/>
                <w:szCs w:val="18"/>
              </w:rPr>
              <w:t>【</w:t>
            </w:r>
            <w:proofErr w:type="gramEnd"/>
            <w:r>
              <w:rPr>
                <w:rFonts w:ascii="宋体" w:eastAsia="宋体" w:hAnsi="宋体" w:cs="宋体"/>
                <w:sz w:val="18"/>
                <w:szCs w:val="18"/>
              </w:rPr>
              <w:t>适用于企业提前执行“关于售后租回的会计处理”的情形</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少数股东损益</w:t>
            </w:r>
          </w:p>
        </w:tc>
        <w:tc>
          <w:tcPr>
            <w:tcW w:w="14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109,341.49</w:t>
            </w:r>
          </w:p>
        </w:tc>
      </w:tr>
    </w:tbl>
    <w:p w:rsidR="000F627F" w:rsidRDefault="000F627F">
      <w:pPr>
        <w:widowControl/>
        <w:numPr>
          <w:ilvl w:val="0"/>
          <w:numId w:val="122"/>
        </w:numPr>
        <w:spacing w:before="100" w:beforeAutospacing="1" w:after="100" w:afterAutospacing="1"/>
        <w:divId w:val="799767475"/>
        <w:rPr>
          <w:sz w:val="18"/>
          <w:szCs w:val="18"/>
        </w:rPr>
      </w:pPr>
      <w:r>
        <w:rPr>
          <w:rFonts w:hint="eastAsia"/>
          <w:sz w:val="18"/>
          <w:szCs w:val="18"/>
        </w:rPr>
        <w:t>执行企业会计准则解释第</w:t>
      </w:r>
      <w:r>
        <w:rPr>
          <w:rFonts w:ascii="Times New Roman" w:hAnsi="Times New Roman" w:cs="Times New Roman"/>
          <w:sz w:val="18"/>
          <w:szCs w:val="18"/>
        </w:rPr>
        <w:t>16</w:t>
      </w:r>
      <w:r>
        <w:rPr>
          <w:rFonts w:hint="eastAsia"/>
          <w:sz w:val="18"/>
          <w:szCs w:val="18"/>
        </w:rPr>
        <w:t>号对本公司的影响</w:t>
      </w:r>
    </w:p>
    <w:p w:rsidR="000F627F" w:rsidRDefault="000F627F">
      <w:pPr>
        <w:pStyle w:val="a3"/>
        <w:spacing w:before="0" w:beforeAutospacing="0" w:after="0" w:afterAutospacing="0" w:line="360" w:lineRule="auto"/>
        <w:ind w:firstLine="420"/>
        <w:divId w:val="799767475"/>
        <w:rPr>
          <w:rFonts w:ascii="Times New Roman" w:hAnsi="Times New Roman" w:cs="Times New Roman"/>
          <w:sz w:val="21"/>
          <w:szCs w:val="21"/>
        </w:rPr>
      </w:pPr>
      <w:r>
        <w:rPr>
          <w:rFonts w:cs="Times New Roman" w:hint="eastAsia"/>
          <w:sz w:val="18"/>
          <w:szCs w:val="18"/>
        </w:rPr>
        <w:t>2022年12月13日，财政部发布了《企业会计准则解释第16号》（财会〔2022〕31号，以下简称“解释16号”），解释16号“关于单项交易产生的资产和负债相关的递延所得税不适用初始确认豁免的会计处理”自2023年1月1日起施行，允许企业自发布年度提前执行。本公司于本年度施行该事项相关的会计处理。</w:t>
      </w:r>
    </w:p>
    <w:p w:rsidR="000F627F" w:rsidRDefault="000F627F">
      <w:pPr>
        <w:pStyle w:val="a3"/>
        <w:spacing w:before="0" w:beforeAutospacing="0" w:after="0" w:afterAutospacing="0" w:line="360" w:lineRule="auto"/>
        <w:ind w:firstLine="420"/>
        <w:divId w:val="799767475"/>
        <w:rPr>
          <w:rFonts w:ascii="Times New Roman" w:hAnsi="Times New Roman" w:cs="Times New Roman"/>
          <w:sz w:val="21"/>
          <w:szCs w:val="21"/>
        </w:rPr>
      </w:pPr>
      <w:r>
        <w:rPr>
          <w:rFonts w:cs="Times New Roman" w:hint="eastAsia"/>
          <w:sz w:val="18"/>
          <w:szCs w:val="18"/>
        </w:rPr>
        <w:t>对于在首次施行本解释的财务报表列报最早期间的期初（即2022年1月1日）</w:t>
      </w:r>
      <w:proofErr w:type="gramStart"/>
      <w:r>
        <w:rPr>
          <w:rFonts w:cs="Times New Roman" w:hint="eastAsia"/>
          <w:sz w:val="18"/>
          <w:szCs w:val="18"/>
        </w:rPr>
        <w:t>至解释</w:t>
      </w:r>
      <w:proofErr w:type="gramEnd"/>
      <w:r>
        <w:rPr>
          <w:rFonts w:cs="Times New Roman" w:hint="eastAsia"/>
          <w:sz w:val="18"/>
          <w:szCs w:val="18"/>
        </w:rPr>
        <w:t>施行日（2023年1月1日）之间发生的适用解释16号的单项交易而确认的租赁负债和使用权资产，以及确认的弃置义务相关预计负债和对应的相关资产，本公司按照解释16号的规定进行处理。</w:t>
      </w:r>
    </w:p>
    <w:p w:rsidR="000F627F" w:rsidRDefault="000F627F">
      <w:pPr>
        <w:pStyle w:val="a3"/>
        <w:spacing w:before="0" w:beforeAutospacing="0" w:after="0" w:afterAutospacing="0" w:line="360" w:lineRule="auto"/>
        <w:ind w:firstLine="420"/>
        <w:divId w:val="799767475"/>
        <w:rPr>
          <w:rFonts w:ascii="Times New Roman" w:hAnsi="Times New Roman" w:cs="Times New Roman"/>
          <w:sz w:val="21"/>
          <w:szCs w:val="21"/>
        </w:rPr>
      </w:pPr>
      <w:r>
        <w:rPr>
          <w:rFonts w:cs="Times New Roman" w:hint="eastAsia"/>
          <w:sz w:val="18"/>
          <w:szCs w:val="18"/>
        </w:rPr>
        <w:t>根据解释16号的规定，本公司对资产负债表相关项目调整如下：</w:t>
      </w:r>
    </w:p>
    <w:tbl>
      <w:tblPr>
        <w:tblW w:w="5014" w:type="pct"/>
        <w:tblCellMar>
          <w:left w:w="0" w:type="dxa"/>
          <w:right w:w="0" w:type="dxa"/>
        </w:tblCellMar>
        <w:tblLook w:val="04A0" w:firstRow="1" w:lastRow="0" w:firstColumn="1" w:lastColumn="0" w:noHBand="0" w:noVBand="1"/>
        <w:tblCaption w:val="D:\大华\华孚\2023年度\TB|0-合并TB-华孚时尚股份有限公司-2023年度.xlsx|W附注模板|_jds21|0|desc|||0|1"/>
      </w:tblPr>
      <w:tblGrid>
        <w:gridCol w:w="2170"/>
        <w:gridCol w:w="2463"/>
        <w:gridCol w:w="2463"/>
        <w:gridCol w:w="2624"/>
      </w:tblGrid>
      <w:tr w:rsidR="000F627F" w:rsidRPr="00134FC9">
        <w:trPr>
          <w:divId w:val="799767475"/>
          <w:trHeight w:val="377"/>
          <w:tblHeader/>
        </w:trPr>
        <w:tc>
          <w:tcPr>
            <w:tcW w:w="1116"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资产负债表项目</w:t>
            </w:r>
          </w:p>
        </w:tc>
        <w:tc>
          <w:tcPr>
            <w:tcW w:w="3884"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2022</w:t>
            </w:r>
            <w:r w:rsidRPr="00134FC9">
              <w:rPr>
                <w:rFonts w:asciiTheme="minorEastAsia" w:eastAsiaTheme="minorEastAsia" w:hAnsiTheme="minorEastAsia" w:cs="Times New Roman" w:hint="eastAsia"/>
                <w:sz w:val="18"/>
                <w:szCs w:val="18"/>
              </w:rPr>
              <w:t>年</w:t>
            </w:r>
            <w:r w:rsidRPr="00134FC9">
              <w:rPr>
                <w:rFonts w:asciiTheme="minorEastAsia" w:eastAsiaTheme="minorEastAsia" w:hAnsiTheme="minorEastAsia" w:cs="Times New Roman"/>
                <w:sz w:val="18"/>
                <w:szCs w:val="18"/>
              </w:rPr>
              <w:t>12</w:t>
            </w:r>
            <w:r w:rsidRPr="00134FC9">
              <w:rPr>
                <w:rFonts w:asciiTheme="minorEastAsia" w:eastAsiaTheme="minorEastAsia" w:hAnsiTheme="minorEastAsia" w:cs="Times New Roman" w:hint="eastAsia"/>
                <w:sz w:val="18"/>
                <w:szCs w:val="18"/>
              </w:rPr>
              <w:t>月</w:t>
            </w:r>
            <w:r w:rsidRPr="00134FC9">
              <w:rPr>
                <w:rFonts w:asciiTheme="minorEastAsia" w:eastAsiaTheme="minorEastAsia" w:hAnsiTheme="minorEastAsia" w:cs="Times New Roman"/>
                <w:sz w:val="18"/>
                <w:szCs w:val="18"/>
              </w:rPr>
              <w:t>31</w:t>
            </w:r>
            <w:r w:rsidRPr="00134FC9">
              <w:rPr>
                <w:rFonts w:asciiTheme="minorEastAsia" w:eastAsiaTheme="minorEastAsia" w:hAnsiTheme="minorEastAsia" w:cs="Times New Roman" w:hint="eastAsia"/>
                <w:sz w:val="18"/>
                <w:szCs w:val="18"/>
              </w:rPr>
              <w:t>日</w:t>
            </w:r>
          </w:p>
        </w:tc>
      </w:tr>
      <w:tr w:rsidR="000F627F" w:rsidRPr="00134FC9">
        <w:trPr>
          <w:divId w:val="799767475"/>
          <w:trHeight w:val="293"/>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627F" w:rsidRPr="00134FC9" w:rsidRDefault="000F627F">
            <w:pPr>
              <w:rPr>
                <w:rFonts w:asciiTheme="minorEastAsia" w:hAnsiTheme="minorEastAsia" w:cs="Times New Roman"/>
                <w:szCs w:val="21"/>
              </w:rPr>
            </w:pPr>
          </w:p>
        </w:tc>
        <w:tc>
          <w:tcPr>
            <w:tcW w:w="1267"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变更前</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累计影响金额</w:t>
            </w:r>
          </w:p>
        </w:tc>
        <w:tc>
          <w:tcPr>
            <w:tcW w:w="1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变更后</w:t>
            </w:r>
          </w:p>
        </w:tc>
      </w:tr>
      <w:tr w:rsidR="000F627F" w:rsidRPr="00134FC9">
        <w:trPr>
          <w:divId w:val="799767475"/>
          <w:trHeight w:val="344"/>
        </w:trPr>
        <w:tc>
          <w:tcPr>
            <w:tcW w:w="111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递延所得税资产</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202,245,661.31</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768,616.10</w:t>
            </w:r>
          </w:p>
        </w:tc>
        <w:tc>
          <w:tcPr>
            <w:tcW w:w="1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203,014,277.41</w:t>
            </w:r>
          </w:p>
        </w:tc>
      </w:tr>
      <w:tr w:rsidR="000F627F" w:rsidRPr="00134FC9">
        <w:trPr>
          <w:divId w:val="799767475"/>
          <w:trHeight w:val="344"/>
        </w:trPr>
        <w:tc>
          <w:tcPr>
            <w:tcW w:w="111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递延所得税负债</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24,872,232.15</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6,212.64</w:t>
            </w:r>
          </w:p>
        </w:tc>
        <w:tc>
          <w:tcPr>
            <w:tcW w:w="1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24,878,444.79</w:t>
            </w:r>
          </w:p>
        </w:tc>
      </w:tr>
      <w:tr w:rsidR="000F627F" w:rsidRPr="00134FC9">
        <w:trPr>
          <w:divId w:val="799767475"/>
          <w:trHeight w:val="338"/>
        </w:trPr>
        <w:tc>
          <w:tcPr>
            <w:tcW w:w="111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资本公积</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2,740,826,583.55</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109,341.49</w:t>
            </w:r>
          </w:p>
        </w:tc>
        <w:tc>
          <w:tcPr>
            <w:tcW w:w="1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2,740,935,925.04</w:t>
            </w:r>
          </w:p>
        </w:tc>
      </w:tr>
      <w:tr w:rsidR="000F627F" w:rsidRPr="00134FC9">
        <w:trPr>
          <w:divId w:val="799767475"/>
          <w:trHeight w:val="338"/>
        </w:trPr>
        <w:tc>
          <w:tcPr>
            <w:tcW w:w="111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lastRenderedPageBreak/>
              <w:t>未分配利润</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1,643,586,800.21</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653,061.97</w:t>
            </w:r>
          </w:p>
        </w:tc>
        <w:tc>
          <w:tcPr>
            <w:tcW w:w="1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1,644,239,862.18</w:t>
            </w:r>
          </w:p>
        </w:tc>
      </w:tr>
    </w:tbl>
    <w:p w:rsidR="000F627F" w:rsidRDefault="000F627F">
      <w:pPr>
        <w:pStyle w:val="a3"/>
        <w:spacing w:before="0" w:beforeAutospacing="0" w:after="0" w:afterAutospacing="0" w:line="360" w:lineRule="auto"/>
        <w:ind w:firstLine="420"/>
        <w:divId w:val="799767475"/>
        <w:rPr>
          <w:rFonts w:ascii="Times New Roman" w:hAnsi="Times New Roman" w:cs="Times New Roman"/>
          <w:sz w:val="21"/>
          <w:szCs w:val="21"/>
        </w:rPr>
      </w:pPr>
      <w:r>
        <w:rPr>
          <w:rFonts w:cs="Times New Roman" w:hint="eastAsia"/>
          <w:sz w:val="18"/>
          <w:szCs w:val="18"/>
        </w:rPr>
        <w:t>根据解释16号的规定，本公司对损益</w:t>
      </w:r>
      <w:proofErr w:type="gramStart"/>
      <w:r>
        <w:rPr>
          <w:rFonts w:cs="Times New Roman" w:hint="eastAsia"/>
          <w:sz w:val="18"/>
          <w:szCs w:val="18"/>
        </w:rPr>
        <w:t>表相关</w:t>
      </w:r>
      <w:proofErr w:type="gramEnd"/>
      <w:r>
        <w:rPr>
          <w:rFonts w:cs="Times New Roman" w:hint="eastAsia"/>
          <w:sz w:val="18"/>
          <w:szCs w:val="18"/>
        </w:rPr>
        <w:t>项目调整如下：</w:t>
      </w:r>
    </w:p>
    <w:tbl>
      <w:tblPr>
        <w:tblW w:w="5014" w:type="pct"/>
        <w:tblCellMar>
          <w:left w:w="0" w:type="dxa"/>
          <w:right w:w="0" w:type="dxa"/>
        </w:tblCellMar>
        <w:tblLook w:val="04A0" w:firstRow="1" w:lastRow="0" w:firstColumn="1" w:lastColumn="0" w:noHBand="0" w:noVBand="1"/>
        <w:tblCaption w:val="D:\大华\华孚\2023年度\TB|0-合并TB-华孚时尚股份有限公司-2023年度.xlsx|W附注模板|_jds22|0|desc|||0|1"/>
      </w:tblPr>
      <w:tblGrid>
        <w:gridCol w:w="2170"/>
        <w:gridCol w:w="2463"/>
        <w:gridCol w:w="2463"/>
        <w:gridCol w:w="2624"/>
      </w:tblGrid>
      <w:tr w:rsidR="000F627F" w:rsidRPr="00134FC9">
        <w:trPr>
          <w:divId w:val="799767475"/>
          <w:trHeight w:val="377"/>
          <w:tblHeader/>
        </w:trPr>
        <w:tc>
          <w:tcPr>
            <w:tcW w:w="1116"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损益</w:t>
            </w:r>
            <w:proofErr w:type="gramStart"/>
            <w:r w:rsidRPr="00134FC9">
              <w:rPr>
                <w:rFonts w:asciiTheme="minorEastAsia" w:eastAsiaTheme="minorEastAsia" w:hAnsiTheme="minorEastAsia" w:cs="Times New Roman" w:hint="eastAsia"/>
                <w:sz w:val="18"/>
                <w:szCs w:val="18"/>
              </w:rPr>
              <w:t>表项目</w:t>
            </w:r>
            <w:proofErr w:type="gramEnd"/>
          </w:p>
        </w:tc>
        <w:tc>
          <w:tcPr>
            <w:tcW w:w="3884"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2022</w:t>
            </w:r>
            <w:r w:rsidRPr="00134FC9">
              <w:rPr>
                <w:rFonts w:asciiTheme="minorEastAsia" w:eastAsiaTheme="minorEastAsia" w:hAnsiTheme="minorEastAsia" w:cs="Times New Roman" w:hint="eastAsia"/>
                <w:sz w:val="18"/>
                <w:szCs w:val="18"/>
              </w:rPr>
              <w:t>年度</w:t>
            </w:r>
          </w:p>
        </w:tc>
      </w:tr>
      <w:tr w:rsidR="000F627F" w:rsidRPr="00134FC9">
        <w:trPr>
          <w:divId w:val="799767475"/>
          <w:trHeight w:val="293"/>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627F" w:rsidRPr="00134FC9" w:rsidRDefault="000F627F">
            <w:pPr>
              <w:rPr>
                <w:rFonts w:asciiTheme="minorEastAsia" w:hAnsiTheme="minorEastAsia" w:cs="Times New Roman"/>
                <w:szCs w:val="21"/>
              </w:rPr>
            </w:pPr>
          </w:p>
        </w:tc>
        <w:tc>
          <w:tcPr>
            <w:tcW w:w="1267"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变更前</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累计影响金额</w:t>
            </w:r>
          </w:p>
        </w:tc>
        <w:tc>
          <w:tcPr>
            <w:tcW w:w="1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变更后</w:t>
            </w:r>
          </w:p>
        </w:tc>
      </w:tr>
      <w:tr w:rsidR="000F627F" w:rsidRPr="00134FC9">
        <w:trPr>
          <w:divId w:val="799767475"/>
          <w:trHeight w:val="338"/>
        </w:trPr>
        <w:tc>
          <w:tcPr>
            <w:tcW w:w="111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所得税费用</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-21,974,617.53</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-762,403.46</w:t>
            </w:r>
          </w:p>
        </w:tc>
        <w:tc>
          <w:tcPr>
            <w:tcW w:w="1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-22,737,020.99</w:t>
            </w:r>
          </w:p>
        </w:tc>
      </w:tr>
      <w:tr w:rsidR="000F627F" w:rsidRPr="00134FC9">
        <w:trPr>
          <w:divId w:val="799767475"/>
          <w:trHeight w:val="338"/>
        </w:trPr>
        <w:tc>
          <w:tcPr>
            <w:tcW w:w="111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净利润</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-365,224,666.89</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762,403.46</w:t>
            </w:r>
          </w:p>
        </w:tc>
        <w:tc>
          <w:tcPr>
            <w:tcW w:w="1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-364,462,263.43</w:t>
            </w:r>
          </w:p>
        </w:tc>
      </w:tr>
      <w:tr w:rsidR="000F627F" w:rsidRPr="00134FC9">
        <w:trPr>
          <w:divId w:val="799767475"/>
          <w:trHeight w:val="338"/>
        </w:trPr>
        <w:tc>
          <w:tcPr>
            <w:tcW w:w="111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归属于母公司所有者的净利润</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-350,966,956.53</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653,061.97</w:t>
            </w:r>
          </w:p>
        </w:tc>
        <w:tc>
          <w:tcPr>
            <w:tcW w:w="1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-350,313,894.56</w:t>
            </w:r>
          </w:p>
        </w:tc>
      </w:tr>
      <w:tr w:rsidR="000F627F" w:rsidRPr="00134FC9">
        <w:trPr>
          <w:divId w:val="799767475"/>
          <w:trHeight w:val="338"/>
        </w:trPr>
        <w:tc>
          <w:tcPr>
            <w:tcW w:w="111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少数股东损益</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-14,257,710.36</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109,341.49</w:t>
            </w:r>
          </w:p>
        </w:tc>
        <w:tc>
          <w:tcPr>
            <w:tcW w:w="1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-14,148,368.87</w:t>
            </w:r>
          </w:p>
        </w:tc>
      </w:tr>
    </w:tbl>
    <w:p w:rsidR="000F627F" w:rsidRDefault="000F627F">
      <w:pPr>
        <w:widowControl/>
        <w:numPr>
          <w:ilvl w:val="0"/>
          <w:numId w:val="123"/>
        </w:numPr>
        <w:spacing w:before="100" w:beforeAutospacing="1" w:after="100" w:afterAutospacing="1"/>
        <w:divId w:val="799767475"/>
        <w:rPr>
          <w:rFonts w:ascii="宋体" w:hAnsi="宋体" w:cs="宋体"/>
          <w:sz w:val="18"/>
          <w:szCs w:val="18"/>
        </w:rPr>
      </w:pPr>
      <w:r>
        <w:rPr>
          <w:rFonts w:hint="eastAsia"/>
          <w:sz w:val="18"/>
          <w:szCs w:val="18"/>
        </w:rPr>
        <w:t>执行企业会计准则解释第</w:t>
      </w:r>
      <w:r>
        <w:rPr>
          <w:rFonts w:ascii="Times New Roman" w:hAnsi="Times New Roman" w:cs="Times New Roman"/>
          <w:sz w:val="18"/>
          <w:szCs w:val="18"/>
        </w:rPr>
        <w:t>17</w:t>
      </w:r>
      <w:r>
        <w:rPr>
          <w:rFonts w:hint="eastAsia"/>
          <w:sz w:val="18"/>
          <w:szCs w:val="18"/>
        </w:rPr>
        <w:t>号对本公司的影响</w:t>
      </w:r>
    </w:p>
    <w:p w:rsidR="000F627F" w:rsidRDefault="000F627F">
      <w:pPr>
        <w:pStyle w:val="a3"/>
        <w:spacing w:before="0" w:beforeAutospacing="0" w:after="0" w:afterAutospacing="0" w:line="360" w:lineRule="auto"/>
        <w:ind w:firstLine="420"/>
        <w:divId w:val="799767475"/>
        <w:rPr>
          <w:rFonts w:ascii="Times New Roman" w:hAnsi="Times New Roman" w:cs="Times New Roman"/>
          <w:sz w:val="21"/>
          <w:szCs w:val="21"/>
        </w:rPr>
      </w:pPr>
      <w:r>
        <w:rPr>
          <w:rFonts w:cs="Times New Roman" w:hint="eastAsia"/>
          <w:sz w:val="18"/>
          <w:szCs w:val="18"/>
        </w:rPr>
        <w:t>2023年10月25日，财政部发布了《企业会计准则解释第17号》（财会〔2023〕21号，以下简称“解释17号”），本公司自2023年10月25日起施行“关于售后租回交易的会计处理”。</w:t>
      </w:r>
    </w:p>
    <w:p w:rsidR="000F627F" w:rsidRDefault="000F627F">
      <w:pPr>
        <w:pStyle w:val="a3"/>
        <w:spacing w:before="0" w:beforeAutospacing="0" w:after="0" w:afterAutospacing="0" w:line="360" w:lineRule="auto"/>
        <w:ind w:firstLine="420"/>
        <w:divId w:val="799767475"/>
        <w:rPr>
          <w:rFonts w:ascii="Times New Roman" w:hAnsi="Times New Roman" w:cs="Times New Roman"/>
          <w:sz w:val="21"/>
          <w:szCs w:val="21"/>
        </w:rPr>
      </w:pPr>
      <w:r>
        <w:rPr>
          <w:rFonts w:cs="Times New Roman" w:hint="eastAsia"/>
          <w:sz w:val="18"/>
          <w:szCs w:val="18"/>
        </w:rPr>
        <w:t>执行“关于售后租回交易的会计处理”对本期内财务报表无重大影响。</w:t>
      </w:r>
    </w:p>
    <w:p w:rsidR="000D58D8" w:rsidRDefault="000F627F">
      <w:pPr>
        <w:keepNext/>
        <w:keepLines/>
        <w:spacing w:before="300" w:after="300" w:line="280" w:lineRule="exact"/>
        <w:outlineLvl w:val="3"/>
        <w:rPr>
          <w:rFonts w:ascii="宋体" w:eastAsia="宋体" w:hAnsi="宋体" w:cs="宋体"/>
          <w:b/>
          <w:bCs/>
          <w:sz w:val="18"/>
          <w:szCs w:val="18"/>
        </w:rPr>
      </w:pPr>
      <w:bookmarkStart w:id="232" w:name="_Toc989119"/>
      <w:r>
        <w:rPr>
          <w:rFonts w:ascii="宋体" w:eastAsia="宋体" w:hAnsi="宋体" w:cs="宋体"/>
          <w:b/>
          <w:bCs/>
          <w:sz w:val="18"/>
          <w:szCs w:val="18"/>
        </w:rPr>
        <w:t>（2） 重要会计估计变更</w:t>
      </w:r>
      <w:bookmarkEnd w:id="23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 w:val="18"/>
          <w:szCs w:val="18"/>
        </w:rPr>
      </w:pPr>
      <w:bookmarkStart w:id="233" w:name="_Toc989120"/>
      <w:r>
        <w:rPr>
          <w:rFonts w:ascii="宋体" w:eastAsia="宋体" w:hAnsi="宋体" w:cs="宋体"/>
          <w:b/>
          <w:bCs/>
          <w:sz w:val="18"/>
          <w:szCs w:val="18"/>
        </w:rPr>
        <w:t>（3） 2023年起首次执行新会计准则调整首次执行当年年初财务报表相关项目情况</w:t>
      </w:r>
      <w:bookmarkEnd w:id="233"/>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234" w:name="_Toc989121"/>
      <w:r>
        <w:rPr>
          <w:rFonts w:ascii="宋体" w:hAnsi="宋体" w:cs="宋体"/>
          <w:b/>
          <w:bCs/>
        </w:rPr>
        <w:t>44、其他</w:t>
      </w:r>
      <w:bookmarkEnd w:id="234"/>
    </w:p>
    <w:p w:rsidR="000F627F" w:rsidRDefault="000F627F">
      <w:pPr>
        <w:pStyle w:val="a3"/>
        <w:divId w:val="847718470"/>
        <w:rPr>
          <w:sz w:val="18"/>
          <w:szCs w:val="18"/>
        </w:rPr>
      </w:pPr>
      <w:r>
        <w:rPr>
          <w:rFonts w:hint="eastAsia"/>
          <w:sz w:val="18"/>
          <w:szCs w:val="18"/>
        </w:rPr>
        <w:t>无。</w:t>
      </w:r>
    </w:p>
    <w:p w:rsidR="000D58D8" w:rsidRDefault="000F627F">
      <w:pPr>
        <w:pStyle w:val="2"/>
        <w:spacing w:before="300" w:after="300" w:line="320" w:lineRule="exact"/>
        <w:rPr>
          <w:rFonts w:ascii="宋体" w:eastAsia="宋体" w:hAnsi="宋体" w:cs="宋体"/>
          <w:b/>
          <w:bCs/>
          <w:sz w:val="24"/>
          <w:szCs w:val="24"/>
        </w:rPr>
      </w:pPr>
      <w:bookmarkStart w:id="235" w:name="_Toc989122"/>
      <w:r>
        <w:rPr>
          <w:rFonts w:ascii="宋体" w:eastAsia="宋体" w:hAnsi="宋体" w:cs="宋体"/>
          <w:b/>
          <w:bCs/>
          <w:sz w:val="24"/>
          <w:szCs w:val="24"/>
        </w:rPr>
        <w:t>六、税项</w:t>
      </w:r>
      <w:bookmarkEnd w:id="235"/>
    </w:p>
    <w:p w:rsidR="000D58D8" w:rsidRDefault="000F627F">
      <w:pPr>
        <w:pStyle w:val="3"/>
        <w:spacing w:line="280" w:lineRule="exact"/>
        <w:jc w:val="left"/>
        <w:rPr>
          <w:rFonts w:ascii="宋体" w:hAnsi="宋体" w:cs="宋体"/>
          <w:b/>
          <w:bCs/>
        </w:rPr>
      </w:pPr>
      <w:bookmarkStart w:id="236" w:name="_Toc989123"/>
      <w:r>
        <w:rPr>
          <w:rFonts w:ascii="宋体" w:hAnsi="宋体" w:cs="宋体"/>
          <w:b/>
          <w:bCs/>
        </w:rPr>
        <w:t>1、主要税种及税率</w:t>
      </w:r>
      <w:bookmarkEnd w:id="236"/>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税种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计税依据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税率</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增值税</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销售货物、应税劳务收入和应税服务收入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13%、10%、9%、6%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实缴流转税税额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7%、5%、3%</w:t>
            </w:r>
          </w:p>
        </w:tc>
      </w:tr>
      <w:tr w:rsidR="000D58D8" w:rsidTr="00134FC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应纳税所得额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15%、25%、16.5%、20%</w:t>
            </w:r>
          </w:p>
        </w:tc>
      </w:tr>
      <w:tr w:rsidR="000D58D8" w:rsidTr="00134FC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实缴流转税税额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3%</w:t>
            </w:r>
          </w:p>
        </w:tc>
      </w:tr>
      <w:tr w:rsidR="000D58D8" w:rsidTr="00134FC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地方教育费附加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实缴流转税税额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w:t>
            </w:r>
          </w:p>
        </w:tc>
      </w:tr>
      <w:tr w:rsidR="000D58D8" w:rsidTr="00134FC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房产税按照房产原值的70%为纳税基准，税率为1.2%，或以租金收入为纳税基准，税率为12%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1.2%、12%</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存在不同企业所得税税率纳税主体的，披露情况说明</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338"/>
        <w:gridCol w:w="2301"/>
      </w:tblGrid>
      <w:tr w:rsidR="000D58D8" w:rsidTr="00134FC9">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纳税主体名称</w:t>
            </w:r>
          </w:p>
        </w:tc>
        <w:tc>
          <w:tcPr>
            <w:tcW w:w="230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所得税税率</w:t>
            </w:r>
          </w:p>
        </w:tc>
      </w:tr>
      <w:tr w:rsidR="000D58D8" w:rsidTr="00134FC9">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w:t>
            </w:r>
          </w:p>
        </w:tc>
        <w:tc>
          <w:tcPr>
            <w:tcW w:w="23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15.00%</w:t>
            </w:r>
          </w:p>
        </w:tc>
      </w:tr>
      <w:tr w:rsidR="000D58D8" w:rsidTr="00134FC9">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香港华孚贸易有限公司、香港华孚有限公司、香港天成贸易有限公司</w:t>
            </w:r>
          </w:p>
        </w:tc>
        <w:tc>
          <w:tcPr>
            <w:tcW w:w="23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16.50%</w:t>
            </w:r>
          </w:p>
        </w:tc>
      </w:tr>
      <w:tr w:rsidR="000D58D8" w:rsidTr="00134FC9">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浙江华孚色纺有限公司</w:t>
            </w:r>
          </w:p>
        </w:tc>
        <w:tc>
          <w:tcPr>
            <w:tcW w:w="23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15.00%</w:t>
            </w:r>
          </w:p>
        </w:tc>
      </w:tr>
      <w:tr w:rsidR="000D58D8" w:rsidTr="00134FC9">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阿克苏华孚色纺有限公司、奎屯锦孚纺织有限公司、</w:t>
            </w:r>
            <w:proofErr w:type="gramStart"/>
            <w:r>
              <w:rPr>
                <w:rFonts w:ascii="宋体" w:eastAsia="宋体" w:hAnsi="宋体" w:cs="宋体"/>
                <w:sz w:val="18"/>
                <w:szCs w:val="18"/>
              </w:rPr>
              <w:t>新疆六孚纺织工业</w:t>
            </w:r>
            <w:proofErr w:type="gramEnd"/>
            <w:r>
              <w:rPr>
                <w:rFonts w:ascii="宋体" w:eastAsia="宋体" w:hAnsi="宋体" w:cs="宋体"/>
                <w:sz w:val="18"/>
                <w:szCs w:val="18"/>
              </w:rPr>
              <w:t>园有限公司</w:t>
            </w:r>
          </w:p>
        </w:tc>
        <w:tc>
          <w:tcPr>
            <w:tcW w:w="23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15.00%</w:t>
            </w:r>
          </w:p>
        </w:tc>
      </w:tr>
      <w:tr w:rsidR="000D58D8" w:rsidTr="00134FC9">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顺道（越南）实业独资有限公司</w:t>
            </w:r>
          </w:p>
        </w:tc>
        <w:tc>
          <w:tcPr>
            <w:tcW w:w="23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w:t>
            </w:r>
          </w:p>
        </w:tc>
      </w:tr>
      <w:tr w:rsidR="000D58D8" w:rsidTr="00134FC9">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越南隆安英鸿投资股份有限公司</w:t>
            </w:r>
          </w:p>
        </w:tc>
        <w:tc>
          <w:tcPr>
            <w:tcW w:w="23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20.00%</w:t>
            </w:r>
          </w:p>
        </w:tc>
      </w:tr>
      <w:tr w:rsidR="000D58D8" w:rsidTr="00134FC9">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新疆棉花产业集团伽师棉业有限公司、新疆棉花产业集团岳普湖棉业有限公司、新疆棉花产业集团泽普棉业有限公司、新疆棉花产业（集团）叶城棉业有限责任公司、奎屯锦孚棉业有限公司、</w:t>
            </w:r>
            <w:proofErr w:type="gramStart"/>
            <w:r>
              <w:rPr>
                <w:rFonts w:ascii="宋体" w:eastAsia="宋体" w:hAnsi="宋体" w:cs="宋体"/>
                <w:sz w:val="18"/>
                <w:szCs w:val="18"/>
              </w:rPr>
              <w:t>沙雅银花棉业</w:t>
            </w:r>
            <w:proofErr w:type="gramEnd"/>
            <w:r>
              <w:rPr>
                <w:rFonts w:ascii="宋体" w:eastAsia="宋体" w:hAnsi="宋体" w:cs="宋体"/>
                <w:sz w:val="18"/>
                <w:szCs w:val="18"/>
              </w:rPr>
              <w:t>有限责任公司、库车纵横棉业有限责任公司、库车</w:t>
            </w:r>
            <w:proofErr w:type="gramStart"/>
            <w:r>
              <w:rPr>
                <w:rFonts w:ascii="宋体" w:eastAsia="宋体" w:hAnsi="宋体" w:cs="宋体"/>
                <w:sz w:val="18"/>
                <w:szCs w:val="18"/>
              </w:rPr>
              <w:t>恒丰棉业</w:t>
            </w:r>
            <w:proofErr w:type="gramEnd"/>
            <w:r>
              <w:rPr>
                <w:rFonts w:ascii="宋体" w:eastAsia="宋体" w:hAnsi="宋体" w:cs="宋体"/>
                <w:sz w:val="18"/>
                <w:szCs w:val="18"/>
              </w:rPr>
              <w:t>有限责任公司、呼图壁县</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有限公司、新疆华孚</w:t>
            </w:r>
            <w:proofErr w:type="gramStart"/>
            <w:r>
              <w:rPr>
                <w:rFonts w:ascii="宋体" w:eastAsia="宋体" w:hAnsi="宋体" w:cs="宋体"/>
                <w:sz w:val="18"/>
                <w:szCs w:val="18"/>
              </w:rPr>
              <w:t>恒丰棉业</w:t>
            </w:r>
            <w:proofErr w:type="gramEnd"/>
            <w:r>
              <w:rPr>
                <w:rFonts w:ascii="宋体" w:eastAsia="宋体" w:hAnsi="宋体" w:cs="宋体"/>
                <w:sz w:val="18"/>
                <w:szCs w:val="18"/>
              </w:rPr>
              <w:t>有限公司、石河子华孚</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w:t>
            </w:r>
            <w:proofErr w:type="gramStart"/>
            <w:r>
              <w:rPr>
                <w:rFonts w:ascii="宋体" w:eastAsia="宋体" w:hAnsi="宋体" w:cs="宋体"/>
                <w:sz w:val="18"/>
                <w:szCs w:val="18"/>
              </w:rPr>
              <w:t>胡杨河</w:t>
            </w:r>
            <w:proofErr w:type="gramEnd"/>
            <w:r>
              <w:rPr>
                <w:rFonts w:ascii="宋体" w:eastAsia="宋体" w:hAnsi="宋体" w:cs="宋体"/>
                <w:sz w:val="18"/>
                <w:szCs w:val="18"/>
              </w:rPr>
              <w:t>华孚</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有限公司、石河子市华孚</w:t>
            </w:r>
            <w:proofErr w:type="gramStart"/>
            <w:r>
              <w:rPr>
                <w:rFonts w:ascii="宋体" w:eastAsia="宋体" w:hAnsi="宋体" w:cs="宋体"/>
                <w:sz w:val="18"/>
                <w:szCs w:val="18"/>
              </w:rPr>
              <w:t>宏丰棉业</w:t>
            </w:r>
            <w:proofErr w:type="gramEnd"/>
            <w:r>
              <w:rPr>
                <w:rFonts w:ascii="宋体" w:eastAsia="宋体" w:hAnsi="宋体" w:cs="宋体"/>
                <w:sz w:val="18"/>
                <w:szCs w:val="18"/>
              </w:rPr>
              <w:t>有限公司、新疆科宁针纺科技有限公司</w:t>
            </w:r>
          </w:p>
        </w:tc>
        <w:tc>
          <w:tcPr>
            <w:tcW w:w="23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w:t>
            </w:r>
          </w:p>
        </w:tc>
      </w:tr>
      <w:tr w:rsidR="000D58D8" w:rsidTr="00134FC9">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阿克苏</w:t>
            </w:r>
            <w:proofErr w:type="gramStart"/>
            <w:r>
              <w:rPr>
                <w:rFonts w:ascii="宋体" w:eastAsia="宋体" w:hAnsi="宋体" w:cs="宋体"/>
                <w:sz w:val="18"/>
                <w:szCs w:val="18"/>
              </w:rPr>
              <w:t>标信纤维</w:t>
            </w:r>
            <w:proofErr w:type="gramEnd"/>
            <w:r>
              <w:rPr>
                <w:rFonts w:ascii="宋体" w:eastAsia="宋体" w:hAnsi="宋体" w:cs="宋体"/>
                <w:sz w:val="18"/>
                <w:szCs w:val="18"/>
              </w:rPr>
              <w:t>有限公司</w:t>
            </w:r>
          </w:p>
        </w:tc>
        <w:tc>
          <w:tcPr>
            <w:tcW w:w="23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15.00%</w:t>
            </w:r>
          </w:p>
        </w:tc>
      </w:tr>
      <w:tr w:rsidR="000D58D8" w:rsidTr="00134FC9">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新加坡耀佳国际贸易有限公司</w:t>
            </w:r>
          </w:p>
        </w:tc>
        <w:tc>
          <w:tcPr>
            <w:tcW w:w="23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17.00%</w:t>
            </w:r>
          </w:p>
        </w:tc>
      </w:tr>
      <w:tr w:rsidR="000D58D8" w:rsidTr="00134FC9">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诸暨市卡拉美拉科技有限公司</w:t>
            </w:r>
            <w:proofErr w:type="gramEnd"/>
          </w:p>
        </w:tc>
        <w:tc>
          <w:tcPr>
            <w:tcW w:w="23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15.00%</w:t>
            </w:r>
          </w:p>
        </w:tc>
      </w:tr>
      <w:tr w:rsidR="000D58D8" w:rsidTr="00134FC9">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上海清澄时尚生活用品有限公司、阿克苏华孚新能源有限公司、江苏</w:t>
            </w:r>
            <w:proofErr w:type="gramStart"/>
            <w:r>
              <w:rPr>
                <w:rFonts w:ascii="宋体" w:eastAsia="宋体" w:hAnsi="宋体" w:cs="宋体"/>
                <w:sz w:val="18"/>
                <w:szCs w:val="18"/>
              </w:rPr>
              <w:t>清澄家</w:t>
            </w:r>
            <w:proofErr w:type="gramEnd"/>
            <w:r>
              <w:rPr>
                <w:rFonts w:ascii="宋体" w:eastAsia="宋体" w:hAnsi="宋体" w:cs="宋体"/>
                <w:sz w:val="18"/>
                <w:szCs w:val="18"/>
              </w:rPr>
              <w:t>生活用品有限公司、上海华孚色纺贸易有限公司、浙江</w:t>
            </w:r>
            <w:proofErr w:type="gramStart"/>
            <w:r>
              <w:rPr>
                <w:rFonts w:ascii="宋体" w:eastAsia="宋体" w:hAnsi="宋体" w:cs="宋体"/>
                <w:sz w:val="18"/>
                <w:szCs w:val="18"/>
              </w:rPr>
              <w:t>菁英电商管理</w:t>
            </w:r>
            <w:proofErr w:type="gramEnd"/>
            <w:r>
              <w:rPr>
                <w:rFonts w:ascii="宋体" w:eastAsia="宋体" w:hAnsi="宋体" w:cs="宋体"/>
                <w:sz w:val="18"/>
                <w:szCs w:val="18"/>
              </w:rPr>
              <w:t>服务有限公司、浙江</w:t>
            </w:r>
            <w:proofErr w:type="gramStart"/>
            <w:r>
              <w:rPr>
                <w:rFonts w:ascii="宋体" w:eastAsia="宋体" w:hAnsi="宋体" w:cs="宋体"/>
                <w:sz w:val="18"/>
                <w:szCs w:val="18"/>
              </w:rPr>
              <w:t>菁英创业</w:t>
            </w:r>
            <w:proofErr w:type="gramEnd"/>
            <w:r>
              <w:rPr>
                <w:rFonts w:ascii="宋体" w:eastAsia="宋体" w:hAnsi="宋体" w:cs="宋体"/>
                <w:sz w:val="18"/>
                <w:szCs w:val="18"/>
              </w:rPr>
              <w:t>服务有限公司、杭州名</w:t>
            </w:r>
            <w:proofErr w:type="gramStart"/>
            <w:r>
              <w:rPr>
                <w:rFonts w:ascii="宋体" w:eastAsia="宋体" w:hAnsi="宋体" w:cs="宋体"/>
                <w:sz w:val="18"/>
                <w:szCs w:val="18"/>
              </w:rPr>
              <w:t>鲲</w:t>
            </w:r>
            <w:proofErr w:type="gramEnd"/>
            <w:r>
              <w:rPr>
                <w:rFonts w:ascii="宋体" w:eastAsia="宋体" w:hAnsi="宋体" w:cs="宋体"/>
                <w:sz w:val="18"/>
                <w:szCs w:val="18"/>
              </w:rPr>
              <w:t>科技有限公司等</w:t>
            </w:r>
          </w:p>
        </w:tc>
        <w:tc>
          <w:tcPr>
            <w:tcW w:w="23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20.00%</w:t>
            </w:r>
          </w:p>
        </w:tc>
      </w:tr>
      <w:tr w:rsidR="000D58D8" w:rsidTr="00134FC9">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其他子公司</w:t>
            </w:r>
          </w:p>
        </w:tc>
        <w:tc>
          <w:tcPr>
            <w:tcW w:w="230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25.00%</w:t>
            </w:r>
          </w:p>
        </w:tc>
      </w:tr>
    </w:tbl>
    <w:p w:rsidR="000D58D8" w:rsidRDefault="000F627F">
      <w:pPr>
        <w:pStyle w:val="3"/>
        <w:spacing w:line="280" w:lineRule="exact"/>
        <w:jc w:val="left"/>
        <w:rPr>
          <w:rFonts w:ascii="宋体" w:hAnsi="宋体" w:cs="宋体"/>
          <w:b/>
          <w:bCs/>
        </w:rPr>
      </w:pPr>
      <w:bookmarkStart w:id="237" w:name="_Toc989124"/>
      <w:r>
        <w:rPr>
          <w:rFonts w:ascii="宋体" w:hAnsi="宋体" w:cs="宋体"/>
          <w:b/>
          <w:bCs/>
        </w:rPr>
        <w:t>2、税收优惠</w:t>
      </w:r>
      <w:bookmarkEnd w:id="237"/>
    </w:p>
    <w:p w:rsidR="000F627F" w:rsidRDefault="000F627F">
      <w:pPr>
        <w:pStyle w:val="a3"/>
        <w:spacing w:before="120" w:beforeAutospacing="0" w:after="0" w:afterAutospacing="0" w:line="360" w:lineRule="auto"/>
        <w:ind w:firstLine="424"/>
        <w:divId w:val="136383705"/>
        <w:rPr>
          <w:rFonts w:ascii="Times New Roman" w:hAnsi="Times New Roman" w:cs="Times New Roman"/>
          <w:sz w:val="21"/>
          <w:szCs w:val="21"/>
        </w:rPr>
      </w:pPr>
      <w:r>
        <w:rPr>
          <w:rFonts w:cs="Times New Roman" w:hint="eastAsia"/>
          <w:sz w:val="18"/>
          <w:szCs w:val="18"/>
        </w:rPr>
        <w:t>1、本公司取得了安徽省科学技术厅、安徽省财政厅、国家税务总局安徽省税务局于</w:t>
      </w:r>
      <w:r>
        <w:rPr>
          <w:rFonts w:ascii="Times New Roman" w:hAnsi="Times New Roman" w:cs="Times New Roman"/>
          <w:sz w:val="18"/>
          <w:szCs w:val="18"/>
        </w:rPr>
        <w:t>2021</w:t>
      </w:r>
      <w:r>
        <w:rPr>
          <w:rFonts w:cs="Times New Roman" w:hint="eastAsia"/>
          <w:sz w:val="18"/>
          <w:szCs w:val="18"/>
        </w:rPr>
        <w:t>年</w:t>
      </w:r>
      <w:r>
        <w:rPr>
          <w:rFonts w:ascii="Times New Roman" w:hAnsi="Times New Roman" w:cs="Times New Roman"/>
          <w:sz w:val="18"/>
          <w:szCs w:val="18"/>
        </w:rPr>
        <w:t>9</w:t>
      </w:r>
      <w:r>
        <w:rPr>
          <w:rFonts w:cs="Times New Roman" w:hint="eastAsia"/>
          <w:sz w:val="18"/>
          <w:szCs w:val="18"/>
        </w:rPr>
        <w:t>月</w:t>
      </w:r>
      <w:r>
        <w:rPr>
          <w:rFonts w:ascii="Times New Roman" w:hAnsi="Times New Roman" w:cs="Times New Roman"/>
          <w:sz w:val="18"/>
          <w:szCs w:val="18"/>
        </w:rPr>
        <w:t>18</w:t>
      </w:r>
      <w:r>
        <w:rPr>
          <w:rFonts w:cs="Times New Roman" w:hint="eastAsia"/>
          <w:sz w:val="18"/>
          <w:szCs w:val="18"/>
        </w:rPr>
        <w:t>日联合颁发的证书编号</w:t>
      </w:r>
      <w:r>
        <w:rPr>
          <w:rFonts w:ascii="Times New Roman" w:hAnsi="Times New Roman" w:cs="Times New Roman"/>
          <w:sz w:val="18"/>
          <w:szCs w:val="18"/>
        </w:rPr>
        <w:t>GR202134002871</w:t>
      </w:r>
      <w:r>
        <w:rPr>
          <w:rFonts w:cs="Times New Roman" w:hint="eastAsia"/>
          <w:sz w:val="18"/>
          <w:szCs w:val="18"/>
        </w:rPr>
        <w:t>的《高新技术企业证书》，有效期为</w:t>
      </w:r>
      <w:r>
        <w:rPr>
          <w:rFonts w:ascii="Times New Roman" w:hAnsi="Times New Roman" w:cs="Times New Roman"/>
          <w:sz w:val="18"/>
          <w:szCs w:val="18"/>
        </w:rPr>
        <w:t>3</w:t>
      </w:r>
      <w:r>
        <w:rPr>
          <w:rFonts w:cs="Times New Roman" w:hint="eastAsia"/>
          <w:sz w:val="18"/>
          <w:szCs w:val="18"/>
        </w:rPr>
        <w:t>年。本公司自</w:t>
      </w:r>
      <w:r>
        <w:rPr>
          <w:rFonts w:ascii="Times New Roman" w:hAnsi="Times New Roman" w:cs="Times New Roman"/>
          <w:sz w:val="18"/>
          <w:szCs w:val="18"/>
        </w:rPr>
        <w:t>2021</w:t>
      </w:r>
      <w:r>
        <w:rPr>
          <w:rFonts w:cs="Times New Roman" w:hint="eastAsia"/>
          <w:sz w:val="18"/>
          <w:szCs w:val="18"/>
        </w:rPr>
        <w:t>年度起享受高新技术企业税收优惠税率，即</w:t>
      </w:r>
      <w:r>
        <w:rPr>
          <w:rFonts w:ascii="Times New Roman" w:hAnsi="Times New Roman" w:cs="Times New Roman"/>
          <w:sz w:val="18"/>
          <w:szCs w:val="18"/>
        </w:rPr>
        <w:t>2023</w:t>
      </w:r>
      <w:r>
        <w:rPr>
          <w:rFonts w:cs="Times New Roman" w:hint="eastAsia"/>
          <w:sz w:val="18"/>
          <w:szCs w:val="18"/>
        </w:rPr>
        <w:t>年享受</w:t>
      </w:r>
      <w:r>
        <w:rPr>
          <w:rFonts w:ascii="Times New Roman" w:hAnsi="Times New Roman" w:cs="Times New Roman"/>
          <w:sz w:val="18"/>
          <w:szCs w:val="18"/>
        </w:rPr>
        <w:t>15%</w:t>
      </w:r>
      <w:r>
        <w:rPr>
          <w:rFonts w:cs="Times New Roman" w:hint="eastAsia"/>
          <w:sz w:val="18"/>
          <w:szCs w:val="18"/>
        </w:rPr>
        <w:t>的企业所得税优惠税率。</w:t>
      </w:r>
    </w:p>
    <w:p w:rsidR="000F627F" w:rsidRDefault="000F627F">
      <w:pPr>
        <w:pStyle w:val="a3"/>
        <w:spacing w:before="120" w:beforeAutospacing="0" w:after="0" w:afterAutospacing="0" w:line="360" w:lineRule="auto"/>
        <w:ind w:firstLine="424"/>
        <w:divId w:val="136383705"/>
        <w:rPr>
          <w:rFonts w:ascii="Times New Roman" w:hAnsi="Times New Roman" w:cs="Times New Roman"/>
          <w:sz w:val="21"/>
          <w:szCs w:val="21"/>
        </w:rPr>
      </w:pPr>
      <w:r>
        <w:rPr>
          <w:rFonts w:ascii="Times New Roman" w:hAnsi="Times New Roman" w:cs="Times New Roman"/>
          <w:sz w:val="18"/>
          <w:szCs w:val="18"/>
        </w:rPr>
        <w:t>2</w:t>
      </w:r>
      <w:r>
        <w:rPr>
          <w:rFonts w:cs="Times New Roman" w:hint="eastAsia"/>
          <w:sz w:val="18"/>
          <w:szCs w:val="18"/>
        </w:rPr>
        <w:t>、根据</w:t>
      </w:r>
      <w:r>
        <w:rPr>
          <w:rFonts w:ascii="Times New Roman" w:hAnsi="Times New Roman" w:cs="Times New Roman"/>
          <w:sz w:val="18"/>
          <w:szCs w:val="18"/>
        </w:rPr>
        <w:t>2021</w:t>
      </w:r>
      <w:r>
        <w:rPr>
          <w:rFonts w:cs="Times New Roman" w:hint="eastAsia"/>
          <w:sz w:val="18"/>
          <w:szCs w:val="18"/>
        </w:rPr>
        <w:t>年</w:t>
      </w:r>
      <w:r>
        <w:rPr>
          <w:rFonts w:ascii="Times New Roman" w:hAnsi="Times New Roman" w:cs="Times New Roman"/>
          <w:sz w:val="18"/>
          <w:szCs w:val="18"/>
        </w:rPr>
        <w:t>12</w:t>
      </w:r>
      <w:r>
        <w:rPr>
          <w:rFonts w:cs="Times New Roman" w:hint="eastAsia"/>
          <w:sz w:val="18"/>
          <w:szCs w:val="18"/>
        </w:rPr>
        <w:t>月</w:t>
      </w:r>
      <w:r>
        <w:rPr>
          <w:rFonts w:ascii="Times New Roman" w:hAnsi="Times New Roman" w:cs="Times New Roman"/>
          <w:sz w:val="18"/>
          <w:szCs w:val="18"/>
        </w:rPr>
        <w:t>16</w:t>
      </w:r>
      <w:r>
        <w:rPr>
          <w:rFonts w:cs="Times New Roman" w:hint="eastAsia"/>
          <w:sz w:val="18"/>
          <w:szCs w:val="18"/>
        </w:rPr>
        <w:t>日浙江省科学技术厅、浙江省财政厅、国家税务总局浙江省税务局联合颁发的证书编号</w:t>
      </w:r>
      <w:r>
        <w:rPr>
          <w:rFonts w:ascii="Times New Roman" w:hAnsi="Times New Roman" w:cs="Times New Roman"/>
          <w:sz w:val="18"/>
          <w:szCs w:val="18"/>
        </w:rPr>
        <w:t>GR202133001040</w:t>
      </w:r>
      <w:r>
        <w:rPr>
          <w:rFonts w:cs="Times New Roman" w:hint="eastAsia"/>
          <w:sz w:val="18"/>
          <w:szCs w:val="18"/>
        </w:rPr>
        <w:t>的《高新技术企业证书》，有效期为</w:t>
      </w:r>
      <w:r>
        <w:rPr>
          <w:rFonts w:ascii="Times New Roman" w:hAnsi="Times New Roman" w:cs="Times New Roman"/>
          <w:sz w:val="18"/>
          <w:szCs w:val="18"/>
        </w:rPr>
        <w:t>3</w:t>
      </w:r>
      <w:r>
        <w:rPr>
          <w:rFonts w:cs="Times New Roman" w:hint="eastAsia"/>
          <w:sz w:val="18"/>
          <w:szCs w:val="18"/>
        </w:rPr>
        <w:t>年。浙江色纺自</w:t>
      </w:r>
      <w:r>
        <w:rPr>
          <w:rFonts w:ascii="Times New Roman" w:hAnsi="Times New Roman" w:cs="Times New Roman"/>
          <w:sz w:val="18"/>
          <w:szCs w:val="18"/>
        </w:rPr>
        <w:t>2021</w:t>
      </w:r>
      <w:r>
        <w:rPr>
          <w:rFonts w:cs="Times New Roman" w:hint="eastAsia"/>
          <w:sz w:val="18"/>
          <w:szCs w:val="18"/>
        </w:rPr>
        <w:t>年度起享受高新技术企业税收优惠税率，即</w:t>
      </w:r>
      <w:r>
        <w:rPr>
          <w:rFonts w:ascii="Times New Roman" w:hAnsi="Times New Roman" w:cs="Times New Roman"/>
          <w:sz w:val="18"/>
          <w:szCs w:val="18"/>
        </w:rPr>
        <w:t>2023</w:t>
      </w:r>
      <w:r>
        <w:rPr>
          <w:rFonts w:cs="Times New Roman" w:hint="eastAsia"/>
          <w:sz w:val="18"/>
          <w:szCs w:val="18"/>
        </w:rPr>
        <w:t>年享受</w:t>
      </w:r>
      <w:r>
        <w:rPr>
          <w:rFonts w:ascii="Times New Roman" w:hAnsi="Times New Roman" w:cs="Times New Roman"/>
          <w:sz w:val="18"/>
          <w:szCs w:val="18"/>
        </w:rPr>
        <w:t>15%</w:t>
      </w:r>
      <w:r>
        <w:rPr>
          <w:rFonts w:cs="Times New Roman" w:hint="eastAsia"/>
          <w:sz w:val="18"/>
          <w:szCs w:val="18"/>
        </w:rPr>
        <w:t>的企业所得税优惠税率。</w:t>
      </w:r>
    </w:p>
    <w:p w:rsidR="000F627F" w:rsidRDefault="000F627F">
      <w:pPr>
        <w:pStyle w:val="a3"/>
        <w:spacing w:before="120" w:beforeAutospacing="0" w:after="0" w:afterAutospacing="0" w:line="360" w:lineRule="auto"/>
        <w:ind w:firstLine="424"/>
        <w:divId w:val="136383705"/>
        <w:rPr>
          <w:rFonts w:ascii="Times New Roman" w:hAnsi="Times New Roman" w:cs="Times New Roman"/>
          <w:sz w:val="21"/>
          <w:szCs w:val="21"/>
        </w:rPr>
      </w:pPr>
      <w:r>
        <w:rPr>
          <w:rFonts w:ascii="Times New Roman" w:hAnsi="Times New Roman" w:cs="Times New Roman"/>
          <w:sz w:val="18"/>
          <w:szCs w:val="18"/>
        </w:rPr>
        <w:t>3</w:t>
      </w:r>
      <w:r>
        <w:rPr>
          <w:rFonts w:cs="Times New Roman" w:hint="eastAsia"/>
          <w:sz w:val="18"/>
          <w:szCs w:val="18"/>
        </w:rPr>
        <w:t>、根据财政部公告</w:t>
      </w:r>
      <w:r>
        <w:rPr>
          <w:rFonts w:ascii="Times New Roman" w:hAnsi="Times New Roman" w:cs="Times New Roman"/>
          <w:sz w:val="18"/>
          <w:szCs w:val="18"/>
        </w:rPr>
        <w:t>2020</w:t>
      </w:r>
      <w:r>
        <w:rPr>
          <w:rFonts w:cs="Times New Roman" w:hint="eastAsia"/>
          <w:sz w:val="18"/>
          <w:szCs w:val="18"/>
        </w:rPr>
        <w:t>年第</w:t>
      </w:r>
      <w:r>
        <w:rPr>
          <w:rFonts w:ascii="Times New Roman" w:hAnsi="Times New Roman" w:cs="Times New Roman"/>
          <w:sz w:val="18"/>
          <w:szCs w:val="18"/>
        </w:rPr>
        <w:t>23</w:t>
      </w:r>
      <w:r>
        <w:rPr>
          <w:rFonts w:cs="Times New Roman" w:hint="eastAsia"/>
          <w:sz w:val="18"/>
          <w:szCs w:val="18"/>
        </w:rPr>
        <w:t>号文件《财政部</w:t>
      </w:r>
      <w:r>
        <w:rPr>
          <w:rFonts w:ascii="Times New Roman" w:hAnsi="Times New Roman" w:cs="Times New Roman"/>
          <w:sz w:val="18"/>
          <w:szCs w:val="18"/>
        </w:rPr>
        <w:t xml:space="preserve"> </w:t>
      </w:r>
      <w:r>
        <w:rPr>
          <w:rFonts w:cs="Times New Roman" w:hint="eastAsia"/>
          <w:sz w:val="18"/>
          <w:szCs w:val="18"/>
        </w:rPr>
        <w:t>税务总局</w:t>
      </w:r>
      <w:r>
        <w:rPr>
          <w:rFonts w:ascii="Times New Roman" w:hAnsi="Times New Roman" w:cs="Times New Roman"/>
          <w:sz w:val="18"/>
          <w:szCs w:val="18"/>
        </w:rPr>
        <w:t xml:space="preserve"> </w:t>
      </w:r>
      <w:r>
        <w:rPr>
          <w:rFonts w:cs="Times New Roman" w:hint="eastAsia"/>
          <w:sz w:val="18"/>
          <w:szCs w:val="18"/>
        </w:rPr>
        <w:t>国家发展改革委关于延续西部大开发企业所得税政策的公告》的规定，对符合</w:t>
      </w:r>
      <w:r>
        <w:rPr>
          <w:rFonts w:ascii="Times New Roman" w:hAnsi="Times New Roman" w:cs="Times New Roman"/>
          <w:sz w:val="18"/>
          <w:szCs w:val="18"/>
        </w:rPr>
        <w:t>[</w:t>
      </w:r>
      <w:r>
        <w:rPr>
          <w:rFonts w:cs="Times New Roman" w:hint="eastAsia"/>
          <w:sz w:val="18"/>
          <w:szCs w:val="18"/>
        </w:rPr>
        <w:t>西部地区鼓励类产业目录</w:t>
      </w:r>
      <w:r>
        <w:rPr>
          <w:rFonts w:ascii="Times New Roman" w:hAnsi="Times New Roman" w:cs="Times New Roman"/>
          <w:sz w:val="18"/>
          <w:szCs w:val="18"/>
        </w:rPr>
        <w:t>]</w:t>
      </w:r>
      <w:r>
        <w:rPr>
          <w:rFonts w:cs="Times New Roman" w:hint="eastAsia"/>
          <w:sz w:val="18"/>
          <w:szCs w:val="18"/>
        </w:rPr>
        <w:t>第二十大类中的第六项的新疆自治区境内的纺织企业，自</w:t>
      </w:r>
      <w:r>
        <w:rPr>
          <w:rFonts w:ascii="Times New Roman" w:hAnsi="Times New Roman" w:cs="Times New Roman"/>
          <w:sz w:val="18"/>
          <w:szCs w:val="18"/>
        </w:rPr>
        <w:t>2020</w:t>
      </w:r>
      <w:r>
        <w:rPr>
          <w:rFonts w:cs="Times New Roman" w:hint="eastAsia"/>
          <w:sz w:val="18"/>
          <w:szCs w:val="18"/>
        </w:rPr>
        <w:t>年至</w:t>
      </w:r>
      <w:r>
        <w:rPr>
          <w:rFonts w:ascii="Times New Roman" w:hAnsi="Times New Roman" w:cs="Times New Roman"/>
          <w:sz w:val="18"/>
          <w:szCs w:val="18"/>
        </w:rPr>
        <w:t>2030</w:t>
      </w:r>
      <w:r>
        <w:rPr>
          <w:rFonts w:cs="Times New Roman" w:hint="eastAsia"/>
          <w:sz w:val="18"/>
          <w:szCs w:val="18"/>
        </w:rPr>
        <w:t>年，对设在西部地区的鼓励类产业企业减按</w:t>
      </w:r>
      <w:r>
        <w:rPr>
          <w:rFonts w:ascii="Times New Roman" w:hAnsi="Times New Roman" w:cs="Times New Roman"/>
          <w:sz w:val="18"/>
          <w:szCs w:val="18"/>
        </w:rPr>
        <w:t>15%</w:t>
      </w:r>
      <w:r>
        <w:rPr>
          <w:rFonts w:cs="Times New Roman" w:hint="eastAsia"/>
          <w:sz w:val="18"/>
          <w:szCs w:val="18"/>
        </w:rPr>
        <w:t>的税率征收企业所得税。据此，本公司之子公司阿克苏华孚、</w:t>
      </w:r>
      <w:proofErr w:type="gramStart"/>
      <w:r>
        <w:rPr>
          <w:rFonts w:cs="Times New Roman" w:hint="eastAsia"/>
          <w:sz w:val="18"/>
          <w:szCs w:val="18"/>
        </w:rPr>
        <w:t>奎屯锦孚纺织</w:t>
      </w:r>
      <w:proofErr w:type="gramEnd"/>
      <w:r>
        <w:rPr>
          <w:rFonts w:cs="Times New Roman" w:hint="eastAsia"/>
          <w:sz w:val="18"/>
          <w:szCs w:val="18"/>
        </w:rPr>
        <w:t>、</w:t>
      </w:r>
      <w:proofErr w:type="gramStart"/>
      <w:r>
        <w:rPr>
          <w:rFonts w:cs="Times New Roman" w:hint="eastAsia"/>
          <w:sz w:val="18"/>
          <w:szCs w:val="18"/>
        </w:rPr>
        <w:t>新疆六孚纺织</w:t>
      </w:r>
      <w:proofErr w:type="gramEnd"/>
      <w:r>
        <w:rPr>
          <w:rFonts w:cs="Times New Roman" w:hint="eastAsia"/>
          <w:sz w:val="18"/>
          <w:szCs w:val="18"/>
        </w:rPr>
        <w:t>享受</w:t>
      </w:r>
      <w:r>
        <w:rPr>
          <w:rFonts w:ascii="Times New Roman" w:hAnsi="Times New Roman" w:cs="Times New Roman"/>
          <w:sz w:val="18"/>
          <w:szCs w:val="18"/>
        </w:rPr>
        <w:t>15%</w:t>
      </w:r>
      <w:r>
        <w:rPr>
          <w:rFonts w:cs="Times New Roman" w:hint="eastAsia"/>
          <w:sz w:val="18"/>
          <w:szCs w:val="18"/>
        </w:rPr>
        <w:t>的企业所得税率。</w:t>
      </w:r>
    </w:p>
    <w:p w:rsidR="000F627F" w:rsidRDefault="000F627F">
      <w:pPr>
        <w:pStyle w:val="a3"/>
        <w:spacing w:before="120" w:beforeAutospacing="0" w:after="0" w:afterAutospacing="0" w:line="360" w:lineRule="auto"/>
        <w:ind w:firstLine="424"/>
        <w:divId w:val="136383705"/>
        <w:rPr>
          <w:rFonts w:ascii="Times New Roman" w:hAnsi="Times New Roman" w:cs="Times New Roman"/>
          <w:sz w:val="21"/>
          <w:szCs w:val="21"/>
        </w:rPr>
      </w:pPr>
      <w:r>
        <w:rPr>
          <w:rFonts w:ascii="Times New Roman" w:hAnsi="Times New Roman" w:cs="Times New Roman"/>
          <w:sz w:val="18"/>
          <w:szCs w:val="18"/>
        </w:rPr>
        <w:t>4</w:t>
      </w:r>
      <w:r>
        <w:rPr>
          <w:rFonts w:cs="Times New Roman" w:hint="eastAsia"/>
          <w:sz w:val="18"/>
          <w:szCs w:val="18"/>
        </w:rPr>
        <w:t>、根据越南现行的</w:t>
      </w:r>
      <w:r>
        <w:rPr>
          <w:rFonts w:ascii="Times New Roman" w:hAnsi="Times New Roman" w:cs="Times New Roman"/>
          <w:sz w:val="18"/>
          <w:szCs w:val="18"/>
        </w:rPr>
        <w:t xml:space="preserve">78/2014/TT-BTC </w:t>
      </w:r>
      <w:r>
        <w:rPr>
          <w:rFonts w:cs="Times New Roman" w:hint="eastAsia"/>
          <w:sz w:val="18"/>
          <w:szCs w:val="18"/>
        </w:rPr>
        <w:t>和</w:t>
      </w:r>
      <w:r>
        <w:rPr>
          <w:rFonts w:ascii="Times New Roman" w:hAnsi="Times New Roman" w:cs="Times New Roman"/>
          <w:sz w:val="18"/>
          <w:szCs w:val="18"/>
        </w:rPr>
        <w:t xml:space="preserve">96/2015/TT-BTC </w:t>
      </w:r>
      <w:r>
        <w:rPr>
          <w:rFonts w:cs="Times New Roman" w:hint="eastAsia"/>
          <w:sz w:val="18"/>
          <w:szCs w:val="18"/>
        </w:rPr>
        <w:t>法规以及</w:t>
      </w:r>
      <w:r>
        <w:rPr>
          <w:rFonts w:ascii="Times New Roman" w:hAnsi="Times New Roman" w:cs="Times New Roman"/>
          <w:sz w:val="18"/>
          <w:szCs w:val="18"/>
        </w:rPr>
        <w:t xml:space="preserve">57/2021/ND-CP </w:t>
      </w:r>
      <w:r>
        <w:rPr>
          <w:rFonts w:cs="Times New Roman" w:hint="eastAsia"/>
          <w:sz w:val="18"/>
          <w:szCs w:val="18"/>
        </w:rPr>
        <w:t>和</w:t>
      </w:r>
      <w:r>
        <w:rPr>
          <w:rFonts w:ascii="Times New Roman" w:hAnsi="Times New Roman" w:cs="Times New Roman"/>
          <w:sz w:val="18"/>
          <w:szCs w:val="18"/>
        </w:rPr>
        <w:t xml:space="preserve"> 218/2013/ND-CP</w:t>
      </w:r>
      <w:r>
        <w:rPr>
          <w:rFonts w:cs="Times New Roman" w:hint="eastAsia"/>
          <w:sz w:val="18"/>
          <w:szCs w:val="18"/>
        </w:rPr>
        <w:t>补充条例的规定，对符合越南国家发展战略需求的制造工业支持产品的投资项目实行一定的企业所得税优惠激励措施。</w:t>
      </w:r>
      <w:r>
        <w:rPr>
          <w:rFonts w:ascii="Times New Roman" w:hAnsi="Times New Roman" w:cs="Times New Roman"/>
          <w:sz w:val="18"/>
          <w:szCs w:val="18"/>
        </w:rPr>
        <w:t>2021</w:t>
      </w:r>
      <w:r>
        <w:rPr>
          <w:rFonts w:cs="Times New Roman" w:hint="eastAsia"/>
          <w:sz w:val="18"/>
          <w:szCs w:val="18"/>
        </w:rPr>
        <w:t>年根据越南相关政策规定，越南顺道又获得政府部门批准的“四免九减半”企业所得税优惠政策，据此，按照新税收优惠政策，越南顺道</w:t>
      </w:r>
      <w:r>
        <w:rPr>
          <w:rFonts w:ascii="Times New Roman" w:hAnsi="Times New Roman" w:cs="Times New Roman"/>
          <w:sz w:val="18"/>
          <w:szCs w:val="18"/>
        </w:rPr>
        <w:t>2023</w:t>
      </w:r>
      <w:r>
        <w:rPr>
          <w:rFonts w:cs="Times New Roman" w:hint="eastAsia"/>
          <w:sz w:val="18"/>
          <w:szCs w:val="18"/>
        </w:rPr>
        <w:t>年免征纱线产品自产自销业务的企业所得税。</w:t>
      </w:r>
    </w:p>
    <w:p w:rsidR="000F627F" w:rsidRDefault="000F627F">
      <w:pPr>
        <w:pStyle w:val="a3"/>
        <w:spacing w:before="120" w:beforeAutospacing="0" w:after="0" w:afterAutospacing="0" w:line="360" w:lineRule="auto"/>
        <w:ind w:firstLine="424"/>
        <w:divId w:val="136383705"/>
        <w:rPr>
          <w:rFonts w:ascii="Times New Roman" w:hAnsi="Times New Roman" w:cs="Times New Roman"/>
          <w:sz w:val="21"/>
          <w:szCs w:val="21"/>
        </w:rPr>
      </w:pPr>
      <w:r>
        <w:rPr>
          <w:rFonts w:ascii="Times New Roman" w:hAnsi="Times New Roman" w:cs="Times New Roman"/>
          <w:sz w:val="18"/>
          <w:szCs w:val="18"/>
        </w:rPr>
        <w:lastRenderedPageBreak/>
        <w:t>5</w:t>
      </w:r>
      <w:r>
        <w:rPr>
          <w:rFonts w:cs="Times New Roman" w:hint="eastAsia"/>
          <w:sz w:val="18"/>
          <w:szCs w:val="18"/>
        </w:rPr>
        <w:t>、根据《中华人民共和国企业所得税法》第二十七条第（一）项及《中华人民共和国企业所得税法实施条例》第二十七条第八十六条第一款之规定，通过轧花、剥绒等脱绒工序简单加工处理，制成的产品（皮棉、短绒、棉籽）的收入免征企业所得税。据此，本公司之子公司伽师棉业、岳普湖棉业、泽普棉业、叶城棉业、沙雅银花、库车纵横、库车恒丰、呼图壁宏盛、华孚恒丰、石河子</w:t>
      </w:r>
      <w:proofErr w:type="gramStart"/>
      <w:r>
        <w:rPr>
          <w:rFonts w:cs="Times New Roman" w:hint="eastAsia"/>
          <w:sz w:val="18"/>
          <w:szCs w:val="18"/>
        </w:rPr>
        <w:t>宏盛棉业</w:t>
      </w:r>
      <w:proofErr w:type="gramEnd"/>
      <w:r>
        <w:rPr>
          <w:rFonts w:cs="Times New Roman" w:hint="eastAsia"/>
          <w:sz w:val="18"/>
          <w:szCs w:val="18"/>
        </w:rPr>
        <w:t>、</w:t>
      </w:r>
      <w:proofErr w:type="gramStart"/>
      <w:r>
        <w:rPr>
          <w:rFonts w:cs="Times New Roman" w:hint="eastAsia"/>
          <w:sz w:val="18"/>
          <w:szCs w:val="18"/>
        </w:rPr>
        <w:t>胡杨河宏盛棉</w:t>
      </w:r>
      <w:proofErr w:type="gramEnd"/>
      <w:r>
        <w:rPr>
          <w:rFonts w:cs="Times New Roman" w:hint="eastAsia"/>
          <w:sz w:val="18"/>
          <w:szCs w:val="18"/>
        </w:rPr>
        <w:t>业、石河子</w:t>
      </w:r>
      <w:proofErr w:type="gramStart"/>
      <w:r>
        <w:rPr>
          <w:rFonts w:cs="Times New Roman" w:hint="eastAsia"/>
          <w:sz w:val="18"/>
          <w:szCs w:val="18"/>
        </w:rPr>
        <w:t>宏丰棉业</w:t>
      </w:r>
      <w:proofErr w:type="gramEnd"/>
      <w:r>
        <w:rPr>
          <w:rFonts w:cs="Times New Roman" w:hint="eastAsia"/>
          <w:sz w:val="18"/>
          <w:szCs w:val="18"/>
        </w:rPr>
        <w:t>、</w:t>
      </w:r>
      <w:proofErr w:type="gramStart"/>
      <w:r>
        <w:rPr>
          <w:rFonts w:cs="Times New Roman" w:hint="eastAsia"/>
          <w:sz w:val="18"/>
          <w:szCs w:val="18"/>
        </w:rPr>
        <w:t>泽孚棉花</w:t>
      </w:r>
      <w:proofErr w:type="gramEnd"/>
      <w:r>
        <w:rPr>
          <w:rFonts w:cs="Times New Roman" w:hint="eastAsia"/>
          <w:sz w:val="18"/>
          <w:szCs w:val="18"/>
        </w:rPr>
        <w:t>、盛孚棉业免征企业所得税。</w:t>
      </w:r>
    </w:p>
    <w:p w:rsidR="000F627F" w:rsidRDefault="000F627F">
      <w:pPr>
        <w:pStyle w:val="a3"/>
        <w:spacing w:before="120" w:beforeAutospacing="0" w:after="0" w:afterAutospacing="0" w:line="360" w:lineRule="auto"/>
        <w:ind w:firstLine="424"/>
        <w:divId w:val="136383705"/>
        <w:rPr>
          <w:rFonts w:ascii="Times New Roman" w:hAnsi="Times New Roman" w:cs="Times New Roman"/>
          <w:sz w:val="21"/>
          <w:szCs w:val="21"/>
        </w:rPr>
      </w:pPr>
      <w:r>
        <w:rPr>
          <w:rFonts w:ascii="Times New Roman" w:hAnsi="Times New Roman" w:cs="Times New Roman"/>
          <w:sz w:val="18"/>
          <w:szCs w:val="18"/>
        </w:rPr>
        <w:t>6</w:t>
      </w:r>
      <w:r>
        <w:rPr>
          <w:rFonts w:cs="Times New Roman" w:hint="eastAsia"/>
          <w:sz w:val="18"/>
          <w:szCs w:val="18"/>
        </w:rPr>
        <w:t>、根据</w:t>
      </w:r>
      <w:r>
        <w:rPr>
          <w:rFonts w:ascii="Times New Roman" w:hAnsi="Times New Roman" w:cs="Times New Roman"/>
          <w:sz w:val="18"/>
          <w:szCs w:val="18"/>
        </w:rPr>
        <w:t>2022</w:t>
      </w:r>
      <w:r>
        <w:rPr>
          <w:rFonts w:cs="Times New Roman" w:hint="eastAsia"/>
          <w:sz w:val="18"/>
          <w:szCs w:val="18"/>
        </w:rPr>
        <w:t>年</w:t>
      </w:r>
      <w:r>
        <w:rPr>
          <w:rFonts w:ascii="Times New Roman" w:hAnsi="Times New Roman" w:cs="Times New Roman"/>
          <w:sz w:val="18"/>
          <w:szCs w:val="18"/>
        </w:rPr>
        <w:t>11</w:t>
      </w:r>
      <w:r>
        <w:rPr>
          <w:rFonts w:cs="Times New Roman" w:hint="eastAsia"/>
          <w:sz w:val="18"/>
          <w:szCs w:val="18"/>
        </w:rPr>
        <w:t>月</w:t>
      </w:r>
      <w:r>
        <w:rPr>
          <w:rFonts w:ascii="Times New Roman" w:hAnsi="Times New Roman" w:cs="Times New Roman"/>
          <w:sz w:val="18"/>
          <w:szCs w:val="18"/>
        </w:rPr>
        <w:t>28</w:t>
      </w:r>
      <w:r>
        <w:rPr>
          <w:rFonts w:cs="Times New Roman" w:hint="eastAsia"/>
          <w:sz w:val="18"/>
          <w:szCs w:val="18"/>
        </w:rPr>
        <w:t>日新疆维吾尔自治区科学技术厅、新疆维吾尔自治区财政厅、国家税务总局新疆维吾尔自治区税务局联合颁发的证书编号</w:t>
      </w:r>
      <w:r>
        <w:rPr>
          <w:rFonts w:ascii="Times New Roman" w:hAnsi="Times New Roman" w:cs="Times New Roman"/>
          <w:sz w:val="18"/>
          <w:szCs w:val="18"/>
        </w:rPr>
        <w:t>GR202265000504</w:t>
      </w:r>
      <w:r>
        <w:rPr>
          <w:rFonts w:cs="Times New Roman" w:hint="eastAsia"/>
          <w:sz w:val="18"/>
          <w:szCs w:val="18"/>
        </w:rPr>
        <w:t>的《高新技术企业证书》，有效期为</w:t>
      </w:r>
      <w:r>
        <w:rPr>
          <w:rFonts w:ascii="Times New Roman" w:hAnsi="Times New Roman" w:cs="Times New Roman"/>
          <w:sz w:val="18"/>
          <w:szCs w:val="18"/>
        </w:rPr>
        <w:t>3</w:t>
      </w:r>
      <w:r>
        <w:rPr>
          <w:rFonts w:cs="Times New Roman" w:hint="eastAsia"/>
          <w:sz w:val="18"/>
          <w:szCs w:val="18"/>
        </w:rPr>
        <w:t>年。阿克苏</w:t>
      </w:r>
      <w:proofErr w:type="gramStart"/>
      <w:r>
        <w:rPr>
          <w:rFonts w:cs="Times New Roman" w:hint="eastAsia"/>
          <w:sz w:val="18"/>
          <w:szCs w:val="18"/>
        </w:rPr>
        <w:t>标信自</w:t>
      </w:r>
      <w:proofErr w:type="gramEnd"/>
      <w:r>
        <w:rPr>
          <w:rFonts w:ascii="Times New Roman" w:hAnsi="Times New Roman" w:cs="Times New Roman"/>
          <w:sz w:val="18"/>
          <w:szCs w:val="18"/>
        </w:rPr>
        <w:t>2022</w:t>
      </w:r>
      <w:r>
        <w:rPr>
          <w:rFonts w:cs="Times New Roman" w:hint="eastAsia"/>
          <w:sz w:val="18"/>
          <w:szCs w:val="18"/>
        </w:rPr>
        <w:t>年度起享受高新技术企业税收优惠税率，即</w:t>
      </w:r>
      <w:r>
        <w:rPr>
          <w:rFonts w:ascii="Times New Roman" w:hAnsi="Times New Roman" w:cs="Times New Roman"/>
          <w:sz w:val="18"/>
          <w:szCs w:val="18"/>
        </w:rPr>
        <w:t>2023</w:t>
      </w:r>
      <w:r>
        <w:rPr>
          <w:rFonts w:cs="Times New Roman" w:hint="eastAsia"/>
          <w:sz w:val="18"/>
          <w:szCs w:val="18"/>
        </w:rPr>
        <w:t>年享受</w:t>
      </w:r>
      <w:r>
        <w:rPr>
          <w:rFonts w:ascii="Times New Roman" w:hAnsi="Times New Roman" w:cs="Times New Roman"/>
          <w:sz w:val="18"/>
          <w:szCs w:val="18"/>
        </w:rPr>
        <w:t>15%</w:t>
      </w:r>
      <w:r>
        <w:rPr>
          <w:rFonts w:cs="Times New Roman" w:hint="eastAsia"/>
          <w:sz w:val="18"/>
          <w:szCs w:val="18"/>
        </w:rPr>
        <w:t>的企业所得税优惠税率。</w:t>
      </w:r>
    </w:p>
    <w:p w:rsidR="000F627F" w:rsidRDefault="000F627F">
      <w:pPr>
        <w:pStyle w:val="a3"/>
        <w:spacing w:before="120" w:beforeAutospacing="0" w:after="0" w:afterAutospacing="0" w:line="360" w:lineRule="auto"/>
        <w:ind w:firstLine="424"/>
        <w:divId w:val="136383705"/>
        <w:rPr>
          <w:rFonts w:ascii="Times New Roman" w:hAnsi="Times New Roman" w:cs="Times New Roman"/>
          <w:sz w:val="21"/>
          <w:szCs w:val="21"/>
        </w:rPr>
      </w:pPr>
      <w:r>
        <w:rPr>
          <w:rFonts w:ascii="Times New Roman" w:hAnsi="Times New Roman" w:cs="Times New Roman"/>
          <w:sz w:val="18"/>
          <w:szCs w:val="18"/>
        </w:rPr>
        <w:t>7</w:t>
      </w:r>
      <w:r>
        <w:rPr>
          <w:rFonts w:cs="Times New Roman" w:hint="eastAsia"/>
          <w:sz w:val="18"/>
          <w:szCs w:val="18"/>
        </w:rPr>
        <w:t>、新加坡注册企业首</w:t>
      </w:r>
      <w:r>
        <w:rPr>
          <w:rFonts w:ascii="Times New Roman" w:hAnsi="Times New Roman" w:cs="Times New Roman"/>
          <w:sz w:val="18"/>
          <w:szCs w:val="18"/>
        </w:rPr>
        <w:t>1</w:t>
      </w:r>
      <w:r>
        <w:rPr>
          <w:rFonts w:cs="Times New Roman" w:hint="eastAsia"/>
          <w:sz w:val="18"/>
          <w:szCs w:val="18"/>
        </w:rPr>
        <w:t>万新币利润，减免税务</w:t>
      </w:r>
      <w:r>
        <w:rPr>
          <w:rFonts w:ascii="Times New Roman" w:hAnsi="Times New Roman" w:cs="Times New Roman"/>
          <w:sz w:val="18"/>
          <w:szCs w:val="18"/>
        </w:rPr>
        <w:t>75%</w:t>
      </w:r>
      <w:r>
        <w:rPr>
          <w:rFonts w:cs="Times New Roman" w:hint="eastAsia"/>
          <w:sz w:val="18"/>
          <w:szCs w:val="18"/>
        </w:rPr>
        <w:t>，税率为</w:t>
      </w:r>
      <w:r>
        <w:rPr>
          <w:rFonts w:ascii="Times New Roman" w:hAnsi="Times New Roman" w:cs="Times New Roman"/>
          <w:sz w:val="18"/>
          <w:szCs w:val="18"/>
        </w:rPr>
        <w:t>4.25%</w:t>
      </w:r>
      <w:r>
        <w:rPr>
          <w:rFonts w:cs="Times New Roman" w:hint="eastAsia"/>
          <w:sz w:val="18"/>
          <w:szCs w:val="18"/>
        </w:rPr>
        <w:t>；企业后续</w:t>
      </w:r>
      <w:r>
        <w:rPr>
          <w:rFonts w:ascii="Times New Roman" w:hAnsi="Times New Roman" w:cs="Times New Roman"/>
          <w:sz w:val="18"/>
          <w:szCs w:val="18"/>
        </w:rPr>
        <w:t>19</w:t>
      </w:r>
      <w:r>
        <w:rPr>
          <w:rFonts w:cs="Times New Roman" w:hint="eastAsia"/>
          <w:sz w:val="18"/>
          <w:szCs w:val="18"/>
        </w:rPr>
        <w:t>万新币利润，享有减免税务</w:t>
      </w:r>
      <w:r>
        <w:rPr>
          <w:rFonts w:ascii="Times New Roman" w:hAnsi="Times New Roman" w:cs="Times New Roman"/>
          <w:sz w:val="18"/>
          <w:szCs w:val="18"/>
        </w:rPr>
        <w:t>50%</w:t>
      </w:r>
      <w:r>
        <w:rPr>
          <w:rFonts w:cs="Times New Roman" w:hint="eastAsia"/>
          <w:sz w:val="18"/>
          <w:szCs w:val="18"/>
        </w:rPr>
        <w:t>；企业超出</w:t>
      </w:r>
      <w:r>
        <w:rPr>
          <w:rFonts w:ascii="Times New Roman" w:hAnsi="Times New Roman" w:cs="Times New Roman"/>
          <w:sz w:val="18"/>
          <w:szCs w:val="18"/>
        </w:rPr>
        <w:t>20</w:t>
      </w:r>
      <w:r>
        <w:rPr>
          <w:rFonts w:cs="Times New Roman" w:hint="eastAsia"/>
          <w:sz w:val="18"/>
          <w:szCs w:val="18"/>
        </w:rPr>
        <w:t>万新币的利润部分，按照</w:t>
      </w:r>
      <w:r>
        <w:rPr>
          <w:rFonts w:ascii="Times New Roman" w:hAnsi="Times New Roman" w:cs="Times New Roman"/>
          <w:sz w:val="18"/>
          <w:szCs w:val="18"/>
        </w:rPr>
        <w:t>17%</w:t>
      </w:r>
      <w:r>
        <w:rPr>
          <w:rFonts w:cs="Times New Roman" w:hint="eastAsia"/>
          <w:sz w:val="18"/>
          <w:szCs w:val="18"/>
        </w:rPr>
        <w:t>的税率正常征收。</w:t>
      </w:r>
    </w:p>
    <w:p w:rsidR="000F627F" w:rsidRDefault="000F627F">
      <w:pPr>
        <w:pStyle w:val="a3"/>
        <w:spacing w:before="120" w:beforeAutospacing="0" w:after="0" w:afterAutospacing="0" w:line="360" w:lineRule="auto"/>
        <w:ind w:firstLine="424"/>
        <w:divId w:val="136383705"/>
        <w:rPr>
          <w:rFonts w:ascii="Times New Roman" w:hAnsi="Times New Roman" w:cs="Times New Roman"/>
          <w:sz w:val="21"/>
          <w:szCs w:val="21"/>
        </w:rPr>
      </w:pPr>
      <w:r>
        <w:rPr>
          <w:rFonts w:ascii="Times New Roman" w:hAnsi="Times New Roman" w:cs="Times New Roman"/>
          <w:sz w:val="18"/>
          <w:szCs w:val="18"/>
        </w:rPr>
        <w:t>8</w:t>
      </w:r>
      <w:r>
        <w:rPr>
          <w:rFonts w:cs="Times New Roman" w:hint="eastAsia"/>
          <w:sz w:val="18"/>
          <w:szCs w:val="18"/>
        </w:rPr>
        <w:t>、根据</w:t>
      </w:r>
      <w:r>
        <w:rPr>
          <w:rFonts w:ascii="Times New Roman" w:hAnsi="Times New Roman" w:cs="Times New Roman"/>
          <w:sz w:val="18"/>
          <w:szCs w:val="18"/>
        </w:rPr>
        <w:t>2022</w:t>
      </w:r>
      <w:r>
        <w:rPr>
          <w:rFonts w:cs="Times New Roman" w:hint="eastAsia"/>
          <w:sz w:val="18"/>
          <w:szCs w:val="18"/>
        </w:rPr>
        <w:t>年</w:t>
      </w:r>
      <w:r>
        <w:rPr>
          <w:rFonts w:ascii="Times New Roman" w:hAnsi="Times New Roman" w:cs="Times New Roman"/>
          <w:sz w:val="18"/>
          <w:szCs w:val="18"/>
        </w:rPr>
        <w:t>12</w:t>
      </w:r>
      <w:r>
        <w:rPr>
          <w:rFonts w:cs="Times New Roman" w:hint="eastAsia"/>
          <w:sz w:val="18"/>
          <w:szCs w:val="18"/>
        </w:rPr>
        <w:t>月</w:t>
      </w:r>
      <w:r>
        <w:rPr>
          <w:rFonts w:ascii="Times New Roman" w:hAnsi="Times New Roman" w:cs="Times New Roman"/>
          <w:sz w:val="18"/>
          <w:szCs w:val="18"/>
        </w:rPr>
        <w:t>24</w:t>
      </w:r>
      <w:r>
        <w:rPr>
          <w:rFonts w:cs="Times New Roman" w:hint="eastAsia"/>
          <w:sz w:val="18"/>
          <w:szCs w:val="18"/>
        </w:rPr>
        <w:t>日浙江省科学技术厅、浙江省财政厅、国家税务总局浙江省税务局联合颁发的证书编号</w:t>
      </w:r>
      <w:r>
        <w:rPr>
          <w:rFonts w:ascii="Times New Roman" w:hAnsi="Times New Roman" w:cs="Times New Roman"/>
          <w:sz w:val="18"/>
          <w:szCs w:val="18"/>
        </w:rPr>
        <w:t>GR202233000592</w:t>
      </w:r>
      <w:r>
        <w:rPr>
          <w:rFonts w:cs="Times New Roman" w:hint="eastAsia"/>
          <w:sz w:val="18"/>
          <w:szCs w:val="18"/>
        </w:rPr>
        <w:t>的《高新技术企业证书》，有效期为</w:t>
      </w:r>
      <w:r>
        <w:rPr>
          <w:rFonts w:ascii="Times New Roman" w:hAnsi="Times New Roman" w:cs="Times New Roman"/>
          <w:sz w:val="18"/>
          <w:szCs w:val="18"/>
        </w:rPr>
        <w:t>3</w:t>
      </w:r>
      <w:r>
        <w:rPr>
          <w:rFonts w:cs="Times New Roman" w:hint="eastAsia"/>
          <w:sz w:val="18"/>
          <w:szCs w:val="18"/>
        </w:rPr>
        <w:t>年。卡拉美拉自</w:t>
      </w:r>
      <w:r>
        <w:rPr>
          <w:rFonts w:ascii="Times New Roman" w:hAnsi="Times New Roman" w:cs="Times New Roman"/>
          <w:sz w:val="18"/>
          <w:szCs w:val="18"/>
        </w:rPr>
        <w:t>2022</w:t>
      </w:r>
      <w:r>
        <w:rPr>
          <w:rFonts w:cs="Times New Roman" w:hint="eastAsia"/>
          <w:sz w:val="18"/>
          <w:szCs w:val="18"/>
        </w:rPr>
        <w:t>年度起享受高新技术企业税收优惠税率，即</w:t>
      </w:r>
      <w:r>
        <w:rPr>
          <w:rFonts w:ascii="Times New Roman" w:hAnsi="Times New Roman" w:cs="Times New Roman"/>
          <w:sz w:val="18"/>
          <w:szCs w:val="18"/>
        </w:rPr>
        <w:t>2023</w:t>
      </w:r>
      <w:r>
        <w:rPr>
          <w:rFonts w:cs="Times New Roman" w:hint="eastAsia"/>
          <w:sz w:val="18"/>
          <w:szCs w:val="18"/>
        </w:rPr>
        <w:t>年享受</w:t>
      </w:r>
      <w:r>
        <w:rPr>
          <w:rFonts w:ascii="Times New Roman" w:hAnsi="Times New Roman" w:cs="Times New Roman"/>
          <w:sz w:val="18"/>
          <w:szCs w:val="18"/>
        </w:rPr>
        <w:t>15%</w:t>
      </w:r>
      <w:r>
        <w:rPr>
          <w:rFonts w:cs="Times New Roman" w:hint="eastAsia"/>
          <w:sz w:val="18"/>
          <w:szCs w:val="18"/>
        </w:rPr>
        <w:t>的企业所得税优惠税率。</w:t>
      </w:r>
    </w:p>
    <w:p w:rsidR="000F627F" w:rsidRDefault="000F627F">
      <w:pPr>
        <w:pStyle w:val="a3"/>
        <w:spacing w:before="120" w:beforeAutospacing="0" w:after="0" w:afterAutospacing="0" w:line="360" w:lineRule="auto"/>
        <w:ind w:firstLine="424"/>
        <w:divId w:val="136383705"/>
        <w:rPr>
          <w:rFonts w:ascii="Times New Roman" w:hAnsi="Times New Roman" w:cs="Times New Roman"/>
          <w:sz w:val="21"/>
          <w:szCs w:val="21"/>
        </w:rPr>
      </w:pPr>
      <w:r>
        <w:rPr>
          <w:rFonts w:ascii="Times New Roman" w:hAnsi="Times New Roman" w:cs="Times New Roman"/>
          <w:sz w:val="18"/>
          <w:szCs w:val="18"/>
        </w:rPr>
        <w:t>9</w:t>
      </w:r>
      <w:r>
        <w:rPr>
          <w:rFonts w:cs="Times New Roman" w:hint="eastAsia"/>
          <w:sz w:val="18"/>
          <w:szCs w:val="18"/>
        </w:rPr>
        <w:t>、根据《财政部</w:t>
      </w:r>
      <w:r>
        <w:rPr>
          <w:rFonts w:ascii="Times New Roman" w:hAnsi="Times New Roman" w:cs="Times New Roman"/>
          <w:sz w:val="18"/>
          <w:szCs w:val="18"/>
        </w:rPr>
        <w:t xml:space="preserve"> </w:t>
      </w:r>
      <w:r>
        <w:rPr>
          <w:rFonts w:cs="Times New Roman" w:hint="eastAsia"/>
          <w:sz w:val="18"/>
          <w:szCs w:val="18"/>
        </w:rPr>
        <w:t>税务总局关于进一步实施小微企业所得税优惠政策的公告》（财政部</w:t>
      </w:r>
      <w:r>
        <w:rPr>
          <w:rFonts w:ascii="Times New Roman" w:hAnsi="Times New Roman" w:cs="Times New Roman"/>
          <w:sz w:val="18"/>
          <w:szCs w:val="18"/>
        </w:rPr>
        <w:t xml:space="preserve"> </w:t>
      </w:r>
      <w:r>
        <w:rPr>
          <w:rFonts w:cs="Times New Roman" w:hint="eastAsia"/>
          <w:sz w:val="18"/>
          <w:szCs w:val="18"/>
        </w:rPr>
        <w:t>税务总局公告</w:t>
      </w:r>
      <w:r>
        <w:rPr>
          <w:rFonts w:ascii="Times New Roman" w:hAnsi="Times New Roman" w:cs="Times New Roman"/>
          <w:sz w:val="18"/>
          <w:szCs w:val="18"/>
        </w:rPr>
        <w:t>2022</w:t>
      </w:r>
      <w:r>
        <w:rPr>
          <w:rFonts w:cs="Times New Roman" w:hint="eastAsia"/>
          <w:sz w:val="18"/>
          <w:szCs w:val="18"/>
        </w:rPr>
        <w:t>年第</w:t>
      </w:r>
      <w:r>
        <w:rPr>
          <w:rFonts w:ascii="Times New Roman" w:hAnsi="Times New Roman" w:cs="Times New Roman"/>
          <w:sz w:val="18"/>
          <w:szCs w:val="18"/>
        </w:rPr>
        <w:t>13</w:t>
      </w:r>
      <w:r>
        <w:rPr>
          <w:rFonts w:cs="Times New Roman" w:hint="eastAsia"/>
          <w:sz w:val="18"/>
          <w:szCs w:val="18"/>
        </w:rPr>
        <w:t>号）、《财政部</w:t>
      </w:r>
      <w:r>
        <w:rPr>
          <w:rFonts w:ascii="Times New Roman" w:hAnsi="Times New Roman" w:cs="Times New Roman"/>
          <w:sz w:val="18"/>
          <w:szCs w:val="18"/>
        </w:rPr>
        <w:t xml:space="preserve"> </w:t>
      </w:r>
      <w:r>
        <w:rPr>
          <w:rFonts w:cs="Times New Roman" w:hint="eastAsia"/>
          <w:sz w:val="18"/>
          <w:szCs w:val="18"/>
        </w:rPr>
        <w:t>税务总局关于小微企业和个体工商户所得税优惠政策的公告》（财政部</w:t>
      </w:r>
      <w:r>
        <w:rPr>
          <w:rFonts w:ascii="Times New Roman" w:hAnsi="Times New Roman" w:cs="Times New Roman"/>
          <w:sz w:val="18"/>
          <w:szCs w:val="18"/>
        </w:rPr>
        <w:t xml:space="preserve"> </w:t>
      </w:r>
      <w:r>
        <w:rPr>
          <w:rFonts w:cs="Times New Roman" w:hint="eastAsia"/>
          <w:sz w:val="18"/>
          <w:szCs w:val="18"/>
        </w:rPr>
        <w:t>税务总局公告</w:t>
      </w:r>
      <w:r>
        <w:rPr>
          <w:rFonts w:ascii="Times New Roman" w:hAnsi="Times New Roman" w:cs="Times New Roman"/>
          <w:sz w:val="18"/>
          <w:szCs w:val="18"/>
        </w:rPr>
        <w:t>2023</w:t>
      </w:r>
      <w:r>
        <w:rPr>
          <w:rFonts w:cs="Times New Roman" w:hint="eastAsia"/>
          <w:sz w:val="18"/>
          <w:szCs w:val="18"/>
        </w:rPr>
        <w:t>年第</w:t>
      </w:r>
      <w:r>
        <w:rPr>
          <w:rFonts w:ascii="Times New Roman" w:hAnsi="Times New Roman" w:cs="Times New Roman"/>
          <w:sz w:val="18"/>
          <w:szCs w:val="18"/>
        </w:rPr>
        <w:t>6</w:t>
      </w:r>
      <w:r>
        <w:rPr>
          <w:rFonts w:cs="Times New Roman" w:hint="eastAsia"/>
          <w:sz w:val="18"/>
          <w:szCs w:val="18"/>
        </w:rPr>
        <w:t>号）、《财政部</w:t>
      </w:r>
      <w:r>
        <w:rPr>
          <w:rFonts w:ascii="Times New Roman" w:hAnsi="Times New Roman" w:cs="Times New Roman"/>
          <w:sz w:val="18"/>
          <w:szCs w:val="18"/>
        </w:rPr>
        <w:t xml:space="preserve"> </w:t>
      </w:r>
      <w:r>
        <w:rPr>
          <w:rFonts w:cs="Times New Roman" w:hint="eastAsia"/>
          <w:sz w:val="18"/>
          <w:szCs w:val="18"/>
        </w:rPr>
        <w:t>税务总局关于进一步支持小微企业和个体工商户发展有关税费政策的公告》（财政部</w:t>
      </w:r>
      <w:r>
        <w:rPr>
          <w:rFonts w:ascii="Times New Roman" w:hAnsi="Times New Roman" w:cs="Times New Roman"/>
          <w:sz w:val="18"/>
          <w:szCs w:val="18"/>
        </w:rPr>
        <w:t xml:space="preserve"> </w:t>
      </w:r>
      <w:r>
        <w:rPr>
          <w:rFonts w:cs="Times New Roman" w:hint="eastAsia"/>
          <w:sz w:val="18"/>
          <w:szCs w:val="18"/>
        </w:rPr>
        <w:t>税务总局公告</w:t>
      </w:r>
      <w:r>
        <w:rPr>
          <w:rFonts w:ascii="Times New Roman" w:hAnsi="Times New Roman" w:cs="Times New Roman"/>
          <w:sz w:val="18"/>
          <w:szCs w:val="18"/>
        </w:rPr>
        <w:t>2023</w:t>
      </w:r>
      <w:r>
        <w:rPr>
          <w:rFonts w:cs="Times New Roman" w:hint="eastAsia"/>
          <w:sz w:val="18"/>
          <w:szCs w:val="18"/>
        </w:rPr>
        <w:t>年第</w:t>
      </w:r>
      <w:r>
        <w:rPr>
          <w:rFonts w:ascii="Times New Roman" w:hAnsi="Times New Roman" w:cs="Times New Roman"/>
          <w:sz w:val="18"/>
          <w:szCs w:val="18"/>
        </w:rPr>
        <w:t>12</w:t>
      </w:r>
      <w:r>
        <w:rPr>
          <w:rFonts w:cs="Times New Roman" w:hint="eastAsia"/>
          <w:sz w:val="18"/>
          <w:szCs w:val="18"/>
        </w:rPr>
        <w:t>号</w:t>
      </w:r>
      <w:r>
        <w:rPr>
          <w:rFonts w:ascii="Times New Roman" w:hAnsi="Times New Roman" w:cs="Times New Roman"/>
          <w:sz w:val="18"/>
          <w:szCs w:val="18"/>
        </w:rPr>
        <w:t> </w:t>
      </w:r>
      <w:r>
        <w:rPr>
          <w:rFonts w:cs="Times New Roman" w:hint="eastAsia"/>
          <w:sz w:val="18"/>
          <w:szCs w:val="18"/>
        </w:rPr>
        <w:t>）的规定，自</w:t>
      </w:r>
      <w:r>
        <w:rPr>
          <w:rFonts w:ascii="Times New Roman" w:hAnsi="Times New Roman" w:cs="Times New Roman"/>
          <w:sz w:val="18"/>
          <w:szCs w:val="18"/>
        </w:rPr>
        <w:t>2022</w:t>
      </w:r>
      <w:r>
        <w:rPr>
          <w:rFonts w:cs="Times New Roman" w:hint="eastAsia"/>
          <w:sz w:val="18"/>
          <w:szCs w:val="18"/>
        </w:rPr>
        <w:t>年</w:t>
      </w:r>
      <w:r>
        <w:rPr>
          <w:rFonts w:ascii="Times New Roman" w:hAnsi="Times New Roman" w:cs="Times New Roman"/>
          <w:sz w:val="18"/>
          <w:szCs w:val="18"/>
        </w:rPr>
        <w:t>1</w:t>
      </w:r>
      <w:r>
        <w:rPr>
          <w:rFonts w:cs="Times New Roman" w:hint="eastAsia"/>
          <w:sz w:val="18"/>
          <w:szCs w:val="18"/>
        </w:rPr>
        <w:t>月</w:t>
      </w:r>
      <w:r>
        <w:rPr>
          <w:rFonts w:ascii="Times New Roman" w:hAnsi="Times New Roman" w:cs="Times New Roman"/>
          <w:sz w:val="18"/>
          <w:szCs w:val="18"/>
        </w:rPr>
        <w:t>1</w:t>
      </w:r>
      <w:r>
        <w:rPr>
          <w:rFonts w:cs="Times New Roman" w:hint="eastAsia"/>
          <w:sz w:val="18"/>
          <w:szCs w:val="18"/>
        </w:rPr>
        <w:t>日至</w:t>
      </w:r>
      <w:r>
        <w:rPr>
          <w:rFonts w:ascii="Times New Roman" w:hAnsi="Times New Roman" w:cs="Times New Roman"/>
          <w:sz w:val="18"/>
          <w:szCs w:val="18"/>
        </w:rPr>
        <w:t>2024</w:t>
      </w:r>
      <w:r>
        <w:rPr>
          <w:rFonts w:cs="Times New Roman" w:hint="eastAsia"/>
          <w:sz w:val="18"/>
          <w:szCs w:val="18"/>
        </w:rPr>
        <w:t>年</w:t>
      </w:r>
      <w:r>
        <w:rPr>
          <w:rFonts w:ascii="Times New Roman" w:hAnsi="Times New Roman" w:cs="Times New Roman"/>
          <w:sz w:val="18"/>
          <w:szCs w:val="18"/>
        </w:rPr>
        <w:t>12</w:t>
      </w:r>
      <w:r>
        <w:rPr>
          <w:rFonts w:cs="Times New Roman" w:hint="eastAsia"/>
          <w:sz w:val="18"/>
          <w:szCs w:val="18"/>
        </w:rPr>
        <w:t>月</w:t>
      </w:r>
      <w:r>
        <w:rPr>
          <w:rFonts w:ascii="Times New Roman" w:hAnsi="Times New Roman" w:cs="Times New Roman"/>
          <w:sz w:val="18"/>
          <w:szCs w:val="18"/>
        </w:rPr>
        <w:t>31</w:t>
      </w:r>
      <w:r>
        <w:rPr>
          <w:rFonts w:cs="Times New Roman" w:hint="eastAsia"/>
          <w:sz w:val="18"/>
          <w:szCs w:val="18"/>
        </w:rPr>
        <w:t>日，对小型微利企业年应纳税所得额超过</w:t>
      </w:r>
      <w:r>
        <w:rPr>
          <w:rFonts w:ascii="Times New Roman" w:hAnsi="Times New Roman" w:cs="Times New Roman"/>
          <w:sz w:val="18"/>
          <w:szCs w:val="18"/>
        </w:rPr>
        <w:t>100</w:t>
      </w:r>
      <w:r>
        <w:rPr>
          <w:rFonts w:cs="Times New Roman" w:hint="eastAsia"/>
          <w:sz w:val="18"/>
          <w:szCs w:val="18"/>
        </w:rPr>
        <w:t>万元但不超过</w:t>
      </w:r>
      <w:r>
        <w:rPr>
          <w:rFonts w:ascii="Times New Roman" w:hAnsi="Times New Roman" w:cs="Times New Roman"/>
          <w:sz w:val="18"/>
          <w:szCs w:val="18"/>
        </w:rPr>
        <w:t>300</w:t>
      </w:r>
      <w:r>
        <w:rPr>
          <w:rFonts w:cs="Times New Roman" w:hint="eastAsia"/>
          <w:sz w:val="18"/>
          <w:szCs w:val="18"/>
        </w:rPr>
        <w:t>万元的部分，减按</w:t>
      </w:r>
      <w:r>
        <w:rPr>
          <w:rFonts w:ascii="Times New Roman" w:hAnsi="Times New Roman" w:cs="Times New Roman"/>
          <w:sz w:val="18"/>
          <w:szCs w:val="18"/>
        </w:rPr>
        <w:t>25%</w:t>
      </w:r>
      <w:r>
        <w:rPr>
          <w:rFonts w:cs="Times New Roman" w:hint="eastAsia"/>
          <w:sz w:val="18"/>
          <w:szCs w:val="18"/>
        </w:rPr>
        <w:t>计入应纳税所得额，按</w:t>
      </w:r>
      <w:r>
        <w:rPr>
          <w:rFonts w:ascii="Times New Roman" w:hAnsi="Times New Roman" w:cs="Times New Roman"/>
          <w:sz w:val="18"/>
          <w:szCs w:val="18"/>
        </w:rPr>
        <w:t>20%</w:t>
      </w:r>
      <w:r>
        <w:rPr>
          <w:rFonts w:cs="Times New Roman" w:hint="eastAsia"/>
          <w:sz w:val="18"/>
          <w:szCs w:val="18"/>
        </w:rPr>
        <w:t>的税率缴纳企业所得税。自</w:t>
      </w:r>
      <w:r>
        <w:rPr>
          <w:rFonts w:ascii="Times New Roman" w:hAnsi="Times New Roman" w:cs="Times New Roman"/>
          <w:sz w:val="18"/>
          <w:szCs w:val="18"/>
        </w:rPr>
        <w:t>2023</w:t>
      </w:r>
      <w:r>
        <w:rPr>
          <w:rFonts w:cs="Times New Roman" w:hint="eastAsia"/>
          <w:sz w:val="18"/>
          <w:szCs w:val="18"/>
        </w:rPr>
        <w:t>年</w:t>
      </w:r>
      <w:r>
        <w:rPr>
          <w:rFonts w:ascii="Times New Roman" w:hAnsi="Times New Roman" w:cs="Times New Roman"/>
          <w:sz w:val="18"/>
          <w:szCs w:val="18"/>
        </w:rPr>
        <w:t>1</w:t>
      </w:r>
      <w:r>
        <w:rPr>
          <w:rFonts w:cs="Times New Roman" w:hint="eastAsia"/>
          <w:sz w:val="18"/>
          <w:szCs w:val="18"/>
        </w:rPr>
        <w:t>月</w:t>
      </w:r>
      <w:r>
        <w:rPr>
          <w:rFonts w:ascii="Times New Roman" w:hAnsi="Times New Roman" w:cs="Times New Roman"/>
          <w:sz w:val="18"/>
          <w:szCs w:val="18"/>
        </w:rPr>
        <w:t>1</w:t>
      </w:r>
      <w:r>
        <w:rPr>
          <w:rFonts w:cs="Times New Roman" w:hint="eastAsia"/>
          <w:sz w:val="18"/>
          <w:szCs w:val="18"/>
        </w:rPr>
        <w:t>日至</w:t>
      </w:r>
      <w:r>
        <w:rPr>
          <w:rFonts w:ascii="Times New Roman" w:hAnsi="Times New Roman" w:cs="Times New Roman"/>
          <w:sz w:val="18"/>
          <w:szCs w:val="18"/>
        </w:rPr>
        <w:t>2024</w:t>
      </w:r>
      <w:r>
        <w:rPr>
          <w:rFonts w:cs="Times New Roman" w:hint="eastAsia"/>
          <w:sz w:val="18"/>
          <w:szCs w:val="18"/>
        </w:rPr>
        <w:t>年</w:t>
      </w:r>
      <w:r>
        <w:rPr>
          <w:rFonts w:ascii="Times New Roman" w:hAnsi="Times New Roman" w:cs="Times New Roman"/>
          <w:sz w:val="18"/>
          <w:szCs w:val="18"/>
        </w:rPr>
        <w:t>12</w:t>
      </w:r>
      <w:r>
        <w:rPr>
          <w:rFonts w:cs="Times New Roman" w:hint="eastAsia"/>
          <w:sz w:val="18"/>
          <w:szCs w:val="18"/>
        </w:rPr>
        <w:t>月</w:t>
      </w:r>
      <w:r>
        <w:rPr>
          <w:rFonts w:ascii="Times New Roman" w:hAnsi="Times New Roman" w:cs="Times New Roman"/>
          <w:sz w:val="18"/>
          <w:szCs w:val="18"/>
        </w:rPr>
        <w:t>31</w:t>
      </w:r>
      <w:r>
        <w:rPr>
          <w:rFonts w:cs="Times New Roman" w:hint="eastAsia"/>
          <w:sz w:val="18"/>
          <w:szCs w:val="18"/>
        </w:rPr>
        <w:t>日，对小型微利企业年应纳税所得额不超过</w:t>
      </w:r>
      <w:r>
        <w:rPr>
          <w:rFonts w:ascii="Times New Roman" w:hAnsi="Times New Roman" w:cs="Times New Roman"/>
          <w:sz w:val="18"/>
          <w:szCs w:val="18"/>
        </w:rPr>
        <w:t>100</w:t>
      </w:r>
      <w:r>
        <w:rPr>
          <w:rFonts w:cs="Times New Roman" w:hint="eastAsia"/>
          <w:sz w:val="18"/>
          <w:szCs w:val="18"/>
        </w:rPr>
        <w:t>万元的部分，减按</w:t>
      </w:r>
      <w:r>
        <w:rPr>
          <w:rFonts w:ascii="Times New Roman" w:hAnsi="Times New Roman" w:cs="Times New Roman"/>
          <w:sz w:val="18"/>
          <w:szCs w:val="18"/>
        </w:rPr>
        <w:t>25%</w:t>
      </w:r>
      <w:r>
        <w:rPr>
          <w:rFonts w:cs="Times New Roman" w:hint="eastAsia"/>
          <w:sz w:val="18"/>
          <w:szCs w:val="18"/>
        </w:rPr>
        <w:t>计入应纳税所得额，按</w:t>
      </w:r>
      <w:r>
        <w:rPr>
          <w:rFonts w:ascii="Times New Roman" w:hAnsi="Times New Roman" w:cs="Times New Roman"/>
          <w:sz w:val="18"/>
          <w:szCs w:val="18"/>
        </w:rPr>
        <w:t>20%</w:t>
      </w:r>
      <w:r>
        <w:rPr>
          <w:rFonts w:cs="Times New Roman" w:hint="eastAsia"/>
          <w:sz w:val="18"/>
          <w:szCs w:val="18"/>
        </w:rPr>
        <w:t>的税率缴纳企业所得税。对小型微利企业减按</w:t>
      </w:r>
      <w:r>
        <w:rPr>
          <w:rFonts w:ascii="Times New Roman" w:hAnsi="Times New Roman" w:cs="Times New Roman"/>
          <w:sz w:val="18"/>
          <w:szCs w:val="18"/>
        </w:rPr>
        <w:t>25%</w:t>
      </w:r>
      <w:r>
        <w:rPr>
          <w:rFonts w:cs="Times New Roman" w:hint="eastAsia"/>
          <w:sz w:val="18"/>
          <w:szCs w:val="18"/>
        </w:rPr>
        <w:t>计算应纳税所得额，按</w:t>
      </w:r>
      <w:r>
        <w:rPr>
          <w:rFonts w:ascii="Times New Roman" w:hAnsi="Times New Roman" w:cs="Times New Roman"/>
          <w:sz w:val="18"/>
          <w:szCs w:val="18"/>
        </w:rPr>
        <w:t>20%</w:t>
      </w:r>
      <w:r>
        <w:rPr>
          <w:rFonts w:cs="Times New Roman" w:hint="eastAsia"/>
          <w:sz w:val="18"/>
          <w:szCs w:val="18"/>
        </w:rPr>
        <w:t>的税率缴纳企业所得税政策，延续执行至</w:t>
      </w:r>
      <w:r>
        <w:rPr>
          <w:rFonts w:ascii="Times New Roman" w:hAnsi="Times New Roman" w:cs="Times New Roman"/>
          <w:sz w:val="18"/>
          <w:szCs w:val="18"/>
        </w:rPr>
        <w:t>2027</w:t>
      </w:r>
      <w:r>
        <w:rPr>
          <w:rFonts w:cs="Times New Roman" w:hint="eastAsia"/>
          <w:sz w:val="18"/>
          <w:szCs w:val="18"/>
        </w:rPr>
        <w:t>年</w:t>
      </w:r>
      <w:r>
        <w:rPr>
          <w:rFonts w:ascii="Times New Roman" w:hAnsi="Times New Roman" w:cs="Times New Roman"/>
          <w:sz w:val="18"/>
          <w:szCs w:val="18"/>
        </w:rPr>
        <w:t>12</w:t>
      </w:r>
      <w:r>
        <w:rPr>
          <w:rFonts w:cs="Times New Roman" w:hint="eastAsia"/>
          <w:sz w:val="18"/>
          <w:szCs w:val="18"/>
        </w:rPr>
        <w:t>月</w:t>
      </w:r>
      <w:r>
        <w:rPr>
          <w:rFonts w:ascii="Times New Roman" w:hAnsi="Times New Roman" w:cs="Times New Roman"/>
          <w:sz w:val="18"/>
          <w:szCs w:val="18"/>
        </w:rPr>
        <w:t>31</w:t>
      </w:r>
      <w:r>
        <w:rPr>
          <w:rFonts w:cs="Times New Roman" w:hint="eastAsia"/>
          <w:sz w:val="18"/>
          <w:szCs w:val="18"/>
        </w:rPr>
        <w:t>日。上海清澄、阿克苏新能源、江苏清澄、上虞华孚物流、浙江阿大互联、上海华孚色纺、</w:t>
      </w:r>
      <w:proofErr w:type="gramStart"/>
      <w:r>
        <w:rPr>
          <w:rFonts w:cs="Times New Roman" w:hint="eastAsia"/>
          <w:sz w:val="18"/>
          <w:szCs w:val="18"/>
        </w:rPr>
        <w:t>菁英电</w:t>
      </w:r>
      <w:proofErr w:type="gramEnd"/>
      <w:r>
        <w:rPr>
          <w:rFonts w:cs="Times New Roman" w:hint="eastAsia"/>
          <w:sz w:val="18"/>
          <w:szCs w:val="18"/>
        </w:rPr>
        <w:t>商、</w:t>
      </w:r>
      <w:proofErr w:type="gramStart"/>
      <w:r>
        <w:rPr>
          <w:rFonts w:cs="Times New Roman" w:hint="eastAsia"/>
          <w:sz w:val="18"/>
          <w:szCs w:val="18"/>
        </w:rPr>
        <w:t>菁</w:t>
      </w:r>
      <w:proofErr w:type="gramEnd"/>
      <w:r>
        <w:rPr>
          <w:rFonts w:cs="Times New Roman" w:hint="eastAsia"/>
          <w:sz w:val="18"/>
          <w:szCs w:val="18"/>
        </w:rPr>
        <w:t>英创业、浙江名</w:t>
      </w:r>
      <w:proofErr w:type="gramStart"/>
      <w:r>
        <w:rPr>
          <w:rFonts w:cs="Times New Roman" w:hint="eastAsia"/>
          <w:sz w:val="18"/>
          <w:szCs w:val="18"/>
        </w:rPr>
        <w:t>鲲</w:t>
      </w:r>
      <w:proofErr w:type="gramEnd"/>
      <w:r>
        <w:rPr>
          <w:rFonts w:cs="Times New Roman" w:hint="eastAsia"/>
          <w:sz w:val="18"/>
          <w:szCs w:val="18"/>
        </w:rPr>
        <w:t>等子公司按照政策适用该税收优惠政策。</w:t>
      </w:r>
    </w:p>
    <w:p w:rsidR="000D58D8" w:rsidRDefault="000F627F">
      <w:pPr>
        <w:pStyle w:val="3"/>
        <w:spacing w:line="280" w:lineRule="exact"/>
        <w:jc w:val="left"/>
        <w:rPr>
          <w:rFonts w:ascii="宋体" w:hAnsi="宋体" w:cs="宋体"/>
          <w:b/>
          <w:bCs/>
        </w:rPr>
      </w:pPr>
      <w:bookmarkStart w:id="238" w:name="_Toc989125"/>
      <w:r>
        <w:rPr>
          <w:rFonts w:ascii="宋体" w:hAnsi="宋体" w:cs="宋体"/>
          <w:b/>
          <w:bCs/>
        </w:rPr>
        <w:t>3、其他</w:t>
      </w:r>
      <w:bookmarkEnd w:id="238"/>
    </w:p>
    <w:p w:rsidR="000F627F" w:rsidRDefault="000F627F">
      <w:pPr>
        <w:pStyle w:val="a3"/>
        <w:divId w:val="1770395586"/>
        <w:rPr>
          <w:sz w:val="18"/>
          <w:szCs w:val="18"/>
        </w:rPr>
      </w:pPr>
      <w:r>
        <w:rPr>
          <w:rFonts w:hint="eastAsia"/>
          <w:sz w:val="18"/>
          <w:szCs w:val="18"/>
        </w:rPr>
        <w:t>无。</w:t>
      </w:r>
    </w:p>
    <w:p w:rsidR="000D58D8" w:rsidRDefault="000F627F">
      <w:pPr>
        <w:pStyle w:val="2"/>
        <w:spacing w:before="300" w:after="300" w:line="320" w:lineRule="exact"/>
        <w:rPr>
          <w:rFonts w:ascii="宋体" w:eastAsia="宋体" w:hAnsi="宋体" w:cs="宋体"/>
          <w:b/>
          <w:bCs/>
          <w:sz w:val="24"/>
          <w:szCs w:val="24"/>
        </w:rPr>
      </w:pPr>
      <w:bookmarkStart w:id="239" w:name="_Toc989126"/>
      <w:r>
        <w:rPr>
          <w:rFonts w:ascii="宋体" w:eastAsia="宋体" w:hAnsi="宋体" w:cs="宋体"/>
          <w:b/>
          <w:bCs/>
          <w:sz w:val="24"/>
          <w:szCs w:val="24"/>
        </w:rPr>
        <w:t>七、合并财务报表项目注释</w:t>
      </w:r>
      <w:bookmarkEnd w:id="239"/>
    </w:p>
    <w:p w:rsidR="000D58D8" w:rsidRDefault="000F627F">
      <w:pPr>
        <w:pStyle w:val="3"/>
        <w:spacing w:line="280" w:lineRule="exact"/>
        <w:jc w:val="left"/>
        <w:rPr>
          <w:rFonts w:ascii="宋体" w:hAnsi="宋体" w:cs="宋体"/>
          <w:b/>
          <w:bCs/>
        </w:rPr>
      </w:pPr>
      <w:bookmarkStart w:id="240" w:name="_Toc989127"/>
      <w:r>
        <w:rPr>
          <w:rFonts w:ascii="宋体" w:hAnsi="宋体" w:cs="宋体"/>
          <w:b/>
          <w:bCs/>
        </w:rPr>
        <w:t>1、货币资金</w:t>
      </w:r>
      <w:bookmarkEnd w:id="240"/>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库存现金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70,994.31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325,552.70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银行存款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1,837,036,749.85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1,498,354,671.03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799,515,306.11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1,220,195,237.83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2,636,623,050.27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2,718,875,461.56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其中：存放在境外的款项总额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522,615,932.32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156,163,601.57</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pStyle w:val="a3"/>
        <w:spacing w:before="0" w:beforeAutospacing="0" w:after="0" w:afterAutospacing="0" w:line="360" w:lineRule="auto"/>
        <w:ind w:firstLine="420"/>
        <w:jc w:val="both"/>
        <w:divId w:val="1361931454"/>
        <w:rPr>
          <w:sz w:val="21"/>
          <w:szCs w:val="21"/>
        </w:rPr>
      </w:pPr>
      <w:r>
        <w:rPr>
          <w:rFonts w:hint="eastAsia"/>
          <w:sz w:val="21"/>
          <w:szCs w:val="21"/>
        </w:rPr>
        <w:t>其中受限制的货币资金明细如下：</w:t>
      </w:r>
    </w:p>
    <w:tbl>
      <w:tblPr>
        <w:tblW w:w="9489" w:type="dxa"/>
        <w:jc w:val="center"/>
        <w:tblCellMar>
          <w:left w:w="0" w:type="dxa"/>
          <w:right w:w="0" w:type="dxa"/>
        </w:tblCellMar>
        <w:tblLook w:val="04A0" w:firstRow="1" w:lastRow="0" w:firstColumn="1" w:lastColumn="0" w:noHBand="0" w:noVBand="1"/>
        <w:tblCaption w:val="D:\大华\华孚\2023年度\TB|0-合并TB-华孚时尚股份有限公司-2023年度.xlsx|W附注模板|_jds29|0|desc|||0|1"/>
      </w:tblPr>
      <w:tblGrid>
        <w:gridCol w:w="3655"/>
        <w:gridCol w:w="2440"/>
        <w:gridCol w:w="3394"/>
      </w:tblGrid>
      <w:tr w:rsidR="000F627F" w:rsidRPr="00134FC9" w:rsidTr="00134FC9">
        <w:trPr>
          <w:divId w:val="1361931454"/>
          <w:trHeight w:val="340"/>
          <w:tblHeader/>
          <w:jc w:val="center"/>
        </w:trPr>
        <w:tc>
          <w:tcPr>
            <w:tcW w:w="3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项目</w:t>
            </w:r>
          </w:p>
        </w:tc>
        <w:tc>
          <w:tcPr>
            <w:tcW w:w="2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期末余额</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期初余额</w:t>
            </w:r>
          </w:p>
        </w:tc>
      </w:tr>
      <w:tr w:rsidR="000F627F" w:rsidRPr="00134FC9" w:rsidTr="00134FC9">
        <w:trPr>
          <w:divId w:val="1361931454"/>
          <w:trHeight w:val="340"/>
          <w:jc w:val="center"/>
        </w:trPr>
        <w:tc>
          <w:tcPr>
            <w:tcW w:w="3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银行承兑汇票保证金</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234,108,377.35</w:t>
            </w: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325,644,626.28</w:t>
            </w:r>
          </w:p>
        </w:tc>
      </w:tr>
      <w:tr w:rsidR="000F627F" w:rsidRPr="00134FC9" w:rsidTr="00134FC9">
        <w:trPr>
          <w:divId w:val="1361931454"/>
          <w:trHeight w:val="340"/>
          <w:jc w:val="center"/>
        </w:trPr>
        <w:tc>
          <w:tcPr>
            <w:tcW w:w="3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信用证保证金</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131,300,000.00</w:t>
            </w: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236,783,518.60</w:t>
            </w:r>
          </w:p>
        </w:tc>
      </w:tr>
      <w:tr w:rsidR="000F627F" w:rsidRPr="00134FC9" w:rsidTr="00134FC9">
        <w:trPr>
          <w:divId w:val="1361931454"/>
          <w:trHeight w:val="340"/>
          <w:jc w:val="center"/>
        </w:trPr>
        <w:tc>
          <w:tcPr>
            <w:tcW w:w="3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质押保证金</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83,667,307.73</w:t>
            </w: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306,952,592.85</w:t>
            </w:r>
          </w:p>
        </w:tc>
      </w:tr>
      <w:tr w:rsidR="000F627F" w:rsidRPr="00134FC9" w:rsidTr="00134FC9">
        <w:trPr>
          <w:divId w:val="1361931454"/>
          <w:trHeight w:val="340"/>
          <w:jc w:val="center"/>
        </w:trPr>
        <w:tc>
          <w:tcPr>
            <w:tcW w:w="3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其他使用受限</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244,070.59</w:t>
            </w: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149,171.48</w:t>
            </w:r>
          </w:p>
        </w:tc>
      </w:tr>
      <w:tr w:rsidR="000F627F" w:rsidRPr="00134FC9" w:rsidTr="00134FC9">
        <w:trPr>
          <w:divId w:val="1361931454"/>
          <w:trHeight w:val="340"/>
          <w:jc w:val="center"/>
        </w:trPr>
        <w:tc>
          <w:tcPr>
            <w:tcW w:w="3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公积金中心托管维修基金账户</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2,480,320.43</w:t>
            </w: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3,469,895.30</w:t>
            </w:r>
          </w:p>
        </w:tc>
      </w:tr>
      <w:tr w:rsidR="000F627F" w:rsidRPr="00134FC9" w:rsidTr="00134FC9">
        <w:trPr>
          <w:divId w:val="1361931454"/>
          <w:trHeight w:val="340"/>
          <w:jc w:val="center"/>
        </w:trPr>
        <w:tc>
          <w:tcPr>
            <w:tcW w:w="3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134FC9">
              <w:rPr>
                <w:rFonts w:asciiTheme="minorEastAsia" w:eastAsiaTheme="minorEastAsia" w:hAnsiTheme="minorEastAsia" w:cs="Times New Roman" w:hint="eastAsia"/>
                <w:sz w:val="18"/>
                <w:szCs w:val="18"/>
              </w:rPr>
              <w:t>合计</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451,800,076.10</w:t>
            </w: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134FC9" w:rsidRDefault="000F627F">
            <w:pPr>
              <w:pStyle w:val="a3"/>
              <w:spacing w:before="0" w:beforeAutospacing="0" w:after="0" w:afterAutospacing="0"/>
              <w:jc w:val="right"/>
              <w:rPr>
                <w:rFonts w:asciiTheme="minorEastAsia" w:eastAsiaTheme="minorEastAsia" w:hAnsiTheme="minorEastAsia" w:cs="Times New Roman"/>
                <w:sz w:val="21"/>
                <w:szCs w:val="21"/>
              </w:rPr>
            </w:pPr>
            <w:r w:rsidRPr="00134FC9">
              <w:rPr>
                <w:rFonts w:asciiTheme="minorEastAsia" w:eastAsiaTheme="minorEastAsia" w:hAnsiTheme="minorEastAsia" w:cs="Times New Roman"/>
                <w:sz w:val="18"/>
                <w:szCs w:val="18"/>
              </w:rPr>
              <w:t>872,999,804.51</w:t>
            </w:r>
          </w:p>
        </w:tc>
      </w:tr>
    </w:tbl>
    <w:p w:rsidR="000D58D8" w:rsidRDefault="000F627F">
      <w:pPr>
        <w:pStyle w:val="3"/>
        <w:spacing w:line="280" w:lineRule="exact"/>
        <w:jc w:val="left"/>
        <w:rPr>
          <w:rFonts w:ascii="宋体" w:hAnsi="宋体" w:cs="宋体"/>
          <w:b/>
          <w:bCs/>
        </w:rPr>
      </w:pPr>
      <w:bookmarkStart w:id="241" w:name="_Toc989128"/>
      <w:r>
        <w:rPr>
          <w:rFonts w:ascii="宋体" w:hAnsi="宋体" w:cs="宋体"/>
          <w:b/>
          <w:bCs/>
        </w:rPr>
        <w:t>2、交易性金融资产</w:t>
      </w:r>
      <w:bookmarkEnd w:id="241"/>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以公允价值计量且其变动计入当期损益的金融资产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231,633,768.94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608,564,083.66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50,392,601.34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121,648,424.05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108,631,285.26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理财产品</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59,592,743.55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499,932,798.40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231,633,768.94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608,564,083.66</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widowControl/>
        <w:numPr>
          <w:ilvl w:val="0"/>
          <w:numId w:val="124"/>
        </w:numPr>
        <w:spacing w:before="100" w:beforeAutospacing="1" w:after="100" w:afterAutospacing="1"/>
        <w:divId w:val="209650565"/>
        <w:rPr>
          <w:sz w:val="18"/>
          <w:szCs w:val="18"/>
        </w:rPr>
      </w:pPr>
      <w:r>
        <w:rPr>
          <w:rFonts w:hint="eastAsia"/>
          <w:sz w:val="18"/>
          <w:szCs w:val="18"/>
        </w:rPr>
        <w:t>权益工具投资系子公司深圳华孚进出口于中信证券购买的货币型基金和股票</w:t>
      </w:r>
      <w:r>
        <w:rPr>
          <w:rFonts w:hint="eastAsia"/>
          <w:sz w:val="18"/>
          <w:szCs w:val="18"/>
        </w:rPr>
        <w:t xml:space="preserve"> </w:t>
      </w:r>
      <w:r>
        <w:rPr>
          <w:rFonts w:hint="eastAsia"/>
          <w:sz w:val="18"/>
          <w:szCs w:val="18"/>
        </w:rPr>
        <w:t>。</w:t>
      </w:r>
    </w:p>
    <w:p w:rsidR="000F627F" w:rsidRDefault="000F627F">
      <w:pPr>
        <w:widowControl/>
        <w:numPr>
          <w:ilvl w:val="0"/>
          <w:numId w:val="124"/>
        </w:numPr>
        <w:spacing w:before="100" w:beforeAutospacing="1" w:after="100" w:afterAutospacing="1"/>
        <w:divId w:val="209650565"/>
        <w:rPr>
          <w:sz w:val="18"/>
          <w:szCs w:val="18"/>
        </w:rPr>
      </w:pPr>
      <w:r>
        <w:rPr>
          <w:rFonts w:hint="eastAsia"/>
          <w:sz w:val="18"/>
          <w:szCs w:val="18"/>
        </w:rPr>
        <w:t>期末衍生金融资产系子公司宁波东</w:t>
      </w:r>
      <w:proofErr w:type="gramStart"/>
      <w:r>
        <w:rPr>
          <w:rFonts w:hint="eastAsia"/>
          <w:sz w:val="18"/>
          <w:szCs w:val="18"/>
        </w:rPr>
        <w:t>浩</w:t>
      </w:r>
      <w:proofErr w:type="gramEnd"/>
      <w:r>
        <w:rPr>
          <w:rFonts w:hint="eastAsia"/>
          <w:sz w:val="18"/>
          <w:szCs w:val="18"/>
        </w:rPr>
        <w:t>、浙江维新、浙江昇孚、香港天成、新疆棉花交易市场、新疆华孚棉业、新加坡耀佳等公司购买棉花期货和期权、利率互换掉期业务。</w:t>
      </w:r>
    </w:p>
    <w:p w:rsidR="000F627F" w:rsidRDefault="000F627F">
      <w:pPr>
        <w:widowControl/>
        <w:numPr>
          <w:ilvl w:val="0"/>
          <w:numId w:val="124"/>
        </w:numPr>
        <w:spacing w:before="100" w:beforeAutospacing="1" w:after="100" w:afterAutospacing="1"/>
        <w:divId w:val="209650565"/>
        <w:rPr>
          <w:sz w:val="18"/>
          <w:szCs w:val="18"/>
        </w:rPr>
      </w:pPr>
      <w:r>
        <w:rPr>
          <w:rFonts w:hint="eastAsia"/>
          <w:sz w:val="18"/>
          <w:szCs w:val="18"/>
        </w:rPr>
        <w:t>理财产品中有</w:t>
      </w:r>
      <w:r>
        <w:rPr>
          <w:rFonts w:hint="eastAsia"/>
          <w:sz w:val="18"/>
          <w:szCs w:val="18"/>
        </w:rPr>
        <w:t>5000</w:t>
      </w:r>
      <w:r>
        <w:rPr>
          <w:rFonts w:hint="eastAsia"/>
          <w:sz w:val="18"/>
          <w:szCs w:val="18"/>
        </w:rPr>
        <w:t>万元人民币为华孚时尚向中国对外经济贸易信托有限公司认购的外贸信托</w:t>
      </w:r>
      <w:r>
        <w:rPr>
          <w:rFonts w:hint="eastAsia"/>
          <w:sz w:val="18"/>
          <w:szCs w:val="18"/>
        </w:rPr>
        <w:t>-</w:t>
      </w:r>
      <w:r>
        <w:rPr>
          <w:rFonts w:hint="eastAsia"/>
          <w:sz w:val="18"/>
          <w:szCs w:val="18"/>
        </w:rPr>
        <w:t>长阳</w:t>
      </w:r>
      <w:r>
        <w:rPr>
          <w:rFonts w:hint="eastAsia"/>
          <w:sz w:val="18"/>
          <w:szCs w:val="18"/>
        </w:rPr>
        <w:t>1</w:t>
      </w:r>
      <w:r>
        <w:rPr>
          <w:rFonts w:hint="eastAsia"/>
          <w:sz w:val="18"/>
          <w:szCs w:val="18"/>
        </w:rPr>
        <w:t>号集合资金信托计划基金份额，截止</w:t>
      </w:r>
      <w:r>
        <w:rPr>
          <w:rFonts w:hint="eastAsia"/>
          <w:sz w:val="18"/>
          <w:szCs w:val="18"/>
        </w:rPr>
        <w:t>2023</w:t>
      </w:r>
      <w:r>
        <w:rPr>
          <w:rFonts w:hint="eastAsia"/>
          <w:sz w:val="18"/>
          <w:szCs w:val="18"/>
        </w:rPr>
        <w:t>年</w:t>
      </w:r>
      <w:r>
        <w:rPr>
          <w:rFonts w:hint="eastAsia"/>
          <w:sz w:val="18"/>
          <w:szCs w:val="18"/>
        </w:rPr>
        <w:t>12</w:t>
      </w:r>
      <w:r>
        <w:rPr>
          <w:rFonts w:hint="eastAsia"/>
          <w:sz w:val="18"/>
          <w:szCs w:val="18"/>
        </w:rPr>
        <w:t>月</w:t>
      </w:r>
      <w:r>
        <w:rPr>
          <w:rFonts w:hint="eastAsia"/>
          <w:sz w:val="18"/>
          <w:szCs w:val="18"/>
        </w:rPr>
        <w:t>31</w:t>
      </w:r>
      <w:r>
        <w:rPr>
          <w:rFonts w:hint="eastAsia"/>
          <w:sz w:val="18"/>
          <w:szCs w:val="18"/>
        </w:rPr>
        <w:t>日持有份额的公允价值为</w:t>
      </w:r>
      <w:r>
        <w:rPr>
          <w:rFonts w:hint="eastAsia"/>
          <w:sz w:val="18"/>
          <w:szCs w:val="18"/>
        </w:rPr>
        <w:t>42,045,000.00</w:t>
      </w:r>
      <w:r>
        <w:rPr>
          <w:rFonts w:hint="eastAsia"/>
          <w:sz w:val="18"/>
          <w:szCs w:val="18"/>
        </w:rPr>
        <w:t>元。</w:t>
      </w:r>
    </w:p>
    <w:p w:rsidR="000D58D8" w:rsidRDefault="000F627F">
      <w:pPr>
        <w:pStyle w:val="3"/>
        <w:spacing w:line="280" w:lineRule="exact"/>
        <w:jc w:val="left"/>
        <w:rPr>
          <w:rFonts w:ascii="宋体" w:hAnsi="宋体" w:cs="宋体"/>
          <w:b/>
          <w:bCs/>
        </w:rPr>
      </w:pPr>
      <w:bookmarkStart w:id="242" w:name="_Toc989129"/>
      <w:r>
        <w:rPr>
          <w:rFonts w:ascii="宋体" w:hAnsi="宋体" w:cs="宋体"/>
          <w:b/>
          <w:bCs/>
        </w:rPr>
        <w:t>3、衍生金融资产</w:t>
      </w:r>
      <w:bookmarkEnd w:id="24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134FC9">
        <w:rPr>
          <w:rFonts w:ascii="宋体" w:eastAsia="宋体" w:hAnsi="宋体" w:cs="宋体"/>
          <w:sz w:val="18"/>
          <w:szCs w:val="18"/>
        </w:rPr>
        <w:t>无</w:t>
      </w:r>
    </w:p>
    <w:p w:rsidR="000F627F" w:rsidRDefault="000F627F">
      <w:pPr>
        <w:divId w:val="2105875127"/>
        <w:rPr>
          <w:sz w:val="18"/>
          <w:szCs w:val="18"/>
        </w:rPr>
      </w:pPr>
    </w:p>
    <w:p w:rsidR="000D58D8" w:rsidRDefault="000F627F">
      <w:pPr>
        <w:pStyle w:val="3"/>
        <w:spacing w:line="280" w:lineRule="exact"/>
        <w:jc w:val="left"/>
        <w:rPr>
          <w:rFonts w:ascii="宋体" w:hAnsi="宋体" w:cs="宋体"/>
          <w:b/>
          <w:bCs/>
        </w:rPr>
      </w:pPr>
      <w:bookmarkStart w:id="243" w:name="_Toc989130"/>
      <w:r>
        <w:rPr>
          <w:rFonts w:ascii="宋体" w:hAnsi="宋体" w:cs="宋体"/>
          <w:b/>
          <w:bCs/>
        </w:rPr>
        <w:lastRenderedPageBreak/>
        <w:t>4、应收票据</w:t>
      </w:r>
      <w:bookmarkEnd w:id="243"/>
    </w:p>
    <w:p w:rsidR="000D58D8" w:rsidRDefault="000F627F">
      <w:pPr>
        <w:keepNext/>
        <w:keepLines/>
        <w:spacing w:before="300" w:after="300" w:line="280" w:lineRule="exact"/>
        <w:outlineLvl w:val="3"/>
        <w:rPr>
          <w:rFonts w:ascii="宋体" w:eastAsia="宋体" w:hAnsi="宋体" w:cs="宋体"/>
          <w:b/>
          <w:bCs/>
          <w:szCs w:val="21"/>
        </w:rPr>
      </w:pPr>
      <w:bookmarkStart w:id="244" w:name="_Toc989131"/>
      <w:r>
        <w:rPr>
          <w:rFonts w:ascii="宋体" w:eastAsia="宋体" w:hAnsi="宋体" w:cs="宋体"/>
          <w:b/>
          <w:bCs/>
          <w:szCs w:val="21"/>
        </w:rPr>
        <w:t>（1） 应收票据分类列示</w:t>
      </w:r>
      <w:bookmarkEnd w:id="244"/>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55,925,038.92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79,501,976.58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商业承兑票据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1,976,793.31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7,351,148.42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57,901,832.23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86,853,125.00</w:t>
            </w:r>
          </w:p>
        </w:tc>
      </w:tr>
    </w:tbl>
    <w:p w:rsidR="000D58D8" w:rsidRDefault="000F627F">
      <w:pPr>
        <w:keepNext/>
        <w:keepLines/>
        <w:spacing w:before="300" w:after="300" w:line="280" w:lineRule="exact"/>
        <w:outlineLvl w:val="3"/>
        <w:rPr>
          <w:rFonts w:ascii="宋体" w:eastAsia="宋体" w:hAnsi="宋体" w:cs="宋体"/>
          <w:b/>
          <w:bCs/>
          <w:szCs w:val="21"/>
        </w:rPr>
      </w:pPr>
      <w:bookmarkStart w:id="245" w:name="_Toc989132"/>
      <w:r>
        <w:rPr>
          <w:rFonts w:ascii="宋体" w:eastAsia="宋体" w:hAnsi="宋体" w:cs="宋体"/>
          <w:b/>
          <w:bCs/>
          <w:szCs w:val="21"/>
        </w:rPr>
        <w:t>（2） 按坏账计提方法分类披露</w:t>
      </w:r>
      <w:bookmarkEnd w:id="245"/>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5"/>
        <w:gridCol w:w="876"/>
        <w:gridCol w:w="877"/>
        <w:gridCol w:w="876"/>
        <w:gridCol w:w="877"/>
        <w:gridCol w:w="876"/>
        <w:gridCol w:w="876"/>
        <w:gridCol w:w="877"/>
        <w:gridCol w:w="876"/>
        <w:gridCol w:w="877"/>
        <w:gridCol w:w="876"/>
      </w:tblGrid>
      <w:tr w:rsidR="000D58D8">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0D58D8">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按单项计提坏账准备的应收票据</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按组合计提坏账准备的应收票据</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58,005,873.98</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104,041.75</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57,901,832.23</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87,240,027.55</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0.44%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86,853,125.00</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银行承兑汇票组合</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55,925,038.92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96.41%</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55,925,038.92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79,501,976.58</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91.13%</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79,501,976.58</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商业承兑汇票组合</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2,080,835.06</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3.59%</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104,041.75</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1,976,793.31</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7,738,050.97</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8.87%</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7,351,148.42</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58,005,873.98</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104,041.75</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57,901,832.23</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87,240,027.55</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0.44%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86,853,125.00</w:t>
            </w:r>
          </w:p>
        </w:tc>
      </w:tr>
    </w:tbl>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按组合计提坏账准备：</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商业承兑汇票组合</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2,080,835.06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104,041.75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2,080,835.06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104,041.75</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F627F" w:rsidRPr="00134FC9" w:rsidRDefault="000F627F" w:rsidP="00134FC9">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如是按照预期信用损失一般模型计提应收票据坏账准备：</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Cs w:val="21"/>
        </w:rPr>
      </w:pPr>
      <w:bookmarkStart w:id="246" w:name="_Toc989133"/>
      <w:r>
        <w:rPr>
          <w:rFonts w:ascii="宋体" w:eastAsia="宋体" w:hAnsi="宋体" w:cs="宋体"/>
          <w:b/>
          <w:bCs/>
          <w:szCs w:val="21"/>
        </w:rPr>
        <w:lastRenderedPageBreak/>
        <w:t>（3） 本期计提、收回或转回的坏账准备情况</w:t>
      </w:r>
      <w:bookmarkEnd w:id="246"/>
    </w:p>
    <w:p w:rsidR="000D58D8" w:rsidRDefault="000F627F">
      <w:pPr>
        <w:spacing w:before="100" w:line="240" w:lineRule="exact"/>
        <w:rPr>
          <w:rFonts w:ascii="宋体" w:eastAsia="宋体" w:hAnsi="宋体" w:cs="宋体"/>
          <w:sz w:val="18"/>
          <w:szCs w:val="18"/>
        </w:rPr>
      </w:pPr>
      <w:r>
        <w:rPr>
          <w:rFonts w:ascii="宋体" w:eastAsia="宋体" w:hAnsi="宋体" w:cs="宋体"/>
          <w:sz w:val="18"/>
          <w:szCs w:val="18"/>
        </w:rPr>
        <w:t>本期计提坏账准备情况：</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235"/>
        <w:gridCol w:w="1275"/>
        <w:gridCol w:w="1418"/>
        <w:gridCol w:w="1417"/>
        <w:gridCol w:w="1134"/>
        <w:gridCol w:w="993"/>
        <w:gridCol w:w="1167"/>
      </w:tblGrid>
      <w:tr w:rsidR="000D58D8" w:rsidTr="00134FC9">
        <w:trPr>
          <w:trHeight w:val="240"/>
        </w:trPr>
        <w:tc>
          <w:tcPr>
            <w:tcW w:w="223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27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496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16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rsidTr="00134FC9">
        <w:trPr>
          <w:trHeight w:val="240"/>
        </w:trPr>
        <w:tc>
          <w:tcPr>
            <w:tcW w:w="223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27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16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rsidTr="00134FC9">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按单项计提坏账准备</w:t>
            </w:r>
          </w:p>
        </w:tc>
        <w:tc>
          <w:tcPr>
            <w:tcW w:w="127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6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134FC9">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按组合计提坏账准备</w:t>
            </w:r>
          </w:p>
        </w:tc>
        <w:tc>
          <w:tcPr>
            <w:tcW w:w="127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6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134FC9">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其中：银行承兑汇票组合</w:t>
            </w:r>
          </w:p>
        </w:tc>
        <w:tc>
          <w:tcPr>
            <w:tcW w:w="127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6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134FC9">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商业承兑汇票组合</w:t>
            </w:r>
          </w:p>
        </w:tc>
        <w:tc>
          <w:tcPr>
            <w:tcW w:w="127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282,860.80</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6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104,041.75</w:t>
            </w:r>
          </w:p>
        </w:tc>
      </w:tr>
      <w:tr w:rsidR="000D58D8" w:rsidTr="00134FC9">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27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282,860.80</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6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104,041.75</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其中本期坏账准备收回或转回金额重要的：</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Cs w:val="21"/>
        </w:rPr>
      </w:pPr>
      <w:bookmarkStart w:id="247" w:name="_Toc989134"/>
      <w:r>
        <w:rPr>
          <w:rFonts w:ascii="宋体" w:eastAsia="宋体" w:hAnsi="宋体" w:cs="宋体"/>
          <w:b/>
          <w:bCs/>
          <w:szCs w:val="21"/>
        </w:rPr>
        <w:t>（4） 期末公司已质押的应收票据</w:t>
      </w:r>
      <w:bookmarkEnd w:id="24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期末已质</w:t>
            </w:r>
            <w:proofErr w:type="gramEnd"/>
            <w:r>
              <w:rPr>
                <w:rFonts w:ascii="宋体" w:eastAsia="宋体" w:hAnsi="宋体" w:cs="宋体"/>
                <w:sz w:val="18"/>
                <w:szCs w:val="18"/>
              </w:rPr>
              <w:t>押金额</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9,083,903.44</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9,083,903.44</w:t>
            </w:r>
          </w:p>
        </w:tc>
      </w:tr>
    </w:tbl>
    <w:p w:rsidR="000D58D8" w:rsidRDefault="000F627F">
      <w:pPr>
        <w:keepNext/>
        <w:keepLines/>
        <w:spacing w:before="300" w:after="300" w:line="280" w:lineRule="exact"/>
        <w:outlineLvl w:val="3"/>
        <w:rPr>
          <w:rFonts w:ascii="宋体" w:eastAsia="宋体" w:hAnsi="宋体" w:cs="宋体"/>
          <w:b/>
          <w:bCs/>
          <w:szCs w:val="21"/>
        </w:rPr>
      </w:pPr>
      <w:bookmarkStart w:id="248" w:name="_Toc989135"/>
      <w:r>
        <w:rPr>
          <w:rFonts w:ascii="宋体" w:eastAsia="宋体" w:hAnsi="宋体" w:cs="宋体"/>
          <w:b/>
          <w:bCs/>
          <w:szCs w:val="21"/>
        </w:rPr>
        <w:t>（5） 期末公司已背书或贴现且在资产负债表日尚未到期的应收票据</w:t>
      </w:r>
      <w:bookmarkEnd w:id="248"/>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期末终止确认金额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期末未终止确认金额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307CB7">
            <w:pPr>
              <w:spacing w:line="240" w:lineRule="exact"/>
              <w:jc w:val="right"/>
              <w:rPr>
                <w:rFonts w:ascii="宋体" w:eastAsia="宋体" w:hAnsi="宋体" w:cs="宋体"/>
                <w:sz w:val="18"/>
                <w:szCs w:val="18"/>
              </w:rPr>
            </w:pPr>
            <w:r w:rsidRPr="00307CB7">
              <w:rPr>
                <w:rFonts w:ascii="宋体" w:eastAsia="宋体" w:hAnsi="宋体" w:cs="宋体"/>
                <w:sz w:val="18"/>
                <w:szCs w:val="18"/>
              </w:rPr>
              <w:t>2,975,122,959.78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商业承兑票据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430,000,000.00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307CB7">
            <w:pPr>
              <w:spacing w:line="240" w:lineRule="exact"/>
              <w:jc w:val="right"/>
              <w:rPr>
                <w:rFonts w:ascii="宋体" w:eastAsia="宋体" w:hAnsi="宋体" w:cs="宋体"/>
                <w:sz w:val="18"/>
                <w:szCs w:val="18"/>
              </w:rPr>
            </w:pPr>
            <w:r w:rsidRPr="00307CB7">
              <w:rPr>
                <w:rFonts w:ascii="宋体" w:eastAsia="宋体" w:hAnsi="宋体" w:cs="宋体"/>
                <w:sz w:val="18"/>
                <w:szCs w:val="18"/>
              </w:rPr>
              <w:t>3,405,122,959.78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bl>
    <w:p w:rsidR="000D58D8" w:rsidRDefault="000F627F">
      <w:pPr>
        <w:keepNext/>
        <w:keepLines/>
        <w:spacing w:before="300" w:after="300" w:line="280" w:lineRule="exact"/>
        <w:outlineLvl w:val="3"/>
        <w:rPr>
          <w:rFonts w:ascii="宋体" w:eastAsia="宋体" w:hAnsi="宋体" w:cs="宋体"/>
          <w:b/>
          <w:bCs/>
          <w:szCs w:val="21"/>
        </w:rPr>
      </w:pPr>
      <w:bookmarkStart w:id="249" w:name="_Toc989136"/>
      <w:r>
        <w:rPr>
          <w:rFonts w:ascii="宋体" w:eastAsia="宋体" w:hAnsi="宋体" w:cs="宋体"/>
          <w:b/>
          <w:bCs/>
          <w:szCs w:val="21"/>
        </w:rPr>
        <w:t>（6） 本期实际核销的应收票据情况</w:t>
      </w:r>
      <w:bookmarkEnd w:id="24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其中重要的应收票据核销情况：</w:t>
      </w:r>
      <w:r w:rsidR="00134FC9">
        <w:rPr>
          <w:rFonts w:ascii="宋体" w:eastAsia="宋体" w:hAnsi="宋体" w:cs="宋体"/>
          <w:sz w:val="18"/>
          <w:szCs w:val="18"/>
        </w:rPr>
        <w:t>无</w:t>
      </w:r>
    </w:p>
    <w:p w:rsidR="000F627F" w:rsidRPr="00134FC9" w:rsidRDefault="000F627F" w:rsidP="00134FC9">
      <w:pPr>
        <w:spacing w:before="100" w:after="100" w:line="240" w:lineRule="exact"/>
        <w:rPr>
          <w:rFonts w:ascii="宋体" w:eastAsia="宋体" w:hAnsi="宋体" w:cs="宋体"/>
          <w:sz w:val="18"/>
          <w:szCs w:val="18"/>
        </w:rPr>
      </w:pPr>
      <w:r>
        <w:rPr>
          <w:rFonts w:ascii="宋体" w:eastAsia="宋体" w:hAnsi="宋体" w:cs="宋体"/>
          <w:sz w:val="18"/>
          <w:szCs w:val="18"/>
        </w:rPr>
        <w:t>应收票据核销说明：</w:t>
      </w:r>
      <w:r>
        <w:rPr>
          <w:rFonts w:hint="eastAsia"/>
          <w:sz w:val="18"/>
          <w:szCs w:val="18"/>
        </w:rPr>
        <w:t>无。</w:t>
      </w:r>
    </w:p>
    <w:p w:rsidR="000D58D8" w:rsidRDefault="000F627F">
      <w:pPr>
        <w:pStyle w:val="3"/>
        <w:spacing w:line="280" w:lineRule="exact"/>
        <w:jc w:val="left"/>
        <w:rPr>
          <w:rFonts w:ascii="宋体" w:hAnsi="宋体" w:cs="宋体"/>
          <w:b/>
          <w:bCs/>
        </w:rPr>
      </w:pPr>
      <w:bookmarkStart w:id="250" w:name="_Toc989137"/>
      <w:r>
        <w:rPr>
          <w:rFonts w:ascii="宋体" w:hAnsi="宋体" w:cs="宋体"/>
          <w:b/>
          <w:bCs/>
        </w:rPr>
        <w:t>5、应收账款</w:t>
      </w:r>
      <w:bookmarkEnd w:id="250"/>
    </w:p>
    <w:p w:rsidR="000D58D8" w:rsidRDefault="000F627F">
      <w:pPr>
        <w:keepNext/>
        <w:keepLines/>
        <w:spacing w:before="300" w:after="300" w:line="280" w:lineRule="exact"/>
        <w:outlineLvl w:val="3"/>
        <w:rPr>
          <w:rFonts w:ascii="宋体" w:eastAsia="宋体" w:hAnsi="宋体" w:cs="宋体"/>
          <w:b/>
          <w:bCs/>
          <w:szCs w:val="21"/>
        </w:rPr>
      </w:pPr>
      <w:bookmarkStart w:id="251" w:name="_Toc989138"/>
      <w:r>
        <w:rPr>
          <w:rFonts w:ascii="宋体" w:eastAsia="宋体" w:hAnsi="宋体" w:cs="宋体"/>
          <w:b/>
          <w:bCs/>
          <w:szCs w:val="21"/>
        </w:rPr>
        <w:t xml:space="preserve">（1） </w:t>
      </w:r>
      <w:proofErr w:type="gramStart"/>
      <w:r>
        <w:rPr>
          <w:rFonts w:ascii="宋体" w:eastAsia="宋体" w:hAnsi="宋体" w:cs="宋体"/>
          <w:b/>
          <w:bCs/>
          <w:szCs w:val="21"/>
        </w:rPr>
        <w:t>按账龄</w:t>
      </w:r>
      <w:proofErr w:type="gramEnd"/>
      <w:r>
        <w:rPr>
          <w:rFonts w:ascii="宋体" w:eastAsia="宋体" w:hAnsi="宋体" w:cs="宋体"/>
          <w:b/>
          <w:bCs/>
          <w:szCs w:val="21"/>
        </w:rPr>
        <w:t>披露</w:t>
      </w:r>
      <w:bookmarkEnd w:id="251"/>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rsidTr="00134FC9">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0D58D8" w:rsidTr="00134FC9">
        <w:trPr>
          <w:cantSplit/>
          <w:trHeight w:val="32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rsidP="00134FC9">
            <w:pPr>
              <w:spacing w:before="40" w:after="40" w:line="240" w:lineRule="exact"/>
              <w:jc w:val="both"/>
              <w:rPr>
                <w:rFonts w:ascii="宋体" w:eastAsia="宋体" w:hAnsi="宋体" w:cs="宋体"/>
                <w:sz w:val="18"/>
                <w:szCs w:val="18"/>
              </w:rPr>
            </w:pPr>
            <w:r>
              <w:rPr>
                <w:rFonts w:ascii="宋体" w:eastAsia="宋体" w:hAnsi="宋体" w:cs="宋体"/>
                <w:sz w:val="18"/>
                <w:szCs w:val="18"/>
              </w:rPr>
              <w:t>1年以内（含1年）</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1,057,935,083.21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957,956,338.64</w:t>
            </w:r>
          </w:p>
        </w:tc>
      </w:tr>
      <w:tr w:rsidR="000D58D8" w:rsidTr="00134FC9">
        <w:trPr>
          <w:cantSplit/>
          <w:trHeight w:val="32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rsidP="00134FC9">
            <w:pPr>
              <w:spacing w:before="40" w:after="40" w:line="240" w:lineRule="exact"/>
              <w:jc w:val="both"/>
              <w:rPr>
                <w:rFonts w:ascii="宋体" w:eastAsia="宋体" w:hAnsi="宋体" w:cs="宋体"/>
                <w:sz w:val="18"/>
                <w:szCs w:val="18"/>
              </w:rPr>
            </w:pPr>
            <w:r>
              <w:rPr>
                <w:rFonts w:ascii="宋体" w:eastAsia="宋体" w:hAnsi="宋体" w:cs="宋体"/>
                <w:sz w:val="18"/>
                <w:szCs w:val="18"/>
              </w:rPr>
              <w:t>1至2年</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27,924,185.34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118,619,305.73</w:t>
            </w:r>
          </w:p>
        </w:tc>
      </w:tr>
      <w:tr w:rsidR="000D58D8" w:rsidTr="00134FC9">
        <w:trPr>
          <w:cantSplit/>
          <w:trHeight w:val="32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rsidP="00134FC9">
            <w:pPr>
              <w:spacing w:before="40" w:after="40" w:line="240" w:lineRule="exact"/>
              <w:jc w:val="both"/>
              <w:rPr>
                <w:rFonts w:ascii="宋体" w:eastAsia="宋体" w:hAnsi="宋体" w:cs="宋体"/>
                <w:sz w:val="18"/>
                <w:szCs w:val="18"/>
              </w:rPr>
            </w:pPr>
            <w:r>
              <w:rPr>
                <w:rFonts w:ascii="宋体" w:eastAsia="宋体" w:hAnsi="宋体" w:cs="宋体"/>
                <w:sz w:val="18"/>
                <w:szCs w:val="18"/>
              </w:rPr>
              <w:t>2至3年</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6,402,719.93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30,594,881.47</w:t>
            </w:r>
          </w:p>
        </w:tc>
      </w:tr>
      <w:tr w:rsidR="000D58D8" w:rsidTr="00134FC9">
        <w:trPr>
          <w:cantSplit/>
          <w:trHeight w:val="32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rsidP="00134FC9">
            <w:pPr>
              <w:spacing w:before="40" w:after="40" w:line="240" w:lineRule="exact"/>
              <w:jc w:val="both"/>
              <w:rPr>
                <w:rFonts w:ascii="宋体" w:eastAsia="宋体" w:hAnsi="宋体" w:cs="宋体"/>
                <w:sz w:val="18"/>
                <w:szCs w:val="18"/>
              </w:rPr>
            </w:pPr>
            <w:r>
              <w:rPr>
                <w:rFonts w:ascii="宋体" w:eastAsia="宋体" w:hAnsi="宋体" w:cs="宋体"/>
                <w:sz w:val="18"/>
                <w:szCs w:val="18"/>
              </w:rPr>
              <w:t>3年以上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6,610,979.20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15,220,187.15</w:t>
            </w:r>
          </w:p>
        </w:tc>
      </w:tr>
      <w:tr w:rsidR="000D58D8" w:rsidTr="00134FC9">
        <w:trPr>
          <w:cantSplit/>
          <w:trHeight w:val="32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rsidP="00134FC9">
            <w:pPr>
              <w:spacing w:before="40" w:after="40" w:line="240" w:lineRule="exact"/>
              <w:jc w:val="both"/>
              <w:rPr>
                <w:rFonts w:ascii="宋体" w:eastAsia="宋体" w:hAnsi="宋体" w:cs="宋体"/>
                <w:sz w:val="18"/>
                <w:szCs w:val="18"/>
              </w:rPr>
            </w:pPr>
            <w:r>
              <w:rPr>
                <w:rFonts w:ascii="宋体" w:eastAsia="宋体" w:hAnsi="宋体" w:cs="宋体"/>
                <w:sz w:val="18"/>
                <w:szCs w:val="18"/>
              </w:rPr>
              <w:t>3至4年</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1,464,344.54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13,238,638.64</w:t>
            </w:r>
          </w:p>
        </w:tc>
      </w:tr>
      <w:tr w:rsidR="000D58D8" w:rsidTr="00134FC9">
        <w:trPr>
          <w:cantSplit/>
          <w:trHeight w:val="32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rsidP="00134FC9">
            <w:pPr>
              <w:spacing w:before="40" w:after="40" w:line="240" w:lineRule="exact"/>
              <w:jc w:val="both"/>
              <w:rPr>
                <w:rFonts w:ascii="宋体" w:eastAsia="宋体" w:hAnsi="宋体" w:cs="宋体"/>
                <w:sz w:val="18"/>
                <w:szCs w:val="18"/>
              </w:rPr>
            </w:pPr>
            <w:r>
              <w:rPr>
                <w:rFonts w:ascii="宋体" w:eastAsia="宋体" w:hAnsi="宋体" w:cs="宋体"/>
                <w:sz w:val="18"/>
                <w:szCs w:val="18"/>
              </w:rPr>
              <w:lastRenderedPageBreak/>
              <w:t>4至5年</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3,207,923.42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1,626,828.78</w:t>
            </w:r>
          </w:p>
        </w:tc>
      </w:tr>
      <w:tr w:rsidR="000D58D8" w:rsidTr="00134FC9">
        <w:trPr>
          <w:cantSplit/>
          <w:trHeight w:val="32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rsidP="00134FC9">
            <w:pPr>
              <w:spacing w:before="40" w:after="40" w:line="240" w:lineRule="exact"/>
              <w:ind w:firstLineChars="100" w:firstLine="180"/>
              <w:jc w:val="both"/>
              <w:rPr>
                <w:rFonts w:ascii="宋体" w:eastAsia="宋体" w:hAnsi="宋体" w:cs="宋体"/>
                <w:sz w:val="18"/>
                <w:szCs w:val="18"/>
              </w:rPr>
            </w:pPr>
            <w:r>
              <w:rPr>
                <w:rFonts w:ascii="宋体" w:eastAsia="宋体" w:hAnsi="宋体" w:cs="宋体"/>
                <w:sz w:val="18"/>
                <w:szCs w:val="18"/>
              </w:rPr>
              <w:t>5年以上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1,938,711.24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354,719.73</w:t>
            </w:r>
          </w:p>
        </w:tc>
      </w:tr>
      <w:tr w:rsidR="000D58D8" w:rsidTr="00134FC9">
        <w:trPr>
          <w:cantSplit/>
          <w:trHeight w:val="32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rsidP="00134FC9">
            <w:pPr>
              <w:spacing w:before="40" w:after="40" w:line="240" w:lineRule="exact"/>
              <w:jc w:val="both"/>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1,098,872,967.68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1,122,390,712.99</w:t>
            </w:r>
          </w:p>
        </w:tc>
      </w:tr>
    </w:tbl>
    <w:p w:rsidR="000D58D8" w:rsidRDefault="000F627F">
      <w:pPr>
        <w:keepNext/>
        <w:keepLines/>
        <w:spacing w:before="300" w:after="300" w:line="280" w:lineRule="exact"/>
        <w:outlineLvl w:val="3"/>
        <w:rPr>
          <w:rFonts w:ascii="宋体" w:eastAsia="宋体" w:hAnsi="宋体" w:cs="宋体"/>
          <w:b/>
          <w:bCs/>
          <w:szCs w:val="21"/>
        </w:rPr>
      </w:pPr>
      <w:bookmarkStart w:id="252" w:name="_Toc989139"/>
      <w:r>
        <w:rPr>
          <w:rFonts w:ascii="宋体" w:eastAsia="宋体" w:hAnsi="宋体" w:cs="宋体"/>
          <w:b/>
          <w:bCs/>
          <w:szCs w:val="21"/>
        </w:rPr>
        <w:t>（2） 按坏账计提方法分类披露</w:t>
      </w:r>
      <w:bookmarkEnd w:id="252"/>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5"/>
        <w:gridCol w:w="876"/>
        <w:gridCol w:w="877"/>
        <w:gridCol w:w="876"/>
        <w:gridCol w:w="877"/>
        <w:gridCol w:w="876"/>
        <w:gridCol w:w="876"/>
        <w:gridCol w:w="877"/>
        <w:gridCol w:w="876"/>
        <w:gridCol w:w="877"/>
        <w:gridCol w:w="876"/>
      </w:tblGrid>
      <w:tr w:rsidR="000D58D8">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0D58D8">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按单项计提坏账准备的应收账款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35,570,858.86</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35,570,858.86</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159,064,591.83</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14.17%</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143,366,750.20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90.13%</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15,697,841.63</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1,063,302,108.82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96.76%</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59,243,643.18</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5.57%</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1,004,058,465.64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963,326,121.16</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85.83%</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51,340,223.86</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5.33%</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911,985,897.30</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预期信用风险组合</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1,063,302,108.82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59,243,643.18</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5.57%</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1,004,058,465.64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944,525,346.54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84.15%</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51,340,223.86</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893,185,122.68</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性质组合</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18,800,774.62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1.68%</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18,800,774.62</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1,098,872,967.68</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94,814,502.04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111.14%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1,004,058,465.64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1,122,390,712.99</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185.83%</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194,706,974.06</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100.90%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927,683,738.93</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按单项计提坏账准备：</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0D58D8">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计提理由</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张家港</w:t>
            </w:r>
            <w:proofErr w:type="gramStart"/>
            <w:r>
              <w:rPr>
                <w:rFonts w:ascii="宋体" w:eastAsia="宋体" w:hAnsi="宋体" w:cs="宋体"/>
                <w:sz w:val="18"/>
                <w:szCs w:val="18"/>
              </w:rPr>
              <w:t>保税区汉木国际贸易</w:t>
            </w:r>
            <w:proofErr w:type="gramEnd"/>
            <w:r>
              <w:rPr>
                <w:rFonts w:ascii="宋体" w:eastAsia="宋体" w:hAnsi="宋体" w:cs="宋体"/>
                <w:sz w:val="18"/>
                <w:szCs w:val="18"/>
              </w:rPr>
              <w:t>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18,300,000.00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18,300,000.00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18,300,000.00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18,300,000.00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苏州柏孚纺织科技有限公司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8,100,000.00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8,100,000.00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8,100,000.00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8,100,000.00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吉安县新军安新型材料有限公司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6,600,000.00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6,600,000.00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6,600,000.00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6,600,000.00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东莞德永佳纺织制衣有限公司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2,570,858.86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2,570,858.86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2,570,858.86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2,570,858.86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35,570,858.86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35,570,858.86</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按组合计提坏账准备：预期信用风险组合</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lastRenderedPageBreak/>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1年以内</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1,024,645,807.73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51,232,290.41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1－2年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27,924,185.44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2,792,418.54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2－3年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5,691,995.31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1,138,399.07</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3－4年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1,464,344.54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732,172.27</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4－5年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1,137,064.56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909,651.65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5年以上</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2,438,711.24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2,438,711.24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1,063,302,108.82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59,243,643.18</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F627F" w:rsidRPr="00134FC9" w:rsidRDefault="000F627F" w:rsidP="00134FC9">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Cs w:val="21"/>
        </w:rPr>
      </w:pPr>
      <w:bookmarkStart w:id="253" w:name="_Toc989140"/>
      <w:r>
        <w:rPr>
          <w:rFonts w:ascii="宋体" w:eastAsia="宋体" w:hAnsi="宋体" w:cs="宋体"/>
          <w:b/>
          <w:bCs/>
          <w:szCs w:val="21"/>
        </w:rPr>
        <w:t>（3） 本期计提、收回或转回的坏账准备情况</w:t>
      </w:r>
      <w:bookmarkEnd w:id="25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0D58D8">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按单项计提坏账准备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143,366,750.20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2,583,115.46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92,473,508.22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-12,739,267.66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35,570,858.86</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按组合计提坏账准备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其中：预期信用风险组合</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51,340,223.86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13,320,542.84</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-5,417,123.52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59,243,643.18</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194,706,974.06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13,320,542.84</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2,583,115.46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92,473,508.22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-18,156,391.18</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94,814,502.04</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其中本期坏账准备收回或转回金额重要的：</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转回原因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收回方式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确定原坏账准备计提比例的依据及其合理性</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（OW）CENTRIC SOCKS</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LLC</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2,583,115.46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客户经营状况改善</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电汇</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预计无法全部收回</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2,583,115.46</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D58D8" w:rsidRDefault="000F627F">
      <w:pPr>
        <w:keepNext/>
        <w:keepLines/>
        <w:spacing w:before="300" w:after="300" w:line="280" w:lineRule="exact"/>
        <w:outlineLvl w:val="3"/>
        <w:rPr>
          <w:rFonts w:ascii="宋体" w:eastAsia="宋体" w:hAnsi="宋体" w:cs="宋体"/>
          <w:b/>
          <w:bCs/>
          <w:szCs w:val="21"/>
        </w:rPr>
      </w:pPr>
      <w:bookmarkStart w:id="254" w:name="_Toc989141"/>
      <w:r>
        <w:rPr>
          <w:rFonts w:ascii="宋体" w:eastAsia="宋体" w:hAnsi="宋体" w:cs="宋体"/>
          <w:b/>
          <w:bCs/>
          <w:szCs w:val="21"/>
        </w:rPr>
        <w:t>（4） 本期实际核销的应收账款情况</w:t>
      </w:r>
      <w:bookmarkEnd w:id="254"/>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实际核销的应收账款</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92,473,508.22</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其中重要的应收账款核销情况：</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核销原因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履行的核销程序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款项是否由关联</w:t>
            </w:r>
            <w:r>
              <w:rPr>
                <w:rFonts w:ascii="宋体" w:eastAsia="宋体" w:hAnsi="宋体" w:cs="宋体"/>
                <w:sz w:val="18"/>
                <w:szCs w:val="18"/>
              </w:rPr>
              <w:lastRenderedPageBreak/>
              <w:t>交易产生</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江门市新会区冠华针织厂有限公司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货款</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56,338,505.94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破产</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公司财经中心核实批准清理</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冠华针织厂有限公司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货款</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26,273,975.00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破产</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公司财经中心核实批准清理</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陈志董</w:t>
            </w:r>
            <w:proofErr w:type="gramEnd"/>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货款</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6,138,279.86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无法收回</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公司财经中心核实批准清理</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陈国强</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货款</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2,095,637.69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无法收回</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公司财经中心核实批准清理</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90,846,398.49</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F627F" w:rsidRPr="00134FC9" w:rsidRDefault="000F627F" w:rsidP="00134FC9">
      <w:pPr>
        <w:spacing w:before="100" w:after="100" w:line="240" w:lineRule="exact"/>
        <w:rPr>
          <w:rFonts w:ascii="宋体" w:eastAsia="宋体" w:hAnsi="宋体" w:cs="宋体"/>
          <w:sz w:val="18"/>
          <w:szCs w:val="18"/>
        </w:rPr>
      </w:pPr>
      <w:r>
        <w:rPr>
          <w:rFonts w:ascii="宋体" w:eastAsia="宋体" w:hAnsi="宋体" w:cs="宋体"/>
          <w:sz w:val="18"/>
          <w:szCs w:val="18"/>
        </w:rPr>
        <w:t>应收账款核销说明：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255" w:name="_Toc989142"/>
      <w:r>
        <w:rPr>
          <w:rFonts w:ascii="宋体" w:eastAsia="宋体" w:hAnsi="宋体" w:cs="宋体"/>
          <w:b/>
          <w:bCs/>
          <w:szCs w:val="21"/>
        </w:rPr>
        <w:t>（5） 按欠款方归集的期末余额前五名的应收账款和合同资产情况</w:t>
      </w:r>
      <w:bookmarkEnd w:id="255"/>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合同资产期末余额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应收账款和合同资产期末余额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占应收账款和合同资产期末余额合计数的比例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应收账款坏账准备和合同资产减值准备期末余额</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第一名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235,339,799.68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235,339,799.68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21.42%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11,766,989.98</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第二名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225,816,768.61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225,816,768.61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20.55%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11,290,838.43</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第三名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154,066,257.01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154,066,257.01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14.02%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7,703,312.85</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第四名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58,070,901.98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58,070,901.98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2,903,545.10</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第五名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19,602,800.54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19,602,800.54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980,140.03</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692,896,527.82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692,896,527.82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63.05%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34,644,826.39</w:t>
            </w:r>
          </w:p>
        </w:tc>
      </w:tr>
    </w:tbl>
    <w:p w:rsidR="000D58D8" w:rsidRDefault="000F627F">
      <w:pPr>
        <w:pStyle w:val="3"/>
        <w:spacing w:line="280" w:lineRule="exact"/>
        <w:jc w:val="left"/>
        <w:rPr>
          <w:rFonts w:ascii="宋体" w:hAnsi="宋体" w:cs="宋体"/>
          <w:b/>
          <w:bCs/>
        </w:rPr>
      </w:pPr>
      <w:bookmarkStart w:id="256" w:name="_Toc989143"/>
      <w:r>
        <w:rPr>
          <w:rFonts w:ascii="宋体" w:hAnsi="宋体" w:cs="宋体"/>
          <w:b/>
          <w:bCs/>
        </w:rPr>
        <w:t>6、合同资产</w:t>
      </w:r>
      <w:bookmarkEnd w:id="256"/>
    </w:p>
    <w:p w:rsidR="000D58D8" w:rsidRDefault="000F627F">
      <w:pPr>
        <w:keepNext/>
        <w:keepLines/>
        <w:spacing w:before="300" w:after="300" w:line="280" w:lineRule="exact"/>
        <w:outlineLvl w:val="3"/>
        <w:rPr>
          <w:rFonts w:ascii="宋体" w:eastAsia="宋体" w:hAnsi="宋体" w:cs="宋体"/>
          <w:b/>
          <w:bCs/>
          <w:szCs w:val="21"/>
        </w:rPr>
      </w:pPr>
      <w:bookmarkStart w:id="257" w:name="_Toc989144"/>
      <w:r>
        <w:rPr>
          <w:rFonts w:ascii="宋体" w:eastAsia="宋体" w:hAnsi="宋体" w:cs="宋体"/>
          <w:b/>
          <w:bCs/>
          <w:szCs w:val="21"/>
        </w:rPr>
        <w:t>（1） 合同资产情况</w:t>
      </w:r>
      <w:bookmarkEnd w:id="257"/>
    </w:p>
    <w:p w:rsidR="000D58D8" w:rsidRDefault="00F5414A" w:rsidP="00F5414A">
      <w:pPr>
        <w:spacing w:before="40" w:after="40" w:line="240" w:lineRule="exact"/>
        <w:rPr>
          <w:rFonts w:ascii="宋体" w:eastAsia="宋体" w:hAnsi="宋体" w:cs="宋体"/>
          <w:sz w:val="18"/>
          <w:szCs w:val="18"/>
        </w:rPr>
      </w:pPr>
      <w:r>
        <w:rPr>
          <w:rFonts w:ascii="宋体" w:eastAsia="宋体" w:hAnsi="宋体" w:cs="宋体"/>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258" w:name="_Toc989145"/>
      <w:r>
        <w:rPr>
          <w:rFonts w:ascii="宋体" w:eastAsia="宋体" w:hAnsi="宋体" w:cs="宋体"/>
          <w:b/>
          <w:bCs/>
          <w:szCs w:val="21"/>
        </w:rPr>
        <w:t>（2） 报告期内账面价值发生的重大变动金额和原因</w:t>
      </w:r>
      <w:bookmarkEnd w:id="258"/>
    </w:p>
    <w:p w:rsidR="000D58D8" w:rsidRDefault="00F5414A" w:rsidP="00F5414A">
      <w:pPr>
        <w:spacing w:before="120" w:after="120" w:line="240" w:lineRule="exact"/>
        <w:rPr>
          <w:rFonts w:ascii="宋体" w:eastAsia="宋体" w:hAnsi="宋体" w:cs="宋体"/>
          <w:sz w:val="18"/>
          <w:szCs w:val="18"/>
        </w:rPr>
      </w:pPr>
      <w:r>
        <w:rPr>
          <w:rFonts w:ascii="宋体" w:eastAsia="宋体" w:hAnsi="宋体" w:cs="宋体"/>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259" w:name="_Toc989146"/>
      <w:r>
        <w:rPr>
          <w:rFonts w:ascii="宋体" w:eastAsia="宋体" w:hAnsi="宋体" w:cs="宋体"/>
          <w:b/>
          <w:bCs/>
          <w:szCs w:val="21"/>
        </w:rPr>
        <w:t>（3） 按坏账计提方法分类披露</w:t>
      </w:r>
      <w:bookmarkEnd w:id="25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按预期信用损失一般模型计提坏账准备</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Cs w:val="21"/>
        </w:rPr>
      </w:pPr>
      <w:bookmarkStart w:id="260" w:name="_Toc989147"/>
      <w:r>
        <w:rPr>
          <w:rFonts w:ascii="宋体" w:eastAsia="宋体" w:hAnsi="宋体" w:cs="宋体"/>
          <w:b/>
          <w:bCs/>
          <w:szCs w:val="21"/>
        </w:rPr>
        <w:t>（4） 本期计提、收回或转回的坏账准备情况</w:t>
      </w:r>
      <w:bookmarkEnd w:id="26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其中本期坏账准备收回或转回金额重要的：</w:t>
      </w:r>
      <w:r w:rsidR="00F5414A">
        <w:rPr>
          <w:rFonts w:ascii="宋体" w:eastAsia="宋体" w:hAnsi="宋体" w:cs="宋体"/>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F5414A">
        <w:rPr>
          <w:rFonts w:ascii="宋体" w:eastAsia="宋体" w:hAnsi="宋体" w:cs="宋体"/>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261" w:name="_Toc989148"/>
      <w:r>
        <w:rPr>
          <w:rFonts w:ascii="宋体" w:eastAsia="宋体" w:hAnsi="宋体" w:cs="宋体"/>
          <w:b/>
          <w:bCs/>
          <w:szCs w:val="21"/>
        </w:rPr>
        <w:t>（5） 本期实际核销的合同资产情况</w:t>
      </w:r>
      <w:bookmarkEnd w:id="26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合同资产核销说明：</w:t>
      </w:r>
      <w:r w:rsidR="00F5414A">
        <w:rPr>
          <w:rFonts w:ascii="宋体" w:eastAsia="宋体" w:hAnsi="宋体" w:cs="宋体"/>
          <w:sz w:val="18"/>
          <w:szCs w:val="18"/>
        </w:rPr>
        <w:t>无</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其他说明：</w:t>
      </w:r>
      <w:r w:rsidR="00F5414A">
        <w:rPr>
          <w:rFonts w:ascii="宋体" w:eastAsia="宋体" w:hAnsi="宋体" w:cs="宋体"/>
          <w:sz w:val="18"/>
          <w:szCs w:val="18"/>
        </w:rPr>
        <w:t>无</w:t>
      </w:r>
    </w:p>
    <w:p w:rsidR="000F627F" w:rsidRDefault="000F627F">
      <w:pPr>
        <w:divId w:val="599066110"/>
        <w:rPr>
          <w:sz w:val="18"/>
          <w:szCs w:val="18"/>
        </w:rPr>
      </w:pPr>
    </w:p>
    <w:p w:rsidR="000D58D8" w:rsidRDefault="000F627F">
      <w:pPr>
        <w:pStyle w:val="3"/>
        <w:spacing w:line="280" w:lineRule="exact"/>
        <w:jc w:val="left"/>
        <w:rPr>
          <w:rFonts w:ascii="宋体" w:hAnsi="宋体" w:cs="宋体"/>
          <w:b/>
          <w:bCs/>
        </w:rPr>
      </w:pPr>
      <w:bookmarkStart w:id="262" w:name="_Toc989149"/>
      <w:r>
        <w:rPr>
          <w:rFonts w:ascii="宋体" w:hAnsi="宋体" w:cs="宋体"/>
          <w:b/>
          <w:bCs/>
        </w:rPr>
        <w:t>7、应收款项融资</w:t>
      </w:r>
      <w:bookmarkEnd w:id="262"/>
    </w:p>
    <w:p w:rsidR="000D58D8" w:rsidRDefault="000F627F">
      <w:pPr>
        <w:keepNext/>
        <w:keepLines/>
        <w:spacing w:before="300" w:after="300" w:line="280" w:lineRule="exact"/>
        <w:outlineLvl w:val="3"/>
        <w:rPr>
          <w:rFonts w:ascii="宋体" w:eastAsia="宋体" w:hAnsi="宋体" w:cs="宋体"/>
          <w:b/>
          <w:bCs/>
          <w:szCs w:val="21"/>
        </w:rPr>
      </w:pPr>
      <w:bookmarkStart w:id="263" w:name="_Toc989150"/>
      <w:r>
        <w:rPr>
          <w:rFonts w:ascii="宋体" w:eastAsia="宋体" w:hAnsi="宋体" w:cs="宋体"/>
          <w:b/>
          <w:bCs/>
          <w:szCs w:val="21"/>
        </w:rPr>
        <w:t>（1） 应收款项融资分类列示</w:t>
      </w:r>
      <w:bookmarkEnd w:id="263"/>
    </w:p>
    <w:p w:rsidR="000D58D8" w:rsidRDefault="00F5414A" w:rsidP="00F5414A">
      <w:pPr>
        <w:spacing w:before="40" w:after="40" w:line="240" w:lineRule="exact"/>
        <w:rPr>
          <w:rFonts w:ascii="宋体" w:eastAsia="宋体" w:hAnsi="宋体" w:cs="宋体"/>
          <w:sz w:val="18"/>
          <w:szCs w:val="18"/>
        </w:rPr>
      </w:pPr>
      <w:r>
        <w:rPr>
          <w:rFonts w:ascii="宋体" w:eastAsia="宋体" w:hAnsi="宋体" w:cs="宋体"/>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264" w:name="_Toc989151"/>
      <w:r>
        <w:rPr>
          <w:rFonts w:ascii="宋体" w:eastAsia="宋体" w:hAnsi="宋体" w:cs="宋体"/>
          <w:b/>
          <w:bCs/>
          <w:szCs w:val="21"/>
        </w:rPr>
        <w:t>（2） 按坏账计提方法分类披露</w:t>
      </w:r>
      <w:bookmarkEnd w:id="264"/>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对本期发生损失准备变动的应收款项融资账面余额显著变动的情况说明：</w:t>
      </w:r>
      <w:r w:rsidR="00F5414A">
        <w:rPr>
          <w:rFonts w:ascii="宋体" w:eastAsia="宋体" w:hAnsi="宋体" w:cs="宋体"/>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265" w:name="_Toc989152"/>
      <w:r>
        <w:rPr>
          <w:rFonts w:ascii="宋体" w:eastAsia="宋体" w:hAnsi="宋体" w:cs="宋体"/>
          <w:b/>
          <w:bCs/>
          <w:szCs w:val="21"/>
        </w:rPr>
        <w:t>（3） 本期计提、收回或转回的坏账准备的情况</w:t>
      </w:r>
      <w:bookmarkEnd w:id="265"/>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其中本期坏账准备收回或转回金额重要的：</w:t>
      </w:r>
      <w:r w:rsidR="00F5414A">
        <w:rPr>
          <w:rFonts w:ascii="宋体" w:eastAsia="宋体" w:hAnsi="宋体" w:cs="宋体"/>
          <w:sz w:val="18"/>
          <w:szCs w:val="18"/>
        </w:rPr>
        <w:t>无</w:t>
      </w:r>
    </w:p>
    <w:p w:rsidR="000F627F" w:rsidRPr="00F5414A" w:rsidRDefault="000F627F" w:rsidP="00F5414A">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F5414A">
        <w:rPr>
          <w:rFonts w:ascii="宋体" w:eastAsia="宋体" w:hAnsi="宋体" w:cs="宋体"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266" w:name="_Toc989153"/>
      <w:r>
        <w:rPr>
          <w:rFonts w:ascii="宋体" w:eastAsia="宋体" w:hAnsi="宋体" w:cs="宋体"/>
          <w:b/>
          <w:bCs/>
          <w:szCs w:val="21"/>
        </w:rPr>
        <w:t>（4） 期末公司已质押的应收款项融资</w:t>
      </w:r>
      <w:bookmarkEnd w:id="266"/>
    </w:p>
    <w:p w:rsidR="000D58D8" w:rsidRDefault="00F5414A" w:rsidP="00F5414A">
      <w:pPr>
        <w:spacing w:before="40" w:after="40" w:line="240" w:lineRule="exact"/>
        <w:rPr>
          <w:rFonts w:ascii="宋体" w:eastAsia="宋体" w:hAnsi="宋体" w:cs="宋体"/>
          <w:sz w:val="18"/>
          <w:szCs w:val="18"/>
        </w:rPr>
      </w:pPr>
      <w:r>
        <w:rPr>
          <w:rFonts w:ascii="宋体" w:eastAsia="宋体" w:hAnsi="宋体" w:cs="宋体"/>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267" w:name="_Toc989154"/>
      <w:r>
        <w:rPr>
          <w:rFonts w:ascii="宋体" w:eastAsia="宋体" w:hAnsi="宋体" w:cs="宋体"/>
          <w:b/>
          <w:bCs/>
          <w:szCs w:val="21"/>
        </w:rPr>
        <w:t>（5） 期末公司已背书或贴现且在资产负债表日尚未到期的应收款项融资</w:t>
      </w:r>
      <w:bookmarkEnd w:id="267"/>
    </w:p>
    <w:p w:rsidR="00F5414A" w:rsidRDefault="00F5414A" w:rsidP="00F5414A">
      <w:pPr>
        <w:spacing w:before="40" w:after="40" w:line="240" w:lineRule="exact"/>
        <w:rPr>
          <w:rFonts w:ascii="宋体" w:eastAsia="宋体" w:hAnsi="宋体" w:cs="宋体"/>
          <w:sz w:val="18"/>
          <w:szCs w:val="18"/>
        </w:rPr>
      </w:pPr>
      <w:bookmarkStart w:id="268" w:name="_Toc989155"/>
      <w:r>
        <w:rPr>
          <w:rFonts w:ascii="宋体" w:eastAsia="宋体" w:hAnsi="宋体" w:cs="宋体"/>
          <w:sz w:val="18"/>
          <w:szCs w:val="18"/>
        </w:rPr>
        <w:t>无</w:t>
      </w:r>
    </w:p>
    <w:p w:rsidR="000D58D8" w:rsidRDefault="000F627F">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（6） 本期实际核销的应收款项融资情况</w:t>
      </w:r>
      <w:bookmarkEnd w:id="268"/>
    </w:p>
    <w:p w:rsidR="00F5414A" w:rsidRDefault="00F5414A" w:rsidP="00F5414A">
      <w:pPr>
        <w:spacing w:before="40" w:after="40" w:line="240" w:lineRule="exact"/>
        <w:rPr>
          <w:rFonts w:ascii="宋体" w:eastAsia="宋体" w:hAnsi="宋体" w:cs="宋体"/>
          <w:sz w:val="18"/>
          <w:szCs w:val="18"/>
        </w:rPr>
      </w:pPr>
      <w:r>
        <w:rPr>
          <w:rFonts w:ascii="宋体" w:eastAsia="宋体" w:hAnsi="宋体" w:cs="宋体"/>
          <w:sz w:val="18"/>
          <w:szCs w:val="18"/>
        </w:rPr>
        <w:t>无</w:t>
      </w:r>
    </w:p>
    <w:p w:rsidR="000D58D8" w:rsidRDefault="000D58D8">
      <w:pPr>
        <w:spacing w:line="0" w:lineRule="atLeast"/>
      </w:pP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其中重要的应收款项融资核销情况</w:t>
      </w:r>
    </w:p>
    <w:p w:rsidR="00F5414A" w:rsidRDefault="00F5414A" w:rsidP="00F5414A">
      <w:pPr>
        <w:spacing w:before="40" w:after="40" w:line="240" w:lineRule="exact"/>
        <w:rPr>
          <w:rFonts w:ascii="宋体" w:eastAsia="宋体" w:hAnsi="宋体" w:cs="宋体"/>
          <w:sz w:val="18"/>
          <w:szCs w:val="18"/>
        </w:rPr>
      </w:pPr>
      <w:r>
        <w:rPr>
          <w:rFonts w:ascii="宋体" w:eastAsia="宋体" w:hAnsi="宋体" w:cs="宋体"/>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核销说明：</w:t>
      </w:r>
      <w:r w:rsidR="00F5414A">
        <w:rPr>
          <w:rFonts w:ascii="宋体" w:eastAsia="宋体" w:hAnsi="宋体" w:cs="宋体"/>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269" w:name="_Toc989156"/>
      <w:r>
        <w:rPr>
          <w:rFonts w:ascii="宋体" w:eastAsia="宋体" w:hAnsi="宋体" w:cs="宋体"/>
          <w:b/>
          <w:bCs/>
          <w:szCs w:val="21"/>
        </w:rPr>
        <w:t>（7） 应收款项融资本期增减变动及公允价值变动情况</w:t>
      </w:r>
      <w:bookmarkEnd w:id="269"/>
    </w:p>
    <w:p w:rsidR="000D58D8" w:rsidRDefault="000F627F">
      <w:pPr>
        <w:keepNext/>
        <w:keepLines/>
        <w:spacing w:before="300" w:after="300" w:line="280" w:lineRule="exact"/>
        <w:outlineLvl w:val="3"/>
        <w:rPr>
          <w:rFonts w:ascii="宋体" w:eastAsia="宋体" w:hAnsi="宋体" w:cs="宋体"/>
          <w:b/>
          <w:bCs/>
          <w:szCs w:val="21"/>
        </w:rPr>
      </w:pPr>
      <w:bookmarkStart w:id="270" w:name="_Toc989157"/>
      <w:r>
        <w:rPr>
          <w:rFonts w:ascii="宋体" w:eastAsia="宋体" w:hAnsi="宋体" w:cs="宋体"/>
          <w:b/>
          <w:bCs/>
          <w:szCs w:val="21"/>
        </w:rPr>
        <w:t>（8） 其他说明</w:t>
      </w:r>
      <w:bookmarkEnd w:id="270"/>
    </w:p>
    <w:p w:rsidR="000D58D8" w:rsidRDefault="000F627F">
      <w:pPr>
        <w:pStyle w:val="3"/>
        <w:spacing w:line="280" w:lineRule="exact"/>
        <w:jc w:val="left"/>
        <w:rPr>
          <w:rFonts w:ascii="宋体" w:hAnsi="宋体" w:cs="宋体"/>
          <w:b/>
          <w:bCs/>
        </w:rPr>
      </w:pPr>
      <w:bookmarkStart w:id="271" w:name="_Toc989158"/>
      <w:r>
        <w:rPr>
          <w:rFonts w:ascii="宋体" w:hAnsi="宋体" w:cs="宋体"/>
          <w:b/>
          <w:bCs/>
        </w:rPr>
        <w:t>8、其他应收款</w:t>
      </w:r>
      <w:bookmarkEnd w:id="271"/>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231,214,898.67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251,884,579.22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231,214,898.67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251,884,579.22</w:t>
            </w:r>
          </w:p>
        </w:tc>
      </w:tr>
    </w:tbl>
    <w:p w:rsidR="000D58D8" w:rsidRDefault="000F627F">
      <w:pPr>
        <w:keepNext/>
        <w:keepLines/>
        <w:spacing w:before="300" w:after="300" w:line="280" w:lineRule="exact"/>
        <w:outlineLvl w:val="3"/>
        <w:rPr>
          <w:rFonts w:ascii="宋体" w:eastAsia="宋体" w:hAnsi="宋体" w:cs="宋体"/>
          <w:b/>
          <w:bCs/>
          <w:szCs w:val="21"/>
        </w:rPr>
      </w:pPr>
      <w:bookmarkStart w:id="272" w:name="_Toc989159"/>
      <w:r>
        <w:rPr>
          <w:rFonts w:ascii="宋体" w:eastAsia="宋体" w:hAnsi="宋体" w:cs="宋体"/>
          <w:b/>
          <w:bCs/>
          <w:szCs w:val="21"/>
        </w:rPr>
        <w:lastRenderedPageBreak/>
        <w:t>（1） 应收利息</w:t>
      </w:r>
      <w:bookmarkEnd w:id="272"/>
    </w:p>
    <w:p w:rsidR="000D58D8" w:rsidRDefault="000F627F">
      <w:pPr>
        <w:keepNext/>
        <w:keepLines/>
        <w:spacing w:before="300" w:after="300" w:line="280" w:lineRule="exact"/>
        <w:outlineLvl w:val="4"/>
        <w:rPr>
          <w:rFonts w:ascii="宋体" w:eastAsia="宋体" w:hAnsi="宋体" w:cs="宋体"/>
          <w:b/>
          <w:bCs/>
          <w:szCs w:val="21"/>
        </w:rPr>
      </w:pPr>
      <w:bookmarkStart w:id="273" w:name="_Toc989160"/>
      <w:r>
        <w:rPr>
          <w:rFonts w:ascii="宋体" w:eastAsia="宋体" w:hAnsi="宋体" w:cs="宋体"/>
          <w:b/>
          <w:bCs/>
          <w:szCs w:val="21"/>
        </w:rPr>
        <w:t>1） 应收利息分类</w:t>
      </w:r>
      <w:bookmarkEnd w:id="273"/>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rsidR="000D58D8" w:rsidRDefault="000F627F">
      <w:pPr>
        <w:keepNext/>
        <w:keepLines/>
        <w:spacing w:before="300" w:after="300" w:line="280" w:lineRule="exact"/>
        <w:outlineLvl w:val="4"/>
        <w:rPr>
          <w:rFonts w:ascii="宋体" w:eastAsia="宋体" w:hAnsi="宋体" w:cs="宋体"/>
          <w:b/>
          <w:bCs/>
          <w:szCs w:val="21"/>
        </w:rPr>
      </w:pPr>
      <w:bookmarkStart w:id="274" w:name="_Toc989161"/>
      <w:r>
        <w:rPr>
          <w:rFonts w:ascii="宋体" w:eastAsia="宋体" w:hAnsi="宋体" w:cs="宋体"/>
          <w:b/>
          <w:bCs/>
          <w:szCs w:val="21"/>
        </w:rPr>
        <w:t>2） 重要逾期利息</w:t>
      </w:r>
      <w:bookmarkEnd w:id="274"/>
    </w:p>
    <w:p w:rsidR="000F627F" w:rsidRPr="00F5414A" w:rsidRDefault="000F627F" w:rsidP="00F5414A">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A13CD0">
        <w:rPr>
          <w:rFonts w:ascii="宋体" w:eastAsia="宋体" w:hAnsi="宋体" w:cs="宋体"/>
          <w:sz w:val="18"/>
          <w:szCs w:val="18"/>
        </w:rPr>
        <w:t>无</w:t>
      </w:r>
    </w:p>
    <w:p w:rsidR="000D58D8" w:rsidRDefault="000F627F">
      <w:pPr>
        <w:keepNext/>
        <w:keepLines/>
        <w:spacing w:before="300" w:after="300" w:line="280" w:lineRule="exact"/>
        <w:outlineLvl w:val="4"/>
        <w:rPr>
          <w:rFonts w:ascii="宋体" w:eastAsia="宋体" w:hAnsi="宋体" w:cs="宋体"/>
          <w:b/>
          <w:bCs/>
          <w:szCs w:val="21"/>
        </w:rPr>
      </w:pPr>
      <w:bookmarkStart w:id="275" w:name="_Toc989162"/>
      <w:r>
        <w:rPr>
          <w:rFonts w:ascii="宋体" w:eastAsia="宋体" w:hAnsi="宋体" w:cs="宋体"/>
          <w:b/>
          <w:bCs/>
          <w:szCs w:val="21"/>
        </w:rPr>
        <w:t>3） 按坏账计提方法分类披露</w:t>
      </w:r>
      <w:bookmarkEnd w:id="275"/>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4"/>
        <w:rPr>
          <w:rFonts w:ascii="宋体" w:eastAsia="宋体" w:hAnsi="宋体" w:cs="宋体"/>
          <w:b/>
          <w:bCs/>
          <w:sz w:val="18"/>
          <w:szCs w:val="18"/>
        </w:rPr>
      </w:pPr>
      <w:bookmarkStart w:id="276" w:name="_Toc989163"/>
      <w:r>
        <w:rPr>
          <w:rFonts w:ascii="宋体" w:eastAsia="宋体" w:hAnsi="宋体" w:cs="宋体"/>
          <w:b/>
          <w:bCs/>
          <w:sz w:val="18"/>
          <w:szCs w:val="18"/>
        </w:rPr>
        <w:t>4） 本期计提、收回或转回的坏账准备的情况</w:t>
      </w:r>
      <w:bookmarkEnd w:id="27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A13CD0">
        <w:rPr>
          <w:rFonts w:ascii="宋体" w:eastAsia="宋体" w:hAnsi="宋体" w:cs="宋体"/>
          <w:sz w:val="18"/>
          <w:szCs w:val="18"/>
        </w:rPr>
        <w:t>无</w:t>
      </w:r>
    </w:p>
    <w:p w:rsidR="000D58D8" w:rsidRDefault="000F627F">
      <w:pPr>
        <w:keepNext/>
        <w:keepLines/>
        <w:spacing w:before="300" w:after="300" w:line="280" w:lineRule="exact"/>
        <w:outlineLvl w:val="4"/>
        <w:rPr>
          <w:rFonts w:ascii="宋体" w:eastAsia="宋体" w:hAnsi="宋体" w:cs="宋体"/>
          <w:b/>
          <w:bCs/>
          <w:sz w:val="18"/>
          <w:szCs w:val="18"/>
        </w:rPr>
      </w:pPr>
      <w:bookmarkStart w:id="277" w:name="_Toc989164"/>
      <w:r>
        <w:rPr>
          <w:rFonts w:ascii="宋体" w:eastAsia="宋体" w:hAnsi="宋体" w:cs="宋体"/>
          <w:b/>
          <w:bCs/>
          <w:sz w:val="18"/>
          <w:szCs w:val="18"/>
        </w:rPr>
        <w:t>5） 本期实际核销的应收利息情况</w:t>
      </w:r>
      <w:bookmarkEnd w:id="277"/>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核销说明：</w:t>
      </w:r>
      <w:r w:rsidR="00A13CD0">
        <w:rPr>
          <w:rFonts w:ascii="宋体" w:eastAsia="宋体" w:hAnsi="宋体" w:cs="宋体"/>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A13CD0">
        <w:rPr>
          <w:rFonts w:ascii="宋体" w:eastAsia="宋体" w:hAnsi="宋体" w:cs="宋体"/>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278" w:name="_Toc989165"/>
      <w:r>
        <w:rPr>
          <w:rFonts w:ascii="宋体" w:eastAsia="宋体" w:hAnsi="宋体" w:cs="宋体"/>
          <w:b/>
          <w:bCs/>
          <w:szCs w:val="21"/>
        </w:rPr>
        <w:t>（2） 应收股利</w:t>
      </w:r>
      <w:bookmarkEnd w:id="278"/>
    </w:p>
    <w:p w:rsidR="000D58D8" w:rsidRDefault="000F627F">
      <w:pPr>
        <w:keepNext/>
        <w:keepLines/>
        <w:spacing w:before="300" w:after="300" w:line="280" w:lineRule="exact"/>
        <w:outlineLvl w:val="4"/>
        <w:rPr>
          <w:rFonts w:ascii="宋体" w:eastAsia="宋体" w:hAnsi="宋体" w:cs="宋体"/>
          <w:b/>
          <w:bCs/>
          <w:szCs w:val="21"/>
        </w:rPr>
      </w:pPr>
      <w:bookmarkStart w:id="279" w:name="_Toc989166"/>
      <w:r>
        <w:rPr>
          <w:rFonts w:ascii="宋体" w:eastAsia="宋体" w:hAnsi="宋体" w:cs="宋体"/>
          <w:b/>
          <w:bCs/>
          <w:szCs w:val="21"/>
        </w:rPr>
        <w:t>1） 应收股利分类</w:t>
      </w:r>
      <w:bookmarkEnd w:id="279"/>
    </w:p>
    <w:p w:rsidR="000D58D8" w:rsidRDefault="000F627F">
      <w:pPr>
        <w:keepNext/>
        <w:keepLines/>
        <w:spacing w:before="300" w:after="300" w:line="280" w:lineRule="exact"/>
        <w:outlineLvl w:val="4"/>
        <w:rPr>
          <w:rFonts w:ascii="宋体" w:eastAsia="宋体" w:hAnsi="宋体" w:cs="宋体"/>
          <w:b/>
          <w:bCs/>
          <w:szCs w:val="21"/>
        </w:rPr>
      </w:pPr>
      <w:bookmarkStart w:id="280" w:name="_Toc989167"/>
      <w:r>
        <w:rPr>
          <w:rFonts w:ascii="宋体" w:eastAsia="宋体" w:hAnsi="宋体" w:cs="宋体"/>
          <w:b/>
          <w:bCs/>
          <w:szCs w:val="21"/>
        </w:rPr>
        <w:t>2） 重要的账龄超过1年的应收股利</w:t>
      </w:r>
      <w:bookmarkEnd w:id="280"/>
    </w:p>
    <w:p w:rsidR="000D58D8" w:rsidRDefault="000F627F">
      <w:pPr>
        <w:keepNext/>
        <w:keepLines/>
        <w:spacing w:before="300" w:after="300" w:line="280" w:lineRule="exact"/>
        <w:outlineLvl w:val="4"/>
        <w:rPr>
          <w:rFonts w:ascii="宋体" w:eastAsia="宋体" w:hAnsi="宋体" w:cs="宋体"/>
          <w:b/>
          <w:bCs/>
          <w:szCs w:val="21"/>
        </w:rPr>
      </w:pPr>
      <w:bookmarkStart w:id="281" w:name="_Toc989168"/>
      <w:r>
        <w:rPr>
          <w:rFonts w:ascii="宋体" w:eastAsia="宋体" w:hAnsi="宋体" w:cs="宋体"/>
          <w:b/>
          <w:bCs/>
          <w:szCs w:val="21"/>
        </w:rPr>
        <w:t>3） 按坏账计提方法分类披露</w:t>
      </w:r>
      <w:bookmarkEnd w:id="28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4"/>
        <w:rPr>
          <w:rFonts w:ascii="宋体" w:eastAsia="宋体" w:hAnsi="宋体" w:cs="宋体"/>
          <w:b/>
          <w:bCs/>
          <w:szCs w:val="21"/>
        </w:rPr>
      </w:pPr>
      <w:bookmarkStart w:id="282" w:name="_Toc989169"/>
      <w:r>
        <w:rPr>
          <w:rFonts w:ascii="宋体" w:eastAsia="宋体" w:hAnsi="宋体" w:cs="宋体"/>
          <w:b/>
          <w:bCs/>
          <w:szCs w:val="21"/>
        </w:rPr>
        <w:t>4） 本期计提、收回或转回的坏账准备的情况</w:t>
      </w:r>
      <w:bookmarkEnd w:id="28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A13CD0">
        <w:rPr>
          <w:rFonts w:ascii="宋体" w:eastAsia="宋体" w:hAnsi="宋体" w:cs="宋体"/>
          <w:sz w:val="18"/>
          <w:szCs w:val="18"/>
        </w:rPr>
        <w:t>无</w:t>
      </w:r>
    </w:p>
    <w:p w:rsidR="000D58D8" w:rsidRDefault="000F627F">
      <w:pPr>
        <w:keepNext/>
        <w:keepLines/>
        <w:spacing w:before="300" w:after="300" w:line="280" w:lineRule="exact"/>
        <w:outlineLvl w:val="4"/>
        <w:rPr>
          <w:rFonts w:ascii="宋体" w:eastAsia="宋体" w:hAnsi="宋体" w:cs="宋体"/>
          <w:b/>
          <w:bCs/>
          <w:szCs w:val="21"/>
        </w:rPr>
      </w:pPr>
      <w:bookmarkStart w:id="283" w:name="_Toc989170"/>
      <w:r>
        <w:rPr>
          <w:rFonts w:ascii="宋体" w:eastAsia="宋体" w:hAnsi="宋体" w:cs="宋体"/>
          <w:b/>
          <w:bCs/>
          <w:szCs w:val="21"/>
        </w:rPr>
        <w:t>5） 本期实际核销的应收股利情况</w:t>
      </w:r>
      <w:bookmarkEnd w:id="283"/>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其中重要的应收股利核销情况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A13CD0">
        <w:rPr>
          <w:rFonts w:ascii="宋体" w:eastAsia="宋体" w:hAnsi="宋体" w:cs="宋体"/>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284" w:name="_Toc989171"/>
      <w:r>
        <w:rPr>
          <w:rFonts w:ascii="宋体" w:eastAsia="宋体" w:hAnsi="宋体" w:cs="宋体"/>
          <w:b/>
          <w:bCs/>
          <w:szCs w:val="21"/>
        </w:rPr>
        <w:t>（3） 其他应收款</w:t>
      </w:r>
      <w:bookmarkEnd w:id="284"/>
    </w:p>
    <w:p w:rsidR="000D58D8" w:rsidRDefault="000F627F">
      <w:pPr>
        <w:keepNext/>
        <w:keepLines/>
        <w:spacing w:before="300" w:after="300" w:line="280" w:lineRule="exact"/>
        <w:outlineLvl w:val="4"/>
        <w:rPr>
          <w:rFonts w:ascii="宋体" w:eastAsia="宋体" w:hAnsi="宋体" w:cs="宋体"/>
          <w:b/>
          <w:bCs/>
          <w:szCs w:val="21"/>
        </w:rPr>
      </w:pPr>
      <w:bookmarkStart w:id="285" w:name="_Toc989172"/>
      <w:r>
        <w:rPr>
          <w:rFonts w:ascii="宋体" w:eastAsia="宋体" w:hAnsi="宋体" w:cs="宋体"/>
          <w:b/>
          <w:bCs/>
          <w:szCs w:val="21"/>
        </w:rPr>
        <w:t>1） 其他应收款按款项性质分类情况</w:t>
      </w:r>
      <w:bookmarkEnd w:id="285"/>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关联方往来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22,485,247.08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28,139,282.14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保证金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15,937,495.49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38,800,021.27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押金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1,589,318.94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1,088,938.00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备用金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27,131.00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896,331.20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员工借款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3,035,731.00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4,815,365.60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205,694,481.34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188,765,870.13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应收出口退税款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906,223.77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3,520,785.71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代付款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8,384,586.34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8,835,784.79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其他单位往来款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54,371,345.02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83,089,760.56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固定资产转让款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40,690,000.00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36,160,000.00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股权转让款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35,886,000.00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6,511,563.64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12,254,535.16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坏账准备</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-164,304,224.95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-154,482,095.34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231,214,898.67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251,884,579.22</w:t>
            </w:r>
          </w:p>
        </w:tc>
      </w:tr>
    </w:tbl>
    <w:p w:rsidR="000D58D8" w:rsidRDefault="000F627F">
      <w:pPr>
        <w:keepNext/>
        <w:keepLines/>
        <w:spacing w:before="300" w:after="300" w:line="280" w:lineRule="exact"/>
        <w:outlineLvl w:val="4"/>
        <w:rPr>
          <w:rFonts w:ascii="宋体" w:eastAsia="宋体" w:hAnsi="宋体" w:cs="宋体"/>
          <w:b/>
          <w:bCs/>
          <w:szCs w:val="21"/>
        </w:rPr>
      </w:pPr>
      <w:bookmarkStart w:id="286" w:name="_Toc989173"/>
      <w:r>
        <w:rPr>
          <w:rFonts w:ascii="宋体" w:eastAsia="宋体" w:hAnsi="宋体" w:cs="宋体"/>
          <w:b/>
          <w:bCs/>
          <w:szCs w:val="21"/>
        </w:rPr>
        <w:t xml:space="preserve">2） </w:t>
      </w:r>
      <w:proofErr w:type="gramStart"/>
      <w:r>
        <w:rPr>
          <w:rFonts w:ascii="宋体" w:eastAsia="宋体" w:hAnsi="宋体" w:cs="宋体"/>
          <w:b/>
          <w:bCs/>
          <w:szCs w:val="21"/>
        </w:rPr>
        <w:t>按账龄</w:t>
      </w:r>
      <w:proofErr w:type="gramEnd"/>
      <w:r>
        <w:rPr>
          <w:rFonts w:ascii="宋体" w:eastAsia="宋体" w:hAnsi="宋体" w:cs="宋体"/>
          <w:b/>
          <w:bCs/>
          <w:szCs w:val="21"/>
        </w:rPr>
        <w:t>披露</w:t>
      </w:r>
      <w:bookmarkEnd w:id="286"/>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215,157,253.73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178,617,977.37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51,412,638.68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47,597,522.37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12,618,290.37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51,430,743.03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116,330,940.84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128,720,431.79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3至4年</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13,572,163.43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2,472,254.54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4至5年</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83,000.00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36,404,688.65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5年以上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102,675,777.41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89,843,488.60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395,519,123.62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406,366,674.56</w:t>
            </w:r>
          </w:p>
        </w:tc>
      </w:tr>
    </w:tbl>
    <w:p w:rsidR="000D58D8" w:rsidRDefault="000F627F">
      <w:pPr>
        <w:keepNext/>
        <w:keepLines/>
        <w:spacing w:before="300" w:after="300" w:line="280" w:lineRule="exact"/>
        <w:outlineLvl w:val="4"/>
        <w:rPr>
          <w:rFonts w:ascii="宋体" w:eastAsia="宋体" w:hAnsi="宋体" w:cs="宋体"/>
          <w:b/>
          <w:bCs/>
          <w:szCs w:val="21"/>
        </w:rPr>
      </w:pPr>
      <w:bookmarkStart w:id="287" w:name="_Toc989174"/>
      <w:r>
        <w:rPr>
          <w:rFonts w:ascii="宋体" w:eastAsia="宋体" w:hAnsi="宋体" w:cs="宋体"/>
          <w:b/>
          <w:bCs/>
          <w:szCs w:val="21"/>
        </w:rPr>
        <w:t>3） 按坏账计提方法分类披露</w:t>
      </w:r>
      <w:bookmarkEnd w:id="287"/>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5"/>
        <w:gridCol w:w="876"/>
        <w:gridCol w:w="877"/>
        <w:gridCol w:w="876"/>
        <w:gridCol w:w="877"/>
        <w:gridCol w:w="876"/>
        <w:gridCol w:w="876"/>
        <w:gridCol w:w="877"/>
        <w:gridCol w:w="876"/>
        <w:gridCol w:w="877"/>
        <w:gridCol w:w="876"/>
      </w:tblGrid>
      <w:tr w:rsidR="000D58D8">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0D58D8">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按单项计提坏账准备</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23,028,606.73</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23,028,606.73</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32,200,046.12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21,489,642.59</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13.91%</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10,710,403.53</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372,490,516.89</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94.18%</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141,275,618.22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37.93%</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231,214,898.67</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374,166,628.44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92.08%</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132,992,452.75</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86.09%</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241,174,175.69</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预期信用风险</w:t>
            </w:r>
            <w:r>
              <w:rPr>
                <w:rFonts w:ascii="宋体" w:eastAsia="宋体" w:hAnsi="宋体" w:cs="宋体"/>
                <w:sz w:val="18"/>
                <w:szCs w:val="18"/>
              </w:rPr>
              <w:lastRenderedPageBreak/>
              <w:t>组合</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143,003,811.78</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38.39%</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25,866,123.26</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18.09%</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117,137,688.52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181,879,972.60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44.76%</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32,958,810.08</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24.78%</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148,921,162.52</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      应收财政款组合</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205,694,481.34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55.22%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115,409,494.96</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56.11%</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90,284,986.38</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192,286,655.84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47.32%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100,033,642.67</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75.22%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92,253,013.17</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性质组合</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23,792,223.77</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6.39%</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23,792,223.77</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395,519,123.62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164,304,224.95</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41.54%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231,214,898.67</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406,366,674.56</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154,482,095.34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251,884,579.22</w:t>
            </w:r>
          </w:p>
        </w:tc>
      </w:tr>
    </w:tbl>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按单项计提坏账准备：</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0D58D8">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计提理由</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宁波欧励实业有限公司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21,420,807.07</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10,710,403.54</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21,420,807.07</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21,420,807.07</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光通天</w:t>
            </w:r>
            <w:proofErr w:type="gramStart"/>
            <w:r>
              <w:rPr>
                <w:rFonts w:ascii="宋体" w:eastAsia="宋体" w:hAnsi="宋体" w:cs="宋体"/>
                <w:sz w:val="18"/>
                <w:szCs w:val="18"/>
              </w:rPr>
              <w:t>下网络</w:t>
            </w:r>
            <w:proofErr w:type="gramEnd"/>
            <w:r>
              <w:rPr>
                <w:rFonts w:ascii="宋体" w:eastAsia="宋体" w:hAnsi="宋体" w:cs="宋体"/>
                <w:sz w:val="18"/>
                <w:szCs w:val="18"/>
              </w:rPr>
              <w:t>科技股份有限公司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795,485.25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795,485.25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青岛锦晟棉业有限公司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762,314.41</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762,314.41</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762,314.41</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762,314.41</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沙雅县雅</w:t>
            </w:r>
            <w:proofErr w:type="gramStart"/>
            <w:r>
              <w:rPr>
                <w:rFonts w:ascii="宋体" w:eastAsia="宋体" w:hAnsi="宋体" w:cs="宋体"/>
                <w:sz w:val="18"/>
                <w:szCs w:val="18"/>
              </w:rPr>
              <w:t>鑫</w:t>
            </w:r>
            <w:proofErr w:type="gramEnd"/>
            <w:r>
              <w:rPr>
                <w:rFonts w:ascii="宋体" w:eastAsia="宋体" w:hAnsi="宋体" w:cs="宋体"/>
                <w:sz w:val="18"/>
                <w:szCs w:val="18"/>
              </w:rPr>
              <w:t>农业综合开发有限公司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22,183,121.48</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11,472,717.95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23,028,606.73</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23,028,606.73</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按组合计提坏账准备：预期信用风险组合</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1年以内</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88,832,685.98</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4,441,634.29</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1－2年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17,860,538.17</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1,786,053.80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2－3年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12,618,290.37</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2,523,658.07</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3－4年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13,141,840.33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6,570,920.17</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4－5年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33,000.00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26,400.00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5年以上</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10,517,456.93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10,517,456.93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143,003,811.78</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25,866,123.26</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F627F" w:rsidRPr="00A13CD0" w:rsidRDefault="000F627F" w:rsidP="00A13CD0">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r>
        <w:rPr>
          <w:rFonts w:hint="eastAsia"/>
          <w:sz w:val="18"/>
          <w:szCs w:val="18"/>
        </w:rPr>
        <w:t>无。</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按组合计提坏账准备：应收财政款组合</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1年以内</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64,376,254.12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3,218,812.73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1－2年,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11,368,979.03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1,136,897.90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2－3年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3－4年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37,790,927.71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18,895,463.86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4－5年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5年以上</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92,158,320.48</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92,158,320.48</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205,694,481.34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115,409,494.96</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F627F" w:rsidRPr="00A13CD0" w:rsidRDefault="000F627F" w:rsidP="00A13CD0">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r>
        <w:rPr>
          <w:rFonts w:hint="eastAsia"/>
          <w:sz w:val="18"/>
          <w:szCs w:val="18"/>
        </w:rPr>
        <w:t>无。</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按组合计提坏账准备：性质组合</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lastRenderedPageBreak/>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应收</w:t>
            </w:r>
            <w:proofErr w:type="gramStart"/>
            <w:r>
              <w:rPr>
                <w:rFonts w:ascii="宋体" w:eastAsia="宋体" w:hAnsi="宋体" w:cs="宋体"/>
                <w:sz w:val="18"/>
                <w:szCs w:val="18"/>
              </w:rPr>
              <w:t>转让博忆股权</w:t>
            </w:r>
            <w:proofErr w:type="gramEnd"/>
            <w:r>
              <w:rPr>
                <w:rFonts w:ascii="宋体" w:eastAsia="宋体" w:hAnsi="宋体" w:cs="宋体"/>
                <w:sz w:val="18"/>
                <w:szCs w:val="18"/>
              </w:rPr>
              <w:t>款</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22,886,000.00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出口退税</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906,223.77</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23,792,223.77</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p>
    <w:p w:rsidR="000F627F" w:rsidRPr="00A13CD0" w:rsidRDefault="000F627F" w:rsidP="00A13CD0">
      <w:pPr>
        <w:pStyle w:val="a3"/>
        <w:ind w:firstLineChars="200" w:firstLine="360"/>
        <w:divId w:val="568342904"/>
        <w:rPr>
          <w:rFonts w:asciiTheme="minorEastAsia" w:eastAsiaTheme="minorEastAsia" w:hAnsiTheme="minorEastAsia"/>
          <w:sz w:val="18"/>
          <w:szCs w:val="18"/>
        </w:rPr>
      </w:pPr>
      <w:r w:rsidRPr="00A13CD0">
        <w:rPr>
          <w:rFonts w:asciiTheme="minorEastAsia" w:eastAsiaTheme="minorEastAsia" w:hAnsiTheme="minorEastAsia" w:cs="Times New Roman"/>
          <w:sz w:val="18"/>
          <w:szCs w:val="18"/>
        </w:rPr>
        <w:t>2023</w:t>
      </w:r>
      <w:r w:rsidRPr="00A13CD0">
        <w:rPr>
          <w:rFonts w:asciiTheme="minorEastAsia" w:eastAsiaTheme="minorEastAsia" w:hAnsiTheme="minorEastAsia" w:hint="eastAsia"/>
          <w:sz w:val="18"/>
          <w:szCs w:val="18"/>
        </w:rPr>
        <w:t>年</w:t>
      </w:r>
      <w:r w:rsidRPr="00A13CD0">
        <w:rPr>
          <w:rFonts w:asciiTheme="minorEastAsia" w:eastAsiaTheme="minorEastAsia" w:hAnsiTheme="minorEastAsia" w:cs="Times New Roman"/>
          <w:sz w:val="18"/>
          <w:szCs w:val="18"/>
        </w:rPr>
        <w:t>10</w:t>
      </w:r>
      <w:r w:rsidRPr="00A13CD0">
        <w:rPr>
          <w:rFonts w:asciiTheme="minorEastAsia" w:eastAsiaTheme="minorEastAsia" w:hAnsiTheme="minorEastAsia" w:hint="eastAsia"/>
          <w:sz w:val="18"/>
          <w:szCs w:val="18"/>
        </w:rPr>
        <w:t>月</w:t>
      </w:r>
      <w:r w:rsidRPr="00A13CD0">
        <w:rPr>
          <w:rFonts w:asciiTheme="minorEastAsia" w:eastAsiaTheme="minorEastAsia" w:hAnsiTheme="minorEastAsia" w:cs="Times New Roman"/>
          <w:sz w:val="18"/>
          <w:szCs w:val="18"/>
        </w:rPr>
        <w:t>24</w:t>
      </w:r>
      <w:r w:rsidRPr="00A13CD0">
        <w:rPr>
          <w:rFonts w:asciiTheme="minorEastAsia" w:eastAsiaTheme="minorEastAsia" w:hAnsiTheme="minorEastAsia" w:hint="eastAsia"/>
          <w:sz w:val="18"/>
          <w:szCs w:val="18"/>
        </w:rPr>
        <w:t>日，子公司浙江鲲驰互联科技有限公司与许栩光、张晚霞签订股权转让协议，浙江鲲驰互联科技有限公司以</w:t>
      </w:r>
      <w:r w:rsidRPr="00A13CD0">
        <w:rPr>
          <w:rFonts w:asciiTheme="minorEastAsia" w:eastAsiaTheme="minorEastAsia" w:hAnsiTheme="minorEastAsia" w:cs="Times New Roman"/>
          <w:sz w:val="18"/>
          <w:szCs w:val="18"/>
        </w:rPr>
        <w:t>4,578.60</w:t>
      </w:r>
      <w:r w:rsidRPr="00A13CD0">
        <w:rPr>
          <w:rFonts w:asciiTheme="minorEastAsia" w:eastAsiaTheme="minorEastAsia" w:hAnsiTheme="minorEastAsia" w:hint="eastAsia"/>
          <w:sz w:val="18"/>
          <w:szCs w:val="18"/>
        </w:rPr>
        <w:t>万元将持有的浙江博忆纺织科技有限公司</w:t>
      </w:r>
      <w:r w:rsidRPr="00A13CD0">
        <w:rPr>
          <w:rFonts w:asciiTheme="minorEastAsia" w:eastAsiaTheme="minorEastAsia" w:hAnsiTheme="minorEastAsia" w:cs="Times New Roman"/>
          <w:sz w:val="18"/>
          <w:szCs w:val="18"/>
        </w:rPr>
        <w:t>51.002%</w:t>
      </w:r>
      <w:r w:rsidRPr="00A13CD0">
        <w:rPr>
          <w:rFonts w:asciiTheme="minorEastAsia" w:eastAsiaTheme="minorEastAsia" w:hAnsiTheme="minorEastAsia" w:hint="eastAsia"/>
          <w:sz w:val="18"/>
          <w:szCs w:val="18"/>
        </w:rPr>
        <w:t>股权转让给许栩光、张晚霞，约定许栩光、张晚霞分两期支付，首期</w:t>
      </w:r>
      <w:r w:rsidRPr="00A13CD0">
        <w:rPr>
          <w:rFonts w:asciiTheme="minorEastAsia" w:eastAsiaTheme="minorEastAsia" w:hAnsiTheme="minorEastAsia" w:cs="Times New Roman"/>
          <w:sz w:val="18"/>
          <w:szCs w:val="18"/>
        </w:rPr>
        <w:t>2,290</w:t>
      </w:r>
      <w:r w:rsidRPr="00A13CD0">
        <w:rPr>
          <w:rFonts w:asciiTheme="minorEastAsia" w:eastAsiaTheme="minorEastAsia" w:hAnsiTheme="minorEastAsia" w:hint="eastAsia"/>
          <w:sz w:val="18"/>
          <w:szCs w:val="18"/>
        </w:rPr>
        <w:t>万元于</w:t>
      </w:r>
      <w:r w:rsidRPr="00A13CD0">
        <w:rPr>
          <w:rFonts w:asciiTheme="minorEastAsia" w:eastAsiaTheme="minorEastAsia" w:hAnsiTheme="minorEastAsia" w:cs="Times New Roman"/>
          <w:sz w:val="18"/>
          <w:szCs w:val="18"/>
        </w:rPr>
        <w:t>2023</w:t>
      </w:r>
      <w:r w:rsidRPr="00A13CD0">
        <w:rPr>
          <w:rFonts w:asciiTheme="minorEastAsia" w:eastAsiaTheme="minorEastAsia" w:hAnsiTheme="minorEastAsia" w:hint="eastAsia"/>
          <w:sz w:val="18"/>
          <w:szCs w:val="18"/>
        </w:rPr>
        <w:t>年支付，剩余</w:t>
      </w:r>
      <w:r w:rsidRPr="00A13CD0">
        <w:rPr>
          <w:rFonts w:asciiTheme="minorEastAsia" w:eastAsiaTheme="minorEastAsia" w:hAnsiTheme="minorEastAsia" w:cs="Times New Roman"/>
          <w:sz w:val="18"/>
          <w:szCs w:val="18"/>
        </w:rPr>
        <w:t>2,288.60</w:t>
      </w:r>
      <w:r w:rsidRPr="00A13CD0">
        <w:rPr>
          <w:rFonts w:asciiTheme="minorEastAsia" w:eastAsiaTheme="minorEastAsia" w:hAnsiTheme="minorEastAsia" w:hint="eastAsia"/>
          <w:sz w:val="18"/>
          <w:szCs w:val="18"/>
        </w:rPr>
        <w:t>万元应于</w:t>
      </w:r>
      <w:r w:rsidRPr="00A13CD0">
        <w:rPr>
          <w:rFonts w:asciiTheme="minorEastAsia" w:eastAsiaTheme="minorEastAsia" w:hAnsiTheme="minorEastAsia" w:cs="Times New Roman"/>
          <w:sz w:val="18"/>
          <w:szCs w:val="18"/>
        </w:rPr>
        <w:t>2024</w:t>
      </w:r>
      <w:r w:rsidRPr="00A13CD0">
        <w:rPr>
          <w:rFonts w:asciiTheme="minorEastAsia" w:eastAsiaTheme="minorEastAsia" w:hAnsiTheme="minorEastAsia" w:hint="eastAsia"/>
          <w:sz w:val="18"/>
          <w:szCs w:val="18"/>
        </w:rPr>
        <w:t>年</w:t>
      </w:r>
      <w:r w:rsidRPr="00A13CD0">
        <w:rPr>
          <w:rFonts w:asciiTheme="minorEastAsia" w:eastAsiaTheme="minorEastAsia" w:hAnsiTheme="minorEastAsia" w:cs="Times New Roman"/>
          <w:sz w:val="18"/>
          <w:szCs w:val="18"/>
        </w:rPr>
        <w:t>-2029</w:t>
      </w:r>
      <w:r w:rsidRPr="00A13CD0">
        <w:rPr>
          <w:rFonts w:asciiTheme="minorEastAsia" w:eastAsiaTheme="minorEastAsia" w:hAnsiTheme="minorEastAsia" w:hint="eastAsia"/>
          <w:sz w:val="18"/>
          <w:szCs w:val="18"/>
        </w:rPr>
        <w:t>年的</w:t>
      </w:r>
      <w:r w:rsidRPr="00A13CD0">
        <w:rPr>
          <w:rFonts w:asciiTheme="minorEastAsia" w:eastAsiaTheme="minorEastAsia" w:hAnsiTheme="minorEastAsia" w:cs="Times New Roman"/>
          <w:sz w:val="18"/>
          <w:szCs w:val="18"/>
        </w:rPr>
        <w:t>6</w:t>
      </w:r>
      <w:r w:rsidRPr="00A13CD0">
        <w:rPr>
          <w:rFonts w:asciiTheme="minorEastAsia" w:eastAsiaTheme="minorEastAsia" w:hAnsiTheme="minorEastAsia" w:hint="eastAsia"/>
          <w:sz w:val="18"/>
          <w:szCs w:val="18"/>
        </w:rPr>
        <w:t xml:space="preserve">年内支付，同时许栩光、张晚霞以其持有的房产作抵押。 </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按预期信用损失一般模型计提坏账准备：</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0D58D8">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2023年1月1日余额</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154,482,095.34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154,482,095.34</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2023年1月1日余额在本期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——转入第三阶段</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-15,716,924.64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15,716,924.64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25,576,766.14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25,576,766.14</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本期核销</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15,716,924.64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15,716,924.64</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其他变动</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-37,711.89</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-37,711.89</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2023年12月31日余额</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164,304,224.95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164,304,224.95</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各阶段划分依据和坏账准备计提比例</w:t>
      </w:r>
    </w:p>
    <w:p w:rsidR="000F627F" w:rsidRDefault="000F627F">
      <w:pPr>
        <w:pStyle w:val="a3"/>
        <w:divId w:val="1093283904"/>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4"/>
        <w:rPr>
          <w:rFonts w:ascii="宋体" w:eastAsia="宋体" w:hAnsi="宋体" w:cs="宋体"/>
          <w:b/>
          <w:bCs/>
          <w:szCs w:val="21"/>
        </w:rPr>
      </w:pPr>
      <w:bookmarkStart w:id="288" w:name="_Toc989175"/>
      <w:r>
        <w:rPr>
          <w:rFonts w:ascii="宋体" w:eastAsia="宋体" w:hAnsi="宋体" w:cs="宋体"/>
          <w:b/>
          <w:bCs/>
          <w:szCs w:val="21"/>
        </w:rPr>
        <w:t>4） 本期计提、收回或转回的坏账准备情况</w:t>
      </w:r>
      <w:bookmarkEnd w:id="288"/>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161"/>
        <w:gridCol w:w="1593"/>
      </w:tblGrid>
      <w:tr w:rsidR="000D58D8" w:rsidTr="00A13CD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29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59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rsidTr="00A13CD0">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转销或核销</w:t>
            </w:r>
          </w:p>
        </w:tc>
        <w:tc>
          <w:tcPr>
            <w:tcW w:w="116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59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rsidTr="00A13CD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按单项计提坏账准备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21,489,642.59</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11,555,888.78</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6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33,045,531.37</w:t>
            </w:r>
          </w:p>
        </w:tc>
      </w:tr>
      <w:tr w:rsidR="000D58D8" w:rsidTr="00A13CD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按组合计提坏账准备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6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A13CD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其中：预期信用风险组合</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32,958,810.08</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1,354,974.93</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15,716,924.64</w:t>
            </w:r>
          </w:p>
        </w:tc>
        <w:tc>
          <w:tcPr>
            <w:tcW w:w="116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-37,711.89</w:t>
            </w:r>
          </w:p>
        </w:tc>
        <w:tc>
          <w:tcPr>
            <w:tcW w:w="159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15,849,198.62</w:t>
            </w:r>
          </w:p>
        </w:tc>
      </w:tr>
      <w:tr w:rsidR="000D58D8" w:rsidTr="00A13CD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      应收财政款组合</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100,033,642.67</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15,375,852.29</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6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115,409,494.96</w:t>
            </w:r>
          </w:p>
        </w:tc>
      </w:tr>
      <w:tr w:rsidR="000D58D8" w:rsidTr="00A13CD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性质组合</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6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A13CD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154,482,095.34</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26,931,741.07</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1,354,974.93</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15,716,924.64</w:t>
            </w:r>
          </w:p>
        </w:tc>
        <w:tc>
          <w:tcPr>
            <w:tcW w:w="116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-37,711.89</w:t>
            </w:r>
          </w:p>
        </w:tc>
        <w:tc>
          <w:tcPr>
            <w:tcW w:w="159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164,304,224.95</w:t>
            </w:r>
          </w:p>
        </w:tc>
      </w:tr>
    </w:tbl>
    <w:p w:rsidR="000F627F" w:rsidRDefault="000F627F">
      <w:pPr>
        <w:pStyle w:val="a3"/>
        <w:divId w:val="454062321"/>
        <w:rPr>
          <w:sz w:val="18"/>
          <w:szCs w:val="18"/>
        </w:rPr>
      </w:pPr>
      <w:r>
        <w:rPr>
          <w:rFonts w:hint="eastAsia"/>
          <w:sz w:val="18"/>
          <w:szCs w:val="18"/>
        </w:rPr>
        <w:t>无。</w:t>
      </w:r>
    </w:p>
    <w:p w:rsidR="000F627F" w:rsidRDefault="000F627F" w:rsidP="00A13CD0">
      <w:pPr>
        <w:spacing w:before="100" w:after="100" w:line="240" w:lineRule="exact"/>
        <w:rPr>
          <w:sz w:val="18"/>
          <w:szCs w:val="18"/>
        </w:rPr>
      </w:pPr>
      <w:r>
        <w:rPr>
          <w:rFonts w:ascii="宋体" w:eastAsia="宋体" w:hAnsi="宋体" w:cs="宋体"/>
          <w:sz w:val="18"/>
          <w:szCs w:val="18"/>
        </w:rPr>
        <w:t>其中本期坏账准备转回或收回金额重要的：</w:t>
      </w:r>
      <w:r>
        <w:rPr>
          <w:rFonts w:hint="eastAsia"/>
          <w:sz w:val="18"/>
          <w:szCs w:val="18"/>
        </w:rPr>
        <w:t>无。</w:t>
      </w:r>
    </w:p>
    <w:p w:rsidR="000D58D8" w:rsidRDefault="000F627F">
      <w:pPr>
        <w:keepNext/>
        <w:keepLines/>
        <w:spacing w:before="300" w:after="300" w:line="280" w:lineRule="exact"/>
        <w:outlineLvl w:val="4"/>
        <w:rPr>
          <w:rFonts w:ascii="宋体" w:eastAsia="宋体" w:hAnsi="宋体" w:cs="宋体"/>
          <w:b/>
          <w:bCs/>
          <w:szCs w:val="21"/>
        </w:rPr>
      </w:pPr>
      <w:bookmarkStart w:id="289" w:name="_Toc989176"/>
      <w:r>
        <w:rPr>
          <w:rFonts w:ascii="宋体" w:eastAsia="宋体" w:hAnsi="宋体" w:cs="宋体"/>
          <w:b/>
          <w:bCs/>
          <w:szCs w:val="21"/>
        </w:rPr>
        <w:t>5） 本期实际核销的其他应收款情况</w:t>
      </w:r>
      <w:bookmarkEnd w:id="289"/>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实际核销的其他应收款</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15,716,924.64</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其中重要的其他应收款核销情况：</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其他应收</w:t>
            </w:r>
            <w:proofErr w:type="gramStart"/>
            <w:r>
              <w:rPr>
                <w:rFonts w:ascii="宋体" w:eastAsia="宋体" w:hAnsi="宋体" w:cs="宋体"/>
                <w:sz w:val="18"/>
                <w:szCs w:val="18"/>
              </w:rPr>
              <w:t>款性质</w:t>
            </w:r>
            <w:proofErr w:type="gramEnd"/>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核销原因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履行的核销程序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款项是否由关联交易产生</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喀什叶城银星商贸有限公司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6,526,497.04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预计无法收回</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公司财经中心核实批准清理</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新疆棉花产业集团有限公司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合并范围外关联方往来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5,700,000.00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已破产，无法收回</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公司财经中心核实批准清理</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陈清华</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3,370,000.00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无法收回</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公司财经中心核实批准清理</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15,596,497.04</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F627F" w:rsidRPr="00A13CD0" w:rsidRDefault="000F627F" w:rsidP="00A13CD0">
      <w:pPr>
        <w:spacing w:before="100" w:after="100" w:line="240" w:lineRule="exact"/>
        <w:rPr>
          <w:rFonts w:ascii="宋体" w:eastAsia="宋体" w:hAnsi="宋体" w:cs="宋体"/>
          <w:sz w:val="18"/>
          <w:szCs w:val="18"/>
        </w:rPr>
      </w:pPr>
      <w:r>
        <w:rPr>
          <w:rFonts w:ascii="宋体" w:eastAsia="宋体" w:hAnsi="宋体" w:cs="宋体"/>
          <w:sz w:val="18"/>
          <w:szCs w:val="18"/>
        </w:rPr>
        <w:t>其他应收款核销说明：</w:t>
      </w:r>
      <w:r>
        <w:rPr>
          <w:rFonts w:hint="eastAsia"/>
          <w:sz w:val="18"/>
          <w:szCs w:val="18"/>
        </w:rPr>
        <w:t>无。</w:t>
      </w:r>
    </w:p>
    <w:p w:rsidR="000D58D8" w:rsidRDefault="000F627F">
      <w:pPr>
        <w:keepNext/>
        <w:keepLines/>
        <w:spacing w:before="300" w:after="300" w:line="280" w:lineRule="exact"/>
        <w:outlineLvl w:val="4"/>
        <w:rPr>
          <w:rFonts w:ascii="宋体" w:eastAsia="宋体" w:hAnsi="宋体" w:cs="宋体"/>
          <w:b/>
          <w:bCs/>
          <w:szCs w:val="21"/>
        </w:rPr>
      </w:pPr>
      <w:bookmarkStart w:id="290" w:name="_Toc989177"/>
      <w:r>
        <w:rPr>
          <w:rFonts w:ascii="宋体" w:eastAsia="宋体" w:hAnsi="宋体" w:cs="宋体"/>
          <w:b/>
          <w:bCs/>
          <w:szCs w:val="21"/>
        </w:rPr>
        <w:t>6） 按欠款方归集的期末余额前五名的其他应收款情况</w:t>
      </w:r>
      <w:bookmarkEnd w:id="290"/>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第一名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政府补助款</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35,966,170.25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1,798,308.51</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2,080,932.53</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1－2年</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0.53%</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208,093.25</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37,360,604.62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3－4年</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9.45%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18,680,302.31</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4,592,600.00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4,592,600.00</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第二名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政府补助款</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10,812,848.46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2.73%</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540,642.42</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239,363.09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3－4年</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119,681.55</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43,158,191.59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10.91%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43,158,191.59</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第三名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应收房产转让款</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40,690,000.00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10.29%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2,034,500.00</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第四名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政府补助款</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3,023,630.31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0.76%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151,181.52</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25,208,133.79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6.37%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25,208,133.79</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第五名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政府补助款</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14,421,605.10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721,080.26</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9,288,046.50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1－2年</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928,804.65</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226,842,126.24</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57.35%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98,141,519.85</w:t>
            </w:r>
          </w:p>
        </w:tc>
      </w:tr>
    </w:tbl>
    <w:p w:rsidR="000D58D8" w:rsidRDefault="000F627F">
      <w:pPr>
        <w:keepNext/>
        <w:keepLines/>
        <w:spacing w:before="300" w:after="300" w:line="280" w:lineRule="exact"/>
        <w:outlineLvl w:val="4"/>
        <w:rPr>
          <w:rFonts w:ascii="宋体" w:eastAsia="宋体" w:hAnsi="宋体" w:cs="宋体"/>
          <w:b/>
          <w:bCs/>
          <w:szCs w:val="21"/>
        </w:rPr>
      </w:pPr>
      <w:bookmarkStart w:id="291" w:name="_Toc989178"/>
      <w:r>
        <w:rPr>
          <w:rFonts w:ascii="宋体" w:eastAsia="宋体" w:hAnsi="宋体" w:cs="宋体"/>
          <w:b/>
          <w:bCs/>
          <w:szCs w:val="21"/>
        </w:rPr>
        <w:lastRenderedPageBreak/>
        <w:t>7） 因资金集中管理而列报于其他应收款</w:t>
      </w:r>
      <w:bookmarkEnd w:id="291"/>
    </w:p>
    <w:p w:rsidR="000F627F" w:rsidRPr="00A13CD0" w:rsidRDefault="000F627F" w:rsidP="00A13CD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292" w:name="_Toc989179"/>
      <w:r>
        <w:rPr>
          <w:rFonts w:ascii="宋体" w:hAnsi="宋体" w:cs="宋体"/>
          <w:b/>
          <w:bCs/>
        </w:rPr>
        <w:t>9、预付款项</w:t>
      </w:r>
      <w:bookmarkEnd w:id="292"/>
    </w:p>
    <w:p w:rsidR="000D58D8" w:rsidRDefault="000F627F">
      <w:pPr>
        <w:keepNext/>
        <w:keepLines/>
        <w:spacing w:before="300" w:after="300" w:line="280" w:lineRule="exact"/>
        <w:outlineLvl w:val="3"/>
        <w:rPr>
          <w:rFonts w:ascii="宋体" w:eastAsia="宋体" w:hAnsi="宋体" w:cs="宋体"/>
          <w:b/>
          <w:bCs/>
          <w:szCs w:val="21"/>
        </w:rPr>
      </w:pPr>
      <w:bookmarkStart w:id="293" w:name="_Toc989180"/>
      <w:r>
        <w:rPr>
          <w:rFonts w:ascii="宋体" w:eastAsia="宋体" w:hAnsi="宋体" w:cs="宋体"/>
          <w:b/>
          <w:bCs/>
          <w:szCs w:val="21"/>
        </w:rPr>
        <w:t>（1） 预付</w:t>
      </w:r>
      <w:proofErr w:type="gramStart"/>
      <w:r>
        <w:rPr>
          <w:rFonts w:ascii="宋体" w:eastAsia="宋体" w:hAnsi="宋体" w:cs="宋体"/>
          <w:b/>
          <w:bCs/>
          <w:szCs w:val="21"/>
        </w:rPr>
        <w:t>款项按账龄</w:t>
      </w:r>
      <w:proofErr w:type="gramEnd"/>
      <w:r>
        <w:rPr>
          <w:rFonts w:ascii="宋体" w:eastAsia="宋体" w:hAnsi="宋体" w:cs="宋体"/>
          <w:b/>
          <w:bCs/>
          <w:szCs w:val="21"/>
        </w:rPr>
        <w:t>列示</w:t>
      </w:r>
      <w:bookmarkEnd w:id="293"/>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608,806,681.75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99.26%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761,496,641.08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99.30%</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3,748,080.54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0.61%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4,001,881.70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0.52%</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756,516.88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1,059,207.52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0.14%</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50,964.83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269,594.54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0.04%</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613,362,244.00</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766,827,324.84</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账龄超过1年且金额重要的预付款项未及时结算原因的说明：</w:t>
      </w:r>
      <w:r w:rsidR="006742FE">
        <w:rPr>
          <w:rFonts w:ascii="宋体" w:eastAsia="宋体" w:hAnsi="宋体" w:cs="宋体"/>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294" w:name="_Toc989181"/>
      <w:r>
        <w:rPr>
          <w:rFonts w:ascii="宋体" w:eastAsia="宋体" w:hAnsi="宋体" w:cs="宋体"/>
          <w:b/>
          <w:bCs/>
          <w:szCs w:val="21"/>
        </w:rPr>
        <w:t>（2） 按预付对象归集的期末余额前五名的预付款情况</w:t>
      </w:r>
      <w:bookmarkEnd w:id="294"/>
    </w:p>
    <w:tbl>
      <w:tblPr>
        <w:tblW w:w="9606" w:type="dxa"/>
        <w:tblCellMar>
          <w:left w:w="0" w:type="dxa"/>
          <w:right w:w="0" w:type="dxa"/>
        </w:tblCellMar>
        <w:tblLook w:val="04A0" w:firstRow="1" w:lastRow="0" w:firstColumn="1" w:lastColumn="0" w:noHBand="0" w:noVBand="1"/>
      </w:tblPr>
      <w:tblGrid>
        <w:gridCol w:w="2646"/>
        <w:gridCol w:w="1576"/>
        <w:gridCol w:w="1840"/>
        <w:gridCol w:w="1701"/>
        <w:gridCol w:w="1843"/>
      </w:tblGrid>
      <w:tr w:rsidR="000F627F" w:rsidRPr="006742FE" w:rsidTr="006742FE">
        <w:trPr>
          <w:divId w:val="694424101"/>
          <w:trHeight w:val="340"/>
          <w:tblHeader/>
        </w:trPr>
        <w:tc>
          <w:tcPr>
            <w:tcW w:w="2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hint="eastAsia"/>
                <w:sz w:val="18"/>
                <w:szCs w:val="18"/>
              </w:rPr>
              <w:t>单位名称</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hint="eastAsia"/>
                <w:sz w:val="18"/>
                <w:szCs w:val="18"/>
              </w:rPr>
              <w:t>期末余额</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ind w:left="-53" w:right="-53"/>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hint="eastAsia"/>
                <w:sz w:val="18"/>
                <w:szCs w:val="18"/>
              </w:rPr>
              <w:t>占预付款项总额的比例</w:t>
            </w:r>
            <w:r w:rsidRPr="006742FE">
              <w:rPr>
                <w:rFonts w:asciiTheme="minorEastAsia" w:eastAsiaTheme="minorEastAsia" w:hAnsiTheme="minorEastAsia" w:cs="Times New Roman"/>
                <w:sz w:val="18"/>
                <w:szCs w:val="18"/>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hint="eastAsia"/>
                <w:sz w:val="18"/>
                <w:szCs w:val="18"/>
              </w:rPr>
              <w:t>预付款时间</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hint="eastAsia"/>
                <w:sz w:val="18"/>
                <w:szCs w:val="18"/>
              </w:rPr>
              <w:t>未结算原因</w:t>
            </w:r>
          </w:p>
        </w:tc>
      </w:tr>
      <w:tr w:rsidR="000F627F" w:rsidRPr="006742FE" w:rsidTr="006742FE">
        <w:trPr>
          <w:divId w:val="694424101"/>
          <w:trHeight w:val="340"/>
        </w:trPr>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rPr>
                <w:rFonts w:asciiTheme="minorEastAsia" w:eastAsiaTheme="minorEastAsia" w:hAnsiTheme="minorEastAsia" w:cs="Times New Roman"/>
                <w:sz w:val="21"/>
                <w:szCs w:val="21"/>
              </w:rPr>
            </w:pPr>
            <w:r w:rsidRPr="006742FE">
              <w:rPr>
                <w:rFonts w:asciiTheme="minorEastAsia" w:eastAsiaTheme="minorEastAsia" w:hAnsiTheme="minorEastAsia" w:cs="Times New Roman" w:hint="eastAsia"/>
                <w:sz w:val="18"/>
                <w:szCs w:val="18"/>
              </w:rPr>
              <w:t>第一名</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right"/>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117,859,346.61</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18.38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 xml:space="preserve">1 </w:t>
            </w:r>
            <w:r w:rsidRPr="006742FE">
              <w:rPr>
                <w:rFonts w:asciiTheme="minorEastAsia" w:eastAsiaTheme="minorEastAsia" w:hAnsiTheme="minorEastAsia" w:cs="Times New Roman" w:hint="eastAsia"/>
                <w:sz w:val="18"/>
                <w:szCs w:val="18"/>
              </w:rPr>
              <w:t>年以内</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hint="eastAsia"/>
                <w:sz w:val="18"/>
                <w:szCs w:val="18"/>
              </w:rPr>
              <w:t>合同未执行完毕</w:t>
            </w:r>
          </w:p>
        </w:tc>
      </w:tr>
      <w:tr w:rsidR="000F627F" w:rsidRPr="006742FE" w:rsidTr="006742FE">
        <w:trPr>
          <w:divId w:val="694424101"/>
          <w:trHeight w:val="340"/>
        </w:trPr>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第二名</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right"/>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78,037,410.09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12.17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 xml:space="preserve">1 </w:t>
            </w:r>
            <w:r w:rsidRPr="006742FE">
              <w:rPr>
                <w:rFonts w:asciiTheme="minorEastAsia" w:eastAsiaTheme="minorEastAsia" w:hAnsiTheme="minorEastAsia" w:cs="Times New Roman" w:hint="eastAsia"/>
                <w:sz w:val="18"/>
                <w:szCs w:val="18"/>
              </w:rPr>
              <w:t>年以内</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hint="eastAsia"/>
                <w:sz w:val="18"/>
                <w:szCs w:val="18"/>
              </w:rPr>
              <w:t>合同未执行完毕</w:t>
            </w:r>
          </w:p>
        </w:tc>
      </w:tr>
      <w:tr w:rsidR="000F627F" w:rsidRPr="006742FE" w:rsidTr="006742FE">
        <w:trPr>
          <w:divId w:val="694424101"/>
          <w:trHeight w:val="340"/>
        </w:trPr>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rPr>
                <w:rFonts w:asciiTheme="minorEastAsia" w:eastAsiaTheme="minorEastAsia" w:hAnsiTheme="minorEastAsia" w:cs="Times New Roman"/>
                <w:sz w:val="21"/>
                <w:szCs w:val="21"/>
              </w:rPr>
            </w:pPr>
            <w:r w:rsidRPr="006742FE">
              <w:rPr>
                <w:rFonts w:asciiTheme="minorEastAsia" w:eastAsiaTheme="minorEastAsia" w:hAnsiTheme="minorEastAsia" w:cs="Times New Roman" w:hint="eastAsia"/>
                <w:sz w:val="18"/>
                <w:szCs w:val="18"/>
              </w:rPr>
              <w:t>第三名</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right"/>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55,302,000.00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8.63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 xml:space="preserve">1 </w:t>
            </w:r>
            <w:r w:rsidRPr="006742FE">
              <w:rPr>
                <w:rFonts w:asciiTheme="minorEastAsia" w:eastAsiaTheme="minorEastAsia" w:hAnsiTheme="minorEastAsia" w:cs="Times New Roman" w:hint="eastAsia"/>
                <w:sz w:val="18"/>
                <w:szCs w:val="18"/>
              </w:rPr>
              <w:t>年以内</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hint="eastAsia"/>
                <w:sz w:val="18"/>
                <w:szCs w:val="18"/>
              </w:rPr>
              <w:t>合同未执行完毕</w:t>
            </w:r>
          </w:p>
        </w:tc>
      </w:tr>
      <w:tr w:rsidR="000F627F" w:rsidRPr="006742FE" w:rsidTr="006742FE">
        <w:trPr>
          <w:divId w:val="694424101"/>
          <w:trHeight w:val="340"/>
        </w:trPr>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rPr>
                <w:rFonts w:asciiTheme="minorEastAsia" w:eastAsiaTheme="minorEastAsia" w:hAnsiTheme="minorEastAsia" w:cs="Times New Roman"/>
                <w:sz w:val="21"/>
                <w:szCs w:val="21"/>
              </w:rPr>
            </w:pPr>
            <w:r w:rsidRPr="006742FE">
              <w:rPr>
                <w:rFonts w:asciiTheme="minorEastAsia" w:eastAsiaTheme="minorEastAsia" w:hAnsiTheme="minorEastAsia" w:cs="Times New Roman" w:hint="eastAsia"/>
                <w:sz w:val="18"/>
                <w:szCs w:val="18"/>
              </w:rPr>
              <w:t>第四名</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right"/>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51,552,000.00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8.04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 xml:space="preserve">1 </w:t>
            </w:r>
            <w:r w:rsidRPr="006742FE">
              <w:rPr>
                <w:rFonts w:asciiTheme="minorEastAsia" w:eastAsiaTheme="minorEastAsia" w:hAnsiTheme="minorEastAsia" w:cs="Times New Roman" w:hint="eastAsia"/>
                <w:sz w:val="18"/>
                <w:szCs w:val="18"/>
              </w:rPr>
              <w:t>年以内</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hint="eastAsia"/>
                <w:sz w:val="18"/>
                <w:szCs w:val="18"/>
              </w:rPr>
              <w:t>合同未执行完毕</w:t>
            </w:r>
          </w:p>
        </w:tc>
      </w:tr>
      <w:tr w:rsidR="000F627F" w:rsidRPr="006742FE" w:rsidTr="006742FE">
        <w:trPr>
          <w:divId w:val="694424101"/>
          <w:trHeight w:val="340"/>
        </w:trPr>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rPr>
                <w:rFonts w:asciiTheme="minorEastAsia" w:eastAsiaTheme="minorEastAsia" w:hAnsiTheme="minorEastAsia" w:cs="Times New Roman"/>
                <w:sz w:val="21"/>
                <w:szCs w:val="21"/>
              </w:rPr>
            </w:pPr>
            <w:r w:rsidRPr="006742FE">
              <w:rPr>
                <w:rFonts w:asciiTheme="minorEastAsia" w:eastAsiaTheme="minorEastAsia" w:hAnsiTheme="minorEastAsia" w:cs="Times New Roman" w:hint="eastAsia"/>
                <w:sz w:val="18"/>
                <w:szCs w:val="18"/>
              </w:rPr>
              <w:t>第五名</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right"/>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42,778,920.42</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6.67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 xml:space="preserve">1 </w:t>
            </w:r>
            <w:r w:rsidRPr="006742FE">
              <w:rPr>
                <w:rFonts w:asciiTheme="minorEastAsia" w:eastAsiaTheme="minorEastAsia" w:hAnsiTheme="minorEastAsia" w:cs="Times New Roman" w:hint="eastAsia"/>
                <w:sz w:val="18"/>
                <w:szCs w:val="18"/>
              </w:rPr>
              <w:t>年以内</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hint="eastAsia"/>
                <w:sz w:val="18"/>
                <w:szCs w:val="18"/>
              </w:rPr>
              <w:t>合同未执行完毕</w:t>
            </w:r>
          </w:p>
        </w:tc>
      </w:tr>
      <w:tr w:rsidR="000F627F" w:rsidRPr="006742FE" w:rsidTr="006742FE">
        <w:trPr>
          <w:divId w:val="694424101"/>
          <w:trHeight w:val="340"/>
        </w:trPr>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hint="eastAsia"/>
                <w:sz w:val="18"/>
                <w:szCs w:val="18"/>
              </w:rPr>
              <w:t>合计</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right"/>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345,529,677.12</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53.89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6742FE" w:rsidRDefault="000F627F">
            <w:pPr>
              <w:pStyle w:val="a3"/>
              <w:spacing w:before="0" w:beforeAutospacing="0" w:after="0" w:afterAutospacing="0"/>
              <w:rPr>
                <w:rFonts w:asciiTheme="minorEastAsia" w:eastAsiaTheme="minorEastAsia" w:hAnsiTheme="minorEastAsia" w:cs="Times New Roman"/>
                <w:sz w:val="21"/>
                <w:szCs w:val="21"/>
              </w:rPr>
            </w:pPr>
            <w:r w:rsidRPr="006742FE">
              <w:rPr>
                <w:rFonts w:asciiTheme="minorEastAsia" w:eastAsiaTheme="minorEastAsia" w:hAnsiTheme="minorEastAsia" w:cs="Times New Roman"/>
                <w:sz w:val="18"/>
                <w:szCs w:val="18"/>
              </w:rPr>
              <w:t> </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295" w:name="_Toc989182"/>
      <w:r>
        <w:rPr>
          <w:rFonts w:ascii="宋体" w:hAnsi="宋体" w:cs="宋体"/>
          <w:b/>
          <w:bCs/>
        </w:rPr>
        <w:t>10、存货</w:t>
      </w:r>
      <w:bookmarkEnd w:id="295"/>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公司是否需要遵守房地产行业的披露要求</w:t>
      </w:r>
    </w:p>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否</w:t>
      </w:r>
      <w:proofErr w:type="gramEnd"/>
    </w:p>
    <w:p w:rsidR="000D58D8" w:rsidRDefault="000F627F">
      <w:pPr>
        <w:keepNext/>
        <w:keepLines/>
        <w:spacing w:before="300" w:after="300" w:line="280" w:lineRule="exact"/>
        <w:outlineLvl w:val="3"/>
        <w:rPr>
          <w:rFonts w:ascii="宋体" w:eastAsia="宋体" w:hAnsi="宋体" w:cs="宋体"/>
          <w:b/>
          <w:bCs/>
          <w:szCs w:val="21"/>
        </w:rPr>
      </w:pPr>
      <w:bookmarkStart w:id="296" w:name="_Toc989183"/>
      <w:r>
        <w:rPr>
          <w:rFonts w:ascii="宋体" w:eastAsia="宋体" w:hAnsi="宋体" w:cs="宋体"/>
          <w:b/>
          <w:bCs/>
          <w:szCs w:val="21"/>
        </w:rPr>
        <w:t>（1） 存货分类</w:t>
      </w:r>
      <w:bookmarkEnd w:id="296"/>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0D58D8">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2,492,733,151.22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3,556,409.24</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2,489,176,741.98</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2,993,589,109.46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86,680,947.48</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2,906,908,161.98</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在产品</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163,932,330.28</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3,233,890.46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160,698,439.82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249,390,977.12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15,406,278.32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233,984,698.80</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库存商品</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2,253,552,128.04</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66,423,579.54</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2,187,128,548.50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2,222,220,838.86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203,551,247.41</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2,018,669,591.45</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周转材料</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5,045,546.96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5,045,546.96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17,762,008.12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17,762,008.12</w:t>
            </w:r>
          </w:p>
        </w:tc>
      </w:tr>
      <w:tr w:rsidR="000D58D8" w:rsidTr="006742F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发出商品</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10,705,222.84</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10,705,222.84</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26,891,246.86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26,891,246.86</w:t>
            </w:r>
          </w:p>
        </w:tc>
      </w:tr>
      <w:tr w:rsidR="000D58D8" w:rsidTr="006742F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委托加工物资</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1,412,778.27</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1,412,778.27</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3,770,596.29</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3,770,596.29</w:t>
            </w:r>
          </w:p>
        </w:tc>
      </w:tr>
      <w:tr w:rsidR="000D58D8" w:rsidTr="006742F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自制半成品</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153,299,308.76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153,299,308.76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129,511,877.34</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129,511,877.34</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5,080,680,466.37</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73,213,879.24</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5,007,466,587.13</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5,643,136,654.05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305,638,473.21</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5,337,498,180.84</w:t>
            </w:r>
          </w:p>
        </w:tc>
      </w:tr>
    </w:tbl>
    <w:p w:rsidR="000D58D8" w:rsidRDefault="000F627F">
      <w:pPr>
        <w:keepNext/>
        <w:keepLines/>
        <w:spacing w:before="300" w:after="300" w:line="280" w:lineRule="exact"/>
        <w:outlineLvl w:val="3"/>
        <w:rPr>
          <w:rFonts w:ascii="宋体" w:eastAsia="宋体" w:hAnsi="宋体" w:cs="宋体"/>
          <w:b/>
          <w:bCs/>
          <w:szCs w:val="21"/>
        </w:rPr>
      </w:pPr>
      <w:bookmarkStart w:id="297" w:name="_Toc989184"/>
      <w:r>
        <w:rPr>
          <w:rFonts w:ascii="宋体" w:eastAsia="宋体" w:hAnsi="宋体" w:cs="宋体"/>
          <w:b/>
          <w:bCs/>
          <w:szCs w:val="21"/>
        </w:rPr>
        <w:t>（2） 存货跌价准备和合同履约成本减值准备</w:t>
      </w:r>
      <w:bookmarkEnd w:id="29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0D58D8">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转回或转销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86,680,947.48</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82,079,645.57</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1,044,892.67</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3,556,409.24</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在产品</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15,406,278.32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2,493,162.85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14,581,699.25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83,851.46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3,233,890.46</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203,551,247.41</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135,867,112.73</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1,260,555.14</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66,423,579.54</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305,638,473.21</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2,493,162.85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232,528,457.55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2,389,299.27</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73,213,879.24</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按组合计提存货跌价准备</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按组合计提存货跌价准备的计提标准</w:t>
      </w:r>
    </w:p>
    <w:p w:rsidR="000F627F" w:rsidRPr="006742FE" w:rsidRDefault="006742FE">
      <w:pPr>
        <w:divId w:val="230770151"/>
        <w:rPr>
          <w:sz w:val="18"/>
          <w:szCs w:val="18"/>
        </w:rPr>
      </w:pPr>
      <w:r>
        <w:rPr>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298" w:name="_Toc989185"/>
      <w:r>
        <w:rPr>
          <w:rFonts w:ascii="宋体" w:eastAsia="宋体" w:hAnsi="宋体" w:cs="宋体"/>
          <w:b/>
          <w:bCs/>
          <w:szCs w:val="21"/>
        </w:rPr>
        <w:t>（3） 存货期末余额含有借款费用资本</w:t>
      </w:r>
      <w:proofErr w:type="gramStart"/>
      <w:r>
        <w:rPr>
          <w:rFonts w:ascii="宋体" w:eastAsia="宋体" w:hAnsi="宋体" w:cs="宋体"/>
          <w:b/>
          <w:bCs/>
          <w:szCs w:val="21"/>
        </w:rPr>
        <w:t>化金额</w:t>
      </w:r>
      <w:proofErr w:type="gramEnd"/>
      <w:r>
        <w:rPr>
          <w:rFonts w:ascii="宋体" w:eastAsia="宋体" w:hAnsi="宋体" w:cs="宋体"/>
          <w:b/>
          <w:bCs/>
          <w:szCs w:val="21"/>
        </w:rPr>
        <w:t>的说明</w:t>
      </w:r>
      <w:bookmarkEnd w:id="298"/>
    </w:p>
    <w:p w:rsidR="000F627F" w:rsidRDefault="000F627F">
      <w:pPr>
        <w:pStyle w:val="a3"/>
        <w:divId w:val="1535117067"/>
        <w:rPr>
          <w:sz w:val="18"/>
          <w:szCs w:val="18"/>
        </w:rPr>
      </w:pP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299" w:name="_Toc989186"/>
      <w:r>
        <w:rPr>
          <w:rFonts w:ascii="宋体" w:eastAsia="宋体" w:hAnsi="宋体" w:cs="宋体"/>
          <w:b/>
          <w:bCs/>
          <w:szCs w:val="21"/>
        </w:rPr>
        <w:t>（4） 合同履约成本本期摊销金额的说明</w:t>
      </w:r>
      <w:bookmarkEnd w:id="299"/>
    </w:p>
    <w:p w:rsidR="000F627F" w:rsidRDefault="000F627F">
      <w:pPr>
        <w:pStyle w:val="a3"/>
        <w:divId w:val="795873970"/>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300" w:name="_Toc989187"/>
      <w:r>
        <w:rPr>
          <w:rFonts w:ascii="宋体" w:hAnsi="宋体" w:cs="宋体"/>
          <w:b/>
          <w:bCs/>
        </w:rPr>
        <w:t>11、持有待售资产</w:t>
      </w:r>
      <w:bookmarkEnd w:id="300"/>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301" w:name="_Toc989188"/>
      <w:r>
        <w:rPr>
          <w:rFonts w:ascii="宋体" w:hAnsi="宋体" w:cs="宋体"/>
          <w:b/>
          <w:bCs/>
        </w:rPr>
        <w:t>12、一年内到期的非流动资产</w:t>
      </w:r>
      <w:bookmarkEnd w:id="301"/>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一年内到期的长期应收款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2,931,142.48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1,540,187.78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2,931,142.48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1,540,187.78</w:t>
            </w:r>
          </w:p>
        </w:tc>
      </w:tr>
    </w:tbl>
    <w:p w:rsidR="000D58D8" w:rsidRDefault="000F627F">
      <w:pPr>
        <w:keepNext/>
        <w:keepLines/>
        <w:spacing w:before="300" w:after="300" w:line="280" w:lineRule="exact"/>
        <w:outlineLvl w:val="3"/>
        <w:rPr>
          <w:rFonts w:ascii="宋体" w:eastAsia="宋体" w:hAnsi="宋体" w:cs="宋体"/>
          <w:b/>
          <w:bCs/>
          <w:szCs w:val="21"/>
        </w:rPr>
      </w:pPr>
      <w:bookmarkStart w:id="302" w:name="_Toc989189"/>
      <w:r>
        <w:rPr>
          <w:rFonts w:ascii="宋体" w:eastAsia="宋体" w:hAnsi="宋体" w:cs="宋体"/>
          <w:b/>
          <w:bCs/>
          <w:szCs w:val="21"/>
        </w:rPr>
        <w:lastRenderedPageBreak/>
        <w:t>（1） 一年内到期的债权投资</w:t>
      </w:r>
      <w:bookmarkEnd w:id="30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Cs w:val="21"/>
        </w:rPr>
      </w:pPr>
      <w:bookmarkStart w:id="303" w:name="_Toc989190"/>
      <w:r>
        <w:rPr>
          <w:rFonts w:ascii="宋体" w:eastAsia="宋体" w:hAnsi="宋体" w:cs="宋体"/>
          <w:b/>
          <w:bCs/>
          <w:szCs w:val="21"/>
        </w:rPr>
        <w:t>（2） 一年内到期的其他债权投资</w:t>
      </w:r>
      <w:bookmarkEnd w:id="30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304" w:name="_Toc989191"/>
      <w:r>
        <w:rPr>
          <w:rFonts w:ascii="宋体" w:hAnsi="宋体" w:cs="宋体"/>
          <w:b/>
          <w:bCs/>
        </w:rPr>
        <w:t>13、其他流动资产</w:t>
      </w:r>
      <w:bookmarkEnd w:id="304"/>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增值税留抵扣额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118,468,377.90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156,323,361.62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以</w:t>
            </w:r>
            <w:proofErr w:type="gramStart"/>
            <w:r>
              <w:rPr>
                <w:rFonts w:ascii="宋体" w:eastAsia="宋体" w:hAnsi="宋体" w:cs="宋体"/>
                <w:sz w:val="18"/>
                <w:szCs w:val="18"/>
              </w:rPr>
              <w:t>抵销</w:t>
            </w:r>
            <w:proofErr w:type="gramEnd"/>
            <w:r>
              <w:rPr>
                <w:rFonts w:ascii="宋体" w:eastAsia="宋体" w:hAnsi="宋体" w:cs="宋体"/>
                <w:sz w:val="18"/>
                <w:szCs w:val="18"/>
              </w:rPr>
              <w:t>后净额列示的所得税预缴税额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6,622,702.65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15,339,092.28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125,091,080.55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171,662,453.90</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305" w:name="_Toc989192"/>
      <w:r>
        <w:rPr>
          <w:rFonts w:ascii="宋体" w:hAnsi="宋体" w:cs="宋体"/>
          <w:b/>
          <w:bCs/>
        </w:rPr>
        <w:t>14、债权投资</w:t>
      </w:r>
      <w:bookmarkEnd w:id="305"/>
    </w:p>
    <w:p w:rsidR="000D58D8" w:rsidRDefault="000F627F">
      <w:pPr>
        <w:keepNext/>
        <w:keepLines/>
        <w:spacing w:before="300" w:after="300" w:line="280" w:lineRule="exact"/>
        <w:outlineLvl w:val="3"/>
        <w:rPr>
          <w:rFonts w:ascii="宋体" w:eastAsia="宋体" w:hAnsi="宋体" w:cs="宋体"/>
          <w:b/>
          <w:bCs/>
          <w:szCs w:val="21"/>
        </w:rPr>
      </w:pPr>
      <w:bookmarkStart w:id="306" w:name="_Toc989193"/>
      <w:r>
        <w:rPr>
          <w:rFonts w:ascii="宋体" w:eastAsia="宋体" w:hAnsi="宋体" w:cs="宋体"/>
          <w:b/>
          <w:bCs/>
          <w:szCs w:val="21"/>
        </w:rPr>
        <w:t>（1） 债权投资的情况</w:t>
      </w:r>
      <w:bookmarkEnd w:id="306"/>
    </w:p>
    <w:p w:rsidR="000D58D8" w:rsidRDefault="000F627F">
      <w:pPr>
        <w:keepNext/>
        <w:keepLines/>
        <w:spacing w:before="300" w:after="300" w:line="280" w:lineRule="exact"/>
        <w:outlineLvl w:val="3"/>
        <w:rPr>
          <w:rFonts w:ascii="宋体" w:eastAsia="宋体" w:hAnsi="宋体" w:cs="宋体"/>
          <w:b/>
          <w:bCs/>
          <w:szCs w:val="21"/>
        </w:rPr>
      </w:pPr>
      <w:bookmarkStart w:id="307" w:name="_Toc989194"/>
      <w:r>
        <w:rPr>
          <w:rFonts w:ascii="宋体" w:eastAsia="宋体" w:hAnsi="宋体" w:cs="宋体"/>
          <w:b/>
          <w:bCs/>
          <w:szCs w:val="21"/>
        </w:rPr>
        <w:t>（2） 期末重要的债权投资</w:t>
      </w:r>
      <w:bookmarkEnd w:id="307"/>
    </w:p>
    <w:p w:rsidR="006742FE" w:rsidRDefault="000F627F" w:rsidP="006742FE">
      <w:pPr>
        <w:keepNext/>
        <w:keepLines/>
        <w:spacing w:before="300" w:after="300" w:line="280" w:lineRule="exact"/>
        <w:outlineLvl w:val="3"/>
        <w:rPr>
          <w:rFonts w:ascii="宋体" w:eastAsia="宋体" w:hAnsi="宋体" w:cs="宋体"/>
          <w:b/>
          <w:bCs/>
          <w:szCs w:val="21"/>
        </w:rPr>
      </w:pPr>
      <w:bookmarkStart w:id="308" w:name="_Toc989195"/>
      <w:r>
        <w:rPr>
          <w:rFonts w:ascii="宋体" w:eastAsia="宋体" w:hAnsi="宋体" w:cs="宋体"/>
          <w:b/>
          <w:bCs/>
          <w:szCs w:val="21"/>
        </w:rPr>
        <w:t>（3） 减值准备计提情况</w:t>
      </w:r>
      <w:bookmarkEnd w:id="308"/>
    </w:p>
    <w:p w:rsidR="000D58D8" w:rsidRDefault="000F627F">
      <w:pPr>
        <w:keepNext/>
        <w:keepLines/>
        <w:spacing w:before="300" w:after="300" w:line="280" w:lineRule="exact"/>
        <w:outlineLvl w:val="3"/>
        <w:rPr>
          <w:rFonts w:ascii="宋体" w:eastAsia="宋体" w:hAnsi="宋体" w:cs="宋体"/>
          <w:b/>
          <w:bCs/>
          <w:szCs w:val="21"/>
        </w:rPr>
      </w:pPr>
      <w:bookmarkStart w:id="309" w:name="_Toc989196"/>
      <w:r>
        <w:rPr>
          <w:rFonts w:ascii="宋体" w:eastAsia="宋体" w:hAnsi="宋体" w:cs="宋体"/>
          <w:b/>
          <w:bCs/>
          <w:szCs w:val="21"/>
        </w:rPr>
        <w:t>（4） 本期实际核销的债权投资情况</w:t>
      </w:r>
      <w:bookmarkEnd w:id="30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6742FE">
        <w:rPr>
          <w:rFonts w:ascii="宋体" w:eastAsia="宋体" w:hAnsi="宋体" w:cs="宋体"/>
          <w:sz w:val="18"/>
          <w:szCs w:val="18"/>
        </w:rPr>
        <w:t>无</w:t>
      </w:r>
    </w:p>
    <w:p w:rsidR="000D58D8" w:rsidRDefault="000F627F">
      <w:pPr>
        <w:pStyle w:val="3"/>
        <w:spacing w:line="280" w:lineRule="exact"/>
        <w:jc w:val="left"/>
        <w:rPr>
          <w:rFonts w:ascii="宋体" w:hAnsi="宋体" w:cs="宋体"/>
          <w:b/>
          <w:bCs/>
        </w:rPr>
      </w:pPr>
      <w:bookmarkStart w:id="310" w:name="_Toc989197"/>
      <w:r>
        <w:rPr>
          <w:rFonts w:ascii="宋体" w:hAnsi="宋体" w:cs="宋体"/>
          <w:b/>
          <w:bCs/>
        </w:rPr>
        <w:t>15、其他债权投资</w:t>
      </w:r>
      <w:bookmarkEnd w:id="310"/>
    </w:p>
    <w:p w:rsidR="000D58D8" w:rsidRDefault="000F627F">
      <w:pPr>
        <w:keepNext/>
        <w:keepLines/>
        <w:spacing w:before="300" w:after="300" w:line="280" w:lineRule="exact"/>
        <w:outlineLvl w:val="3"/>
        <w:rPr>
          <w:rFonts w:ascii="宋体" w:eastAsia="宋体" w:hAnsi="宋体" w:cs="宋体"/>
          <w:b/>
          <w:bCs/>
          <w:szCs w:val="21"/>
        </w:rPr>
      </w:pPr>
      <w:bookmarkStart w:id="311" w:name="_Toc989198"/>
      <w:r>
        <w:rPr>
          <w:rFonts w:ascii="宋体" w:eastAsia="宋体" w:hAnsi="宋体" w:cs="宋体"/>
          <w:b/>
          <w:bCs/>
          <w:szCs w:val="21"/>
        </w:rPr>
        <w:t>（1） 其他债权投资的情况</w:t>
      </w:r>
      <w:bookmarkEnd w:id="311"/>
    </w:p>
    <w:p w:rsidR="000D58D8" w:rsidRDefault="000F627F">
      <w:pPr>
        <w:keepNext/>
        <w:keepLines/>
        <w:spacing w:before="300" w:after="300" w:line="280" w:lineRule="exact"/>
        <w:outlineLvl w:val="3"/>
        <w:rPr>
          <w:rFonts w:ascii="宋体" w:eastAsia="宋体" w:hAnsi="宋体" w:cs="宋体"/>
          <w:b/>
          <w:bCs/>
          <w:szCs w:val="21"/>
        </w:rPr>
      </w:pPr>
      <w:bookmarkStart w:id="312" w:name="_Toc989199"/>
      <w:r>
        <w:rPr>
          <w:rFonts w:ascii="宋体" w:eastAsia="宋体" w:hAnsi="宋体" w:cs="宋体"/>
          <w:b/>
          <w:bCs/>
          <w:szCs w:val="21"/>
        </w:rPr>
        <w:t>（2） 期末重要的其他债权投资</w:t>
      </w:r>
      <w:bookmarkEnd w:id="312"/>
    </w:p>
    <w:p w:rsidR="000D58D8" w:rsidRDefault="000F627F" w:rsidP="006742FE">
      <w:pPr>
        <w:keepNext/>
        <w:keepLines/>
        <w:spacing w:before="300" w:after="300" w:line="280" w:lineRule="exact"/>
        <w:outlineLvl w:val="3"/>
        <w:rPr>
          <w:rFonts w:ascii="宋体" w:eastAsia="宋体" w:hAnsi="宋体" w:cs="宋体"/>
          <w:sz w:val="18"/>
          <w:szCs w:val="18"/>
        </w:rPr>
      </w:pPr>
      <w:bookmarkStart w:id="313" w:name="_Toc989200"/>
      <w:r>
        <w:rPr>
          <w:rFonts w:ascii="宋体" w:eastAsia="宋体" w:hAnsi="宋体" w:cs="宋体"/>
          <w:b/>
          <w:bCs/>
          <w:szCs w:val="21"/>
        </w:rPr>
        <w:t>（3） 减值准备计提情况</w:t>
      </w:r>
      <w:bookmarkEnd w:id="313"/>
    </w:p>
    <w:p w:rsidR="000D58D8" w:rsidRDefault="000F627F">
      <w:pPr>
        <w:keepNext/>
        <w:keepLines/>
        <w:spacing w:before="300" w:after="300" w:line="280" w:lineRule="exact"/>
        <w:outlineLvl w:val="3"/>
        <w:rPr>
          <w:rFonts w:ascii="宋体" w:eastAsia="宋体" w:hAnsi="宋体" w:cs="宋体"/>
          <w:b/>
          <w:bCs/>
          <w:szCs w:val="21"/>
        </w:rPr>
      </w:pPr>
      <w:bookmarkStart w:id="314" w:name="_Toc989201"/>
      <w:r>
        <w:rPr>
          <w:rFonts w:ascii="宋体" w:eastAsia="宋体" w:hAnsi="宋体" w:cs="宋体"/>
          <w:b/>
          <w:bCs/>
          <w:szCs w:val="21"/>
        </w:rPr>
        <w:t>（4） 本期实际核销的其他债权投资情况</w:t>
      </w:r>
      <w:bookmarkEnd w:id="314"/>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6742FE">
        <w:rPr>
          <w:rFonts w:ascii="宋体" w:eastAsia="宋体" w:hAnsi="宋体" w:cs="宋体"/>
          <w:sz w:val="18"/>
          <w:szCs w:val="18"/>
        </w:rPr>
        <w:t>无</w:t>
      </w:r>
    </w:p>
    <w:p w:rsidR="000D58D8" w:rsidRDefault="000F627F">
      <w:pPr>
        <w:pStyle w:val="3"/>
        <w:spacing w:line="280" w:lineRule="exact"/>
        <w:jc w:val="left"/>
        <w:rPr>
          <w:rFonts w:ascii="宋体" w:hAnsi="宋体" w:cs="宋体"/>
          <w:b/>
          <w:bCs/>
        </w:rPr>
      </w:pPr>
      <w:bookmarkStart w:id="315" w:name="_Toc989202"/>
      <w:r>
        <w:rPr>
          <w:rFonts w:ascii="宋体" w:hAnsi="宋体" w:cs="宋体"/>
          <w:b/>
          <w:bCs/>
        </w:rPr>
        <w:t>16、其他权益工具投资</w:t>
      </w:r>
      <w:bookmarkEnd w:id="315"/>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项目名称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本期计入其他综合收益的利得</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本期计入其他综合收益的损失</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本期末累计计入其他综合收益的利得</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本期末累计计入其他综合收益的损失</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本期确认的股利收入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指定为以公允价值计量且其变动计入其他综合收益的原因</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浙江八达股份有限公司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浙江凯旋股份有限公司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65,945.90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65,945.90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石河子国民村镇银行有限责任公司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850,000.00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杭州英涉时装</w:t>
            </w:r>
            <w:proofErr w:type="gramEnd"/>
            <w:r>
              <w:rPr>
                <w:rFonts w:ascii="宋体" w:eastAsia="宋体" w:hAnsi="宋体" w:cs="宋体"/>
                <w:sz w:val="18"/>
                <w:szCs w:val="18"/>
              </w:rPr>
              <w:t>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7,830,000.00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7,830,000.00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徽商银行股份有限公司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54,754,746.91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56,479,234.53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1,724,487.62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3,288,739.67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深圳市华泰瑞麟股权投资基金合伙企业（有限合伙）</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2,757,603.92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市传澄</w:t>
            </w:r>
            <w:proofErr w:type="gramEnd"/>
            <w:r>
              <w:rPr>
                <w:rFonts w:ascii="宋体" w:eastAsia="宋体" w:hAnsi="宋体" w:cs="宋体"/>
                <w:sz w:val="18"/>
                <w:szCs w:val="18"/>
              </w:rPr>
              <w:t>电子商务有限公司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金华市先</w:t>
            </w:r>
            <w:proofErr w:type="gramStart"/>
            <w:r>
              <w:rPr>
                <w:rFonts w:ascii="宋体" w:eastAsia="宋体" w:hAnsi="宋体" w:cs="宋体"/>
                <w:sz w:val="18"/>
                <w:szCs w:val="18"/>
              </w:rPr>
              <w:t>智数字</w:t>
            </w:r>
            <w:proofErr w:type="gramEnd"/>
            <w:r>
              <w:rPr>
                <w:rFonts w:ascii="宋体" w:eastAsia="宋体" w:hAnsi="宋体" w:cs="宋体"/>
                <w:sz w:val="18"/>
                <w:szCs w:val="18"/>
              </w:rPr>
              <w:t>科技有限公司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浙样文化</w:t>
            </w:r>
            <w:proofErr w:type="gramEnd"/>
            <w:r>
              <w:rPr>
                <w:rFonts w:ascii="宋体" w:eastAsia="宋体" w:hAnsi="宋体" w:cs="宋体"/>
                <w:sz w:val="18"/>
                <w:szCs w:val="18"/>
              </w:rPr>
              <w:t>科技（金华）有限公司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72,500.00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金华</w:t>
            </w:r>
            <w:proofErr w:type="gramStart"/>
            <w:r>
              <w:rPr>
                <w:rFonts w:ascii="宋体" w:eastAsia="宋体" w:hAnsi="宋体" w:cs="宋体"/>
                <w:sz w:val="18"/>
                <w:szCs w:val="18"/>
              </w:rPr>
              <w:t>市企源科技</w:t>
            </w:r>
            <w:proofErr w:type="gramEnd"/>
            <w:r>
              <w:rPr>
                <w:rFonts w:ascii="宋体" w:eastAsia="宋体" w:hAnsi="宋体" w:cs="宋体"/>
                <w:sz w:val="18"/>
                <w:szCs w:val="18"/>
              </w:rPr>
              <w:t>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84,000.00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锦</w:t>
            </w:r>
            <w:proofErr w:type="gramStart"/>
            <w:r>
              <w:rPr>
                <w:rFonts w:ascii="宋体" w:eastAsia="宋体" w:hAnsi="宋体" w:cs="宋体"/>
                <w:sz w:val="18"/>
                <w:szCs w:val="18"/>
              </w:rPr>
              <w:t>程未来</w:t>
            </w:r>
            <w:proofErr w:type="gramEnd"/>
            <w:r>
              <w:rPr>
                <w:rFonts w:ascii="宋体" w:eastAsia="宋体" w:hAnsi="宋体" w:cs="宋体"/>
                <w:sz w:val="18"/>
                <w:szCs w:val="18"/>
              </w:rPr>
              <w:t>网络信息技术（金华）有限公司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金华市</w:t>
            </w:r>
            <w:proofErr w:type="gramStart"/>
            <w:r>
              <w:rPr>
                <w:rFonts w:ascii="宋体" w:eastAsia="宋体" w:hAnsi="宋体" w:cs="宋体"/>
                <w:sz w:val="18"/>
                <w:szCs w:val="18"/>
              </w:rPr>
              <w:t>网链数字</w:t>
            </w:r>
            <w:proofErr w:type="gramEnd"/>
            <w:r>
              <w:rPr>
                <w:rFonts w:ascii="宋体" w:eastAsia="宋体" w:hAnsi="宋体" w:cs="宋体"/>
                <w:sz w:val="18"/>
                <w:szCs w:val="18"/>
              </w:rPr>
              <w:t>人才科技有限公司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243,000.00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共青城</w:t>
            </w:r>
            <w:proofErr w:type="gramStart"/>
            <w:r>
              <w:rPr>
                <w:rFonts w:ascii="宋体" w:eastAsia="宋体" w:hAnsi="宋体" w:cs="宋体"/>
                <w:sz w:val="18"/>
                <w:szCs w:val="18"/>
              </w:rPr>
              <w:t>龙芯创零创业</w:t>
            </w:r>
            <w:proofErr w:type="gramEnd"/>
            <w:r>
              <w:rPr>
                <w:rFonts w:ascii="宋体" w:eastAsia="宋体" w:hAnsi="宋体" w:cs="宋体"/>
                <w:sz w:val="18"/>
                <w:szCs w:val="18"/>
              </w:rPr>
              <w:t>投资基金合伙企</w:t>
            </w:r>
            <w:r>
              <w:rPr>
                <w:rFonts w:ascii="宋体" w:eastAsia="宋体" w:hAnsi="宋体" w:cs="宋体"/>
                <w:sz w:val="18"/>
                <w:szCs w:val="18"/>
              </w:rPr>
              <w:lastRenderedPageBreak/>
              <w:t>业（有限合伙）</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10,000,000.00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77,716,692.81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80,250,680.43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11,724,487.62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6,896,343.59</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本期存在终止确认</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转入留存收益的累计利得</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转入留存收益的累计损失</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终止确认的原因</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金华市先</w:t>
            </w:r>
            <w:proofErr w:type="gramStart"/>
            <w:r>
              <w:rPr>
                <w:rFonts w:ascii="宋体" w:eastAsia="宋体" w:hAnsi="宋体" w:cs="宋体"/>
                <w:sz w:val="18"/>
                <w:szCs w:val="18"/>
              </w:rPr>
              <w:t>智数字</w:t>
            </w:r>
            <w:proofErr w:type="gramEnd"/>
            <w:r>
              <w:rPr>
                <w:rFonts w:ascii="宋体" w:eastAsia="宋体" w:hAnsi="宋体" w:cs="宋体"/>
                <w:sz w:val="18"/>
                <w:szCs w:val="18"/>
              </w:rPr>
              <w:t>科技有限公司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撤资</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浙样文化</w:t>
            </w:r>
            <w:proofErr w:type="gramEnd"/>
            <w:r>
              <w:rPr>
                <w:rFonts w:ascii="宋体" w:eastAsia="宋体" w:hAnsi="宋体" w:cs="宋体"/>
                <w:sz w:val="18"/>
                <w:szCs w:val="18"/>
              </w:rPr>
              <w:t>科技（金华）有限公司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撤资</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金华</w:t>
            </w:r>
            <w:proofErr w:type="gramStart"/>
            <w:r>
              <w:rPr>
                <w:rFonts w:ascii="宋体" w:eastAsia="宋体" w:hAnsi="宋体" w:cs="宋体"/>
                <w:sz w:val="18"/>
                <w:szCs w:val="18"/>
              </w:rPr>
              <w:t>市企源科技</w:t>
            </w:r>
            <w:proofErr w:type="gramEnd"/>
            <w:r>
              <w:rPr>
                <w:rFonts w:ascii="宋体" w:eastAsia="宋体" w:hAnsi="宋体" w:cs="宋体"/>
                <w:sz w:val="18"/>
                <w:szCs w:val="18"/>
              </w:rPr>
              <w:t>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撤资</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锦</w:t>
            </w:r>
            <w:proofErr w:type="gramStart"/>
            <w:r>
              <w:rPr>
                <w:rFonts w:ascii="宋体" w:eastAsia="宋体" w:hAnsi="宋体" w:cs="宋体"/>
                <w:sz w:val="18"/>
                <w:szCs w:val="18"/>
              </w:rPr>
              <w:t>程未来</w:t>
            </w:r>
            <w:proofErr w:type="gramEnd"/>
            <w:r>
              <w:rPr>
                <w:rFonts w:ascii="宋体" w:eastAsia="宋体" w:hAnsi="宋体" w:cs="宋体"/>
                <w:sz w:val="18"/>
                <w:szCs w:val="18"/>
              </w:rPr>
              <w:t>网络信息技术（金华）有限公司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撤资</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金华市</w:t>
            </w:r>
            <w:proofErr w:type="gramStart"/>
            <w:r>
              <w:rPr>
                <w:rFonts w:ascii="宋体" w:eastAsia="宋体" w:hAnsi="宋体" w:cs="宋体"/>
                <w:sz w:val="18"/>
                <w:szCs w:val="18"/>
              </w:rPr>
              <w:t>网链数字</w:t>
            </w:r>
            <w:proofErr w:type="gramEnd"/>
            <w:r>
              <w:rPr>
                <w:rFonts w:ascii="宋体" w:eastAsia="宋体" w:hAnsi="宋体" w:cs="宋体"/>
                <w:sz w:val="18"/>
                <w:szCs w:val="18"/>
              </w:rPr>
              <w:t>人才科技有限公司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撤资</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分项披露</w:t>
      </w:r>
      <w:proofErr w:type="gramStart"/>
      <w:r>
        <w:rPr>
          <w:rFonts w:ascii="宋体" w:eastAsia="宋体" w:hAnsi="宋体" w:cs="宋体"/>
          <w:sz w:val="18"/>
          <w:szCs w:val="18"/>
        </w:rPr>
        <w:t>本期非交易</w:t>
      </w:r>
      <w:proofErr w:type="gramEnd"/>
      <w:r>
        <w:rPr>
          <w:rFonts w:ascii="宋体" w:eastAsia="宋体" w:hAnsi="宋体" w:cs="宋体"/>
          <w:sz w:val="18"/>
          <w:szCs w:val="18"/>
        </w:rPr>
        <w:t>性权益工具投资</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确认的股利收入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累计利得</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累计损失</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其他综合收益转入留存收益的金额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指定为以公允价值计量且其变动计入其他综合收益的原因</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其他综合收益转入留存收益的原因</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徽商银行股份有限公司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3,288,739.67</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8,718,984.25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深圳市华泰瑞麟股权投资基金合伙企业（有限合伙）</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2,757,603.92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224,075,208.92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Pr="006742FE" w:rsidRDefault="000F627F" w:rsidP="006742FE">
      <w:pPr>
        <w:spacing w:line="240" w:lineRule="exact"/>
        <w:divId w:val="1826311307"/>
        <w:rPr>
          <w:rFonts w:ascii="宋体" w:eastAsia="宋体" w:hAnsi="宋体" w:cs="宋体"/>
          <w:sz w:val="18"/>
          <w:szCs w:val="18"/>
        </w:rPr>
      </w:pPr>
      <w:r w:rsidRPr="006742FE">
        <w:rPr>
          <w:rFonts w:ascii="宋体" w:eastAsia="宋体" w:hAnsi="宋体" w:cs="宋体" w:hint="eastAsia"/>
          <w:sz w:val="18"/>
          <w:szCs w:val="18"/>
        </w:rPr>
        <w:t>（1）徽商银行(03698，HK)于2013年11月12日在香港联交所挂牌交易，本公司所持有徽商银行股份有限公司的投资拟长期持有，以资产负债表日收盘计算公允价值，公允价值变动计入其他综合收益。</w:t>
      </w:r>
    </w:p>
    <w:p w:rsidR="000F627F" w:rsidRPr="006742FE" w:rsidRDefault="000F627F" w:rsidP="006742FE">
      <w:pPr>
        <w:spacing w:line="240" w:lineRule="exact"/>
        <w:divId w:val="1826311307"/>
        <w:rPr>
          <w:rFonts w:ascii="宋体" w:eastAsia="宋体" w:hAnsi="宋体" w:cs="宋体"/>
          <w:sz w:val="18"/>
          <w:szCs w:val="18"/>
        </w:rPr>
      </w:pPr>
      <w:r w:rsidRPr="006742FE">
        <w:rPr>
          <w:rFonts w:ascii="宋体" w:eastAsia="宋体" w:hAnsi="宋体" w:cs="宋体" w:hint="eastAsia"/>
          <w:sz w:val="18"/>
          <w:szCs w:val="18"/>
        </w:rPr>
        <w:t>（2） 根据</w:t>
      </w:r>
      <w:r w:rsidRPr="006742FE">
        <w:rPr>
          <w:rFonts w:ascii="宋体" w:eastAsia="宋体" w:hAnsi="宋体" w:cs="宋体"/>
          <w:sz w:val="18"/>
          <w:szCs w:val="18"/>
        </w:rPr>
        <w:t>2016</w:t>
      </w:r>
      <w:r w:rsidRPr="006742FE">
        <w:rPr>
          <w:rFonts w:ascii="宋体" w:eastAsia="宋体" w:hAnsi="宋体" w:cs="宋体" w:hint="eastAsia"/>
          <w:sz w:val="18"/>
          <w:szCs w:val="18"/>
        </w:rPr>
        <w:t>年深圳市华泰瑞麟股权投资基金合伙企业（有限合伙）合伙协议约定，</w:t>
      </w:r>
      <w:r w:rsidRPr="006742FE">
        <w:rPr>
          <w:rFonts w:ascii="宋体" w:eastAsia="宋体" w:hAnsi="宋体" w:cs="宋体"/>
          <w:sz w:val="18"/>
          <w:szCs w:val="18"/>
        </w:rPr>
        <w:t>2019</w:t>
      </w:r>
      <w:r w:rsidRPr="006742FE">
        <w:rPr>
          <w:rFonts w:ascii="宋体" w:eastAsia="宋体" w:hAnsi="宋体" w:cs="宋体" w:hint="eastAsia"/>
          <w:sz w:val="18"/>
          <w:szCs w:val="18"/>
        </w:rPr>
        <w:t>年</w:t>
      </w:r>
      <w:r w:rsidRPr="006742FE">
        <w:rPr>
          <w:rFonts w:ascii="宋体" w:eastAsia="宋体" w:hAnsi="宋体" w:cs="宋体"/>
          <w:sz w:val="18"/>
          <w:szCs w:val="18"/>
        </w:rPr>
        <w:t>12</w:t>
      </w:r>
      <w:r w:rsidRPr="006742FE">
        <w:rPr>
          <w:rFonts w:ascii="宋体" w:eastAsia="宋体" w:hAnsi="宋体" w:cs="宋体" w:hint="eastAsia"/>
          <w:sz w:val="18"/>
          <w:szCs w:val="18"/>
        </w:rPr>
        <w:t>月</w:t>
      </w:r>
      <w:r w:rsidRPr="006742FE">
        <w:rPr>
          <w:rFonts w:ascii="宋体" w:eastAsia="宋体" w:hAnsi="宋体" w:cs="宋体"/>
          <w:sz w:val="18"/>
          <w:szCs w:val="18"/>
        </w:rPr>
        <w:t>31</w:t>
      </w:r>
      <w:r w:rsidRPr="006742FE">
        <w:rPr>
          <w:rFonts w:ascii="宋体" w:eastAsia="宋体" w:hAnsi="宋体" w:cs="宋体" w:hint="eastAsia"/>
          <w:sz w:val="18"/>
          <w:szCs w:val="18"/>
        </w:rPr>
        <w:t>日公司对华泰瑞麟的投资成本已经全部收回，结合合伙协议及</w:t>
      </w:r>
      <w:r w:rsidRPr="006742FE">
        <w:rPr>
          <w:rFonts w:ascii="宋体" w:eastAsia="宋体" w:hAnsi="宋体" w:cs="宋体"/>
          <w:sz w:val="18"/>
          <w:szCs w:val="18"/>
        </w:rPr>
        <w:t>2023</w:t>
      </w:r>
      <w:r w:rsidRPr="006742FE">
        <w:rPr>
          <w:rFonts w:ascii="宋体" w:eastAsia="宋体" w:hAnsi="宋体" w:cs="宋体" w:hint="eastAsia"/>
          <w:sz w:val="18"/>
          <w:szCs w:val="18"/>
        </w:rPr>
        <w:t>年分配通知的说明，</w:t>
      </w:r>
      <w:r w:rsidRPr="006742FE">
        <w:rPr>
          <w:rFonts w:ascii="宋体" w:eastAsia="宋体" w:hAnsi="宋体" w:cs="宋体"/>
          <w:sz w:val="18"/>
          <w:szCs w:val="18"/>
        </w:rPr>
        <w:t xml:space="preserve"> 2023</w:t>
      </w:r>
      <w:r w:rsidRPr="006742FE">
        <w:rPr>
          <w:rFonts w:ascii="宋体" w:eastAsia="宋体" w:hAnsi="宋体" w:cs="宋体" w:hint="eastAsia"/>
          <w:sz w:val="18"/>
          <w:szCs w:val="18"/>
        </w:rPr>
        <w:t>年收到的</w:t>
      </w:r>
      <w:r w:rsidRPr="006742FE">
        <w:rPr>
          <w:rFonts w:ascii="宋体" w:eastAsia="宋体" w:hAnsi="宋体" w:cs="宋体"/>
          <w:sz w:val="18"/>
          <w:szCs w:val="18"/>
        </w:rPr>
        <w:t>2,757,603.92</w:t>
      </w:r>
      <w:r w:rsidRPr="006742FE">
        <w:rPr>
          <w:rFonts w:ascii="宋体" w:eastAsia="宋体" w:hAnsi="宋体" w:cs="宋体" w:hint="eastAsia"/>
          <w:sz w:val="18"/>
          <w:szCs w:val="18"/>
        </w:rPr>
        <w:t>元作为返还门槛回报和超额收益计入投资收益。</w:t>
      </w:r>
      <w:r w:rsidRPr="006742FE">
        <w:rPr>
          <w:rFonts w:ascii="宋体" w:eastAsia="宋体" w:hAnsi="宋体" w:cs="宋体"/>
          <w:sz w:val="18"/>
          <w:szCs w:val="18"/>
        </w:rPr>
        <w:t>2023</w:t>
      </w:r>
      <w:r w:rsidRPr="006742FE">
        <w:rPr>
          <w:rFonts w:ascii="宋体" w:eastAsia="宋体" w:hAnsi="宋体" w:cs="宋体" w:hint="eastAsia"/>
          <w:sz w:val="18"/>
          <w:szCs w:val="18"/>
        </w:rPr>
        <w:t>年</w:t>
      </w:r>
      <w:r w:rsidRPr="006742FE">
        <w:rPr>
          <w:rFonts w:ascii="宋体" w:eastAsia="宋体" w:hAnsi="宋体" w:cs="宋体"/>
          <w:sz w:val="18"/>
          <w:szCs w:val="18"/>
        </w:rPr>
        <w:t>10</w:t>
      </w:r>
      <w:r w:rsidRPr="006742FE">
        <w:rPr>
          <w:rFonts w:ascii="宋体" w:eastAsia="宋体" w:hAnsi="宋体" w:cs="宋体" w:hint="eastAsia"/>
          <w:sz w:val="18"/>
          <w:szCs w:val="18"/>
        </w:rPr>
        <w:t>月</w:t>
      </w:r>
      <w:r w:rsidRPr="006742FE">
        <w:rPr>
          <w:rFonts w:ascii="宋体" w:eastAsia="宋体" w:hAnsi="宋体" w:cs="宋体"/>
          <w:sz w:val="18"/>
          <w:szCs w:val="18"/>
        </w:rPr>
        <w:t>10</w:t>
      </w:r>
      <w:r w:rsidRPr="006742FE">
        <w:rPr>
          <w:rFonts w:ascii="宋体" w:eastAsia="宋体" w:hAnsi="宋体" w:cs="宋体" w:hint="eastAsia"/>
          <w:sz w:val="18"/>
          <w:szCs w:val="18"/>
        </w:rPr>
        <w:t>日，华泰瑞麟已注销。 </w:t>
      </w:r>
    </w:p>
    <w:p w:rsidR="000F627F" w:rsidRPr="006742FE" w:rsidRDefault="000F627F" w:rsidP="006742FE">
      <w:pPr>
        <w:spacing w:line="240" w:lineRule="exact"/>
        <w:divId w:val="1826311307"/>
        <w:rPr>
          <w:rFonts w:ascii="宋体" w:eastAsia="宋体" w:hAnsi="宋体" w:cs="宋体"/>
          <w:sz w:val="18"/>
          <w:szCs w:val="18"/>
        </w:rPr>
      </w:pPr>
      <w:r w:rsidRPr="006742FE">
        <w:rPr>
          <w:rFonts w:ascii="宋体" w:eastAsia="宋体" w:hAnsi="宋体" w:cs="宋体" w:hint="eastAsia"/>
          <w:sz w:val="18"/>
          <w:szCs w:val="18"/>
        </w:rPr>
        <w:t>（3）其他公司的其他权益工具投资的公允价值可能估计金额分布范围很广，成本代表了该范围内对公允价值的最佳估计，</w:t>
      </w:r>
      <w:proofErr w:type="gramStart"/>
      <w:r w:rsidRPr="006742FE">
        <w:rPr>
          <w:rFonts w:ascii="宋体" w:eastAsia="宋体" w:hAnsi="宋体" w:cs="宋体" w:hint="eastAsia"/>
          <w:sz w:val="18"/>
          <w:szCs w:val="18"/>
        </w:rPr>
        <w:t>该成本</w:t>
      </w:r>
      <w:proofErr w:type="gramEnd"/>
      <w:r w:rsidRPr="006742FE">
        <w:rPr>
          <w:rFonts w:ascii="宋体" w:eastAsia="宋体" w:hAnsi="宋体" w:cs="宋体" w:hint="eastAsia"/>
          <w:sz w:val="18"/>
          <w:szCs w:val="18"/>
        </w:rPr>
        <w:t>可代表其在该分布范围内对公允价值的恰当估计。</w:t>
      </w:r>
    </w:p>
    <w:p w:rsidR="000D58D8" w:rsidRDefault="000F627F">
      <w:pPr>
        <w:pStyle w:val="3"/>
        <w:spacing w:line="280" w:lineRule="exact"/>
        <w:jc w:val="left"/>
        <w:rPr>
          <w:rFonts w:ascii="宋体" w:hAnsi="宋体" w:cs="宋体"/>
          <w:b/>
          <w:bCs/>
        </w:rPr>
      </w:pPr>
      <w:bookmarkStart w:id="316" w:name="_Toc989203"/>
      <w:r>
        <w:rPr>
          <w:rFonts w:ascii="宋体" w:hAnsi="宋体" w:cs="宋体"/>
          <w:b/>
          <w:bCs/>
        </w:rPr>
        <w:t>17、长期应收款</w:t>
      </w:r>
      <w:bookmarkEnd w:id="316"/>
    </w:p>
    <w:p w:rsidR="000D58D8" w:rsidRDefault="000F627F">
      <w:pPr>
        <w:keepNext/>
        <w:keepLines/>
        <w:spacing w:before="300" w:after="300" w:line="280" w:lineRule="exact"/>
        <w:outlineLvl w:val="3"/>
        <w:rPr>
          <w:rFonts w:ascii="宋体" w:eastAsia="宋体" w:hAnsi="宋体" w:cs="宋体"/>
          <w:b/>
          <w:bCs/>
          <w:szCs w:val="21"/>
        </w:rPr>
      </w:pPr>
      <w:bookmarkStart w:id="317" w:name="_Toc989204"/>
      <w:r>
        <w:rPr>
          <w:rFonts w:ascii="宋体" w:eastAsia="宋体" w:hAnsi="宋体" w:cs="宋体"/>
          <w:b/>
          <w:bCs/>
          <w:szCs w:val="21"/>
        </w:rPr>
        <w:t>（1） 长期应收款情况</w:t>
      </w:r>
      <w:bookmarkEnd w:id="31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205"/>
        <w:gridCol w:w="1205"/>
        <w:gridCol w:w="1205"/>
        <w:gridCol w:w="1205"/>
        <w:gridCol w:w="1205"/>
        <w:gridCol w:w="1205"/>
        <w:gridCol w:w="1205"/>
      </w:tblGrid>
      <w:tr w:rsidR="000D58D8">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615"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615"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折现率区间</w:t>
            </w:r>
          </w:p>
        </w:tc>
      </w:tr>
      <w:tr w:rsidR="000D58D8">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长期租赁应收款</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4,918,512.88</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2,084,788.82</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2,833,724.06</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4,918,512.88</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2,084,788.82</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2,833,724.06</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D58D8" w:rsidRDefault="000F627F">
      <w:pPr>
        <w:keepNext/>
        <w:keepLines/>
        <w:spacing w:before="300" w:after="300" w:line="280" w:lineRule="exact"/>
        <w:outlineLvl w:val="3"/>
        <w:rPr>
          <w:rFonts w:ascii="宋体" w:eastAsia="宋体" w:hAnsi="宋体" w:cs="宋体"/>
          <w:b/>
          <w:bCs/>
          <w:szCs w:val="21"/>
        </w:rPr>
      </w:pPr>
      <w:bookmarkStart w:id="318" w:name="_Toc989205"/>
      <w:r>
        <w:rPr>
          <w:rFonts w:ascii="宋体" w:eastAsia="宋体" w:hAnsi="宋体" w:cs="宋体"/>
          <w:b/>
          <w:bCs/>
          <w:szCs w:val="21"/>
        </w:rPr>
        <w:lastRenderedPageBreak/>
        <w:t>（2） 按坏账计提方法分类披露</w:t>
      </w:r>
      <w:bookmarkEnd w:id="318"/>
    </w:p>
    <w:p w:rsidR="000D58D8" w:rsidRDefault="000F627F">
      <w:pPr>
        <w:keepNext/>
        <w:keepLines/>
        <w:spacing w:before="300" w:after="300" w:line="280" w:lineRule="exact"/>
        <w:outlineLvl w:val="3"/>
        <w:rPr>
          <w:rFonts w:ascii="宋体" w:eastAsia="宋体" w:hAnsi="宋体" w:cs="宋体"/>
          <w:b/>
          <w:bCs/>
          <w:szCs w:val="21"/>
        </w:rPr>
      </w:pPr>
      <w:bookmarkStart w:id="319" w:name="_Toc989206"/>
      <w:r>
        <w:rPr>
          <w:rFonts w:ascii="宋体" w:eastAsia="宋体" w:hAnsi="宋体" w:cs="宋体"/>
          <w:b/>
          <w:bCs/>
          <w:szCs w:val="21"/>
        </w:rPr>
        <w:t>（3） 本期计提、收回或转回的坏账准备的情况</w:t>
      </w:r>
      <w:bookmarkEnd w:id="31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6742FE">
        <w:rPr>
          <w:rFonts w:ascii="宋体" w:eastAsia="宋体" w:hAnsi="宋体" w:cs="宋体"/>
          <w:sz w:val="18"/>
          <w:szCs w:val="18"/>
        </w:rPr>
        <w:t>无</w:t>
      </w:r>
    </w:p>
    <w:p w:rsidR="000D58D8" w:rsidRDefault="000F627F" w:rsidP="006742FE">
      <w:pPr>
        <w:keepNext/>
        <w:keepLines/>
        <w:spacing w:before="300" w:after="300" w:line="280" w:lineRule="exact"/>
        <w:outlineLvl w:val="3"/>
        <w:rPr>
          <w:rFonts w:ascii="宋体" w:eastAsia="宋体" w:hAnsi="宋体" w:cs="宋体"/>
          <w:sz w:val="18"/>
          <w:szCs w:val="18"/>
        </w:rPr>
      </w:pPr>
      <w:bookmarkStart w:id="320" w:name="_Toc989207"/>
      <w:r>
        <w:rPr>
          <w:rFonts w:ascii="宋体" w:eastAsia="宋体" w:hAnsi="宋体" w:cs="宋体"/>
          <w:b/>
          <w:bCs/>
          <w:szCs w:val="21"/>
        </w:rPr>
        <w:t>（4） 本期实际核销的长期应收款情况</w:t>
      </w:r>
      <w:bookmarkEnd w:id="320"/>
    </w:p>
    <w:p w:rsidR="000D58D8" w:rsidRDefault="000F627F">
      <w:pPr>
        <w:pStyle w:val="3"/>
        <w:spacing w:line="280" w:lineRule="exact"/>
        <w:jc w:val="left"/>
        <w:rPr>
          <w:rFonts w:ascii="宋体" w:hAnsi="宋体" w:cs="宋体"/>
          <w:b/>
          <w:bCs/>
        </w:rPr>
      </w:pPr>
      <w:bookmarkStart w:id="321" w:name="_Toc989208"/>
      <w:r>
        <w:rPr>
          <w:rFonts w:ascii="宋体" w:hAnsi="宋体" w:cs="宋体"/>
          <w:b/>
          <w:bCs/>
        </w:rPr>
        <w:t>18、长期股权投资</w:t>
      </w:r>
      <w:bookmarkEnd w:id="321"/>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1"/>
        <w:gridCol w:w="741"/>
        <w:gridCol w:w="741"/>
        <w:gridCol w:w="741"/>
        <w:gridCol w:w="741"/>
        <w:gridCol w:w="741"/>
        <w:gridCol w:w="741"/>
        <w:gridCol w:w="741"/>
        <w:gridCol w:w="741"/>
        <w:gridCol w:w="741"/>
        <w:gridCol w:w="745"/>
        <w:gridCol w:w="741"/>
        <w:gridCol w:w="743"/>
      </w:tblGrid>
      <w:tr w:rsidR="000D58D8">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减值准备期初余额</w:t>
            </w:r>
          </w:p>
        </w:tc>
        <w:tc>
          <w:tcPr>
            <w:tcW w:w="5932"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0D58D8">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权益法下确认的投资损益</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其他综合收益调整</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其他权益变动</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宣告发放现金股利或利润</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一、合营企业</w:t>
            </w:r>
          </w:p>
        </w:tc>
      </w:tr>
      <w:tr w:rsidR="000D58D8">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二、联营企业</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江苏科孚纺织品贸易有限公司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45,034,947.32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5,285.59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45,040,232.91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福田实业（集团）有限公司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230,298,074.28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7,927,182.22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-568,156.44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3,391,889.02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241,048,989.08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安徽环</w:t>
            </w:r>
            <w:proofErr w:type="gramStart"/>
            <w:r>
              <w:rPr>
                <w:rFonts w:ascii="宋体" w:eastAsia="宋体" w:hAnsi="宋体" w:cs="宋体"/>
                <w:sz w:val="18"/>
                <w:szCs w:val="18"/>
              </w:rPr>
              <w:t>捷供应</w:t>
            </w:r>
            <w:proofErr w:type="gramEnd"/>
            <w:r>
              <w:rPr>
                <w:rFonts w:ascii="宋体" w:eastAsia="宋体" w:hAnsi="宋体" w:cs="宋体"/>
                <w:sz w:val="18"/>
                <w:szCs w:val="18"/>
              </w:rPr>
              <w:t>链管理有限公司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11,649,108.42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11,649,108.42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浙江华孚产业运营有限公司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39,994,991.32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-40.86</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39,994,950.46</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小计</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326,977,121.34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11,649,108.42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7,932,426.95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-568,156.44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3,391,889.02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326,084,172.45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326,977,121.34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11,649,108.42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7,932,426.95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-568,156.44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3,391,889.02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326,084,172.45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可收回金额按公允价值减去处置费用后的净额确定</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可收回金额按预计未来现金流量的现值确定</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前述信息与以前年度减值测试采用的信息或外部信息明显不一致的差异原因</w:t>
      </w:r>
    </w:p>
    <w:p w:rsidR="000F627F" w:rsidRDefault="000F627F">
      <w:pPr>
        <w:pStyle w:val="a3"/>
        <w:divId w:val="21249475"/>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公司以前年度减值测试采用信息与当年实际情况明显不一致的差异原因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pStyle w:val="a3"/>
        <w:spacing w:before="120" w:beforeAutospacing="0" w:after="0" w:afterAutospacing="0" w:line="360" w:lineRule="auto"/>
        <w:ind w:firstLine="420"/>
        <w:divId w:val="549616"/>
        <w:rPr>
          <w:rFonts w:ascii="Times New Roman" w:hAnsi="Times New Roman" w:cs="Times New Roman"/>
          <w:sz w:val="21"/>
          <w:szCs w:val="21"/>
        </w:rPr>
      </w:pPr>
      <w:r>
        <w:rPr>
          <w:rFonts w:cs="Times New Roman" w:hint="eastAsia"/>
          <w:sz w:val="18"/>
          <w:szCs w:val="18"/>
        </w:rPr>
        <w:t>本公司子公司香港天成持有福田实业（集团）有限公司（以下简称福田实业，股票代码：</w:t>
      </w:r>
      <w:r>
        <w:rPr>
          <w:rFonts w:ascii="Times New Roman" w:hAnsi="Times New Roman" w:cs="Times New Roman"/>
          <w:sz w:val="18"/>
          <w:szCs w:val="18"/>
        </w:rPr>
        <w:t>HK0420</w:t>
      </w:r>
      <w:r>
        <w:rPr>
          <w:rFonts w:cs="Times New Roman" w:hint="eastAsia"/>
          <w:sz w:val="18"/>
          <w:szCs w:val="18"/>
        </w:rPr>
        <w:t>）</w:t>
      </w:r>
      <w:r>
        <w:rPr>
          <w:rFonts w:ascii="Times New Roman" w:hAnsi="Times New Roman" w:cs="Times New Roman"/>
          <w:sz w:val="18"/>
          <w:szCs w:val="18"/>
        </w:rPr>
        <w:t>17.30%</w:t>
      </w:r>
      <w:r>
        <w:rPr>
          <w:rFonts w:cs="Times New Roman" w:hint="eastAsia"/>
          <w:sz w:val="18"/>
          <w:szCs w:val="18"/>
        </w:rPr>
        <w:t>的股权及表决权。虽然该比例低于</w:t>
      </w:r>
      <w:r>
        <w:rPr>
          <w:rFonts w:ascii="Times New Roman" w:hAnsi="Times New Roman" w:cs="Times New Roman"/>
          <w:sz w:val="18"/>
          <w:szCs w:val="18"/>
        </w:rPr>
        <w:t>20%</w:t>
      </w:r>
      <w:r>
        <w:rPr>
          <w:rFonts w:cs="Times New Roman" w:hint="eastAsia"/>
          <w:sz w:val="18"/>
          <w:szCs w:val="18"/>
        </w:rPr>
        <w:t>，但由于本公司在福田实业董事会中派有代表并参与财务和经营政策的决策，所以本公司能够对福田实业施加重大影响。</w:t>
      </w:r>
    </w:p>
    <w:p w:rsidR="000D58D8" w:rsidRDefault="000F627F">
      <w:pPr>
        <w:pStyle w:val="3"/>
        <w:spacing w:line="280" w:lineRule="exact"/>
        <w:jc w:val="left"/>
        <w:rPr>
          <w:rFonts w:ascii="宋体" w:hAnsi="宋体" w:cs="宋体"/>
          <w:b/>
          <w:bCs/>
        </w:rPr>
      </w:pPr>
      <w:bookmarkStart w:id="322" w:name="_Toc989209"/>
      <w:r>
        <w:rPr>
          <w:rFonts w:ascii="宋体" w:hAnsi="宋体" w:cs="宋体"/>
          <w:b/>
          <w:bCs/>
        </w:rPr>
        <w:t>19、其他非流动金融资产</w:t>
      </w:r>
      <w:bookmarkEnd w:id="322"/>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323" w:name="_Toc989210"/>
      <w:r>
        <w:rPr>
          <w:rFonts w:ascii="宋体" w:hAnsi="宋体" w:cs="宋体"/>
          <w:b/>
          <w:bCs/>
        </w:rPr>
        <w:t>20、投资性房地产</w:t>
      </w:r>
      <w:bookmarkEnd w:id="323"/>
    </w:p>
    <w:p w:rsidR="000D58D8" w:rsidRDefault="000F627F">
      <w:pPr>
        <w:keepNext/>
        <w:keepLines/>
        <w:spacing w:before="300" w:after="300" w:line="280" w:lineRule="exact"/>
        <w:outlineLvl w:val="3"/>
        <w:rPr>
          <w:rFonts w:ascii="宋体" w:eastAsia="宋体" w:hAnsi="宋体" w:cs="宋体"/>
          <w:b/>
          <w:bCs/>
          <w:sz w:val="18"/>
          <w:szCs w:val="18"/>
        </w:rPr>
      </w:pPr>
      <w:bookmarkStart w:id="324" w:name="_Toc989211"/>
      <w:r>
        <w:rPr>
          <w:rFonts w:ascii="宋体" w:eastAsia="宋体" w:hAnsi="宋体" w:cs="宋体"/>
          <w:b/>
          <w:bCs/>
          <w:sz w:val="18"/>
          <w:szCs w:val="18"/>
        </w:rPr>
        <w:t>（1） 采用成本计量模式的投资性房地产</w:t>
      </w:r>
      <w:bookmarkEnd w:id="324"/>
    </w:p>
    <w:p w:rsidR="000D58D8" w:rsidRDefault="000F627F">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510"/>
        <w:gridCol w:w="1985"/>
        <w:gridCol w:w="1134"/>
        <w:gridCol w:w="1082"/>
        <w:gridCol w:w="1928"/>
      </w:tblGrid>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8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房屋、建筑物</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土地使用权</w:t>
            </w:r>
          </w:p>
        </w:tc>
        <w:tc>
          <w:tcPr>
            <w:tcW w:w="108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在建工程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91,384,663.37</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91,384,663.37</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98,544,505.91</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98,544,505.91</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（1）外购</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21,631,347.98</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21,631,347.98</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（2）存货\固定资产\在建工程转入</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76,913,157.93</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76,913,157.93</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（3）企业合并增加</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6,755,656.03</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6,755,656.03</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6,613,908.03</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6,613,908.03</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（2）其他转出</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（3）转自用房地产</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141,748.00</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141,748.00</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183,173,513.25</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183,173,513.25</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二、累计折旧和累计摊销</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29,791,868.89</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29,791,868.89</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22,732,728.70</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22,732,728.70</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（1）计提或摊销</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26,926.99</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26,926.99</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（2）固定资产转入</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22,705,801.71</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22,705,801.71</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2,053,913.36</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2,053,913.36</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lastRenderedPageBreak/>
              <w:t>（1）处置</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2,020,248.32</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2,020,248.32</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（2）其他转出</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（3）转自用房地产</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33,665.04</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33,665.04</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50,470,684.23</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50,470,684.23</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（2）其他转出</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132,702,829.02</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132,702,829.02</w:t>
            </w:r>
          </w:p>
        </w:tc>
      </w:tr>
      <w:tr w:rsidR="000D58D8" w:rsidTr="006742FE">
        <w:trPr>
          <w:trHeight w:val="240"/>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198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61,592,794.48</w:t>
            </w:r>
          </w:p>
        </w:tc>
        <w:tc>
          <w:tcPr>
            <w:tcW w:w="1134"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61,592,794.48</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可收回金额按公允价值减去处置费用后的净额确定</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可收回金额按预计未来现金流量的现值确定</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前述信息与以前年度减值测试采用的信息或外部信息明显不一致的差异原因</w:t>
      </w:r>
    </w:p>
    <w:p w:rsidR="000F627F" w:rsidRDefault="000F627F">
      <w:pPr>
        <w:pStyle w:val="a3"/>
        <w:divId w:val="1996567229"/>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公司以前年度减值测试采用信息与当年实际情况明显不一致的差异原因</w:t>
      </w:r>
    </w:p>
    <w:p w:rsidR="000F627F" w:rsidRDefault="000F627F">
      <w:pPr>
        <w:pStyle w:val="a3"/>
        <w:divId w:val="94248610"/>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6742FE">
        <w:rPr>
          <w:rFonts w:ascii="宋体" w:eastAsia="宋体" w:hAnsi="宋体" w:cs="宋体"/>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325" w:name="_Toc989212"/>
      <w:r>
        <w:rPr>
          <w:rFonts w:ascii="宋体" w:eastAsia="宋体" w:hAnsi="宋体" w:cs="宋体"/>
          <w:b/>
          <w:bCs/>
          <w:sz w:val="18"/>
          <w:szCs w:val="18"/>
        </w:rPr>
        <w:t>（2） 采用公允价值计量模式的投资性房地产</w:t>
      </w:r>
      <w:bookmarkEnd w:id="325"/>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 w:val="18"/>
          <w:szCs w:val="18"/>
        </w:rPr>
      </w:pPr>
      <w:bookmarkStart w:id="326" w:name="_Toc989213"/>
      <w:r>
        <w:rPr>
          <w:rFonts w:ascii="宋体" w:eastAsia="宋体" w:hAnsi="宋体" w:cs="宋体"/>
          <w:b/>
          <w:bCs/>
          <w:sz w:val="18"/>
          <w:szCs w:val="18"/>
        </w:rPr>
        <w:t>（3） 转换为投资性房地产并采用公允价值计量</w:t>
      </w:r>
      <w:bookmarkEnd w:id="326"/>
    </w:p>
    <w:p w:rsidR="000D58D8" w:rsidRDefault="000F627F">
      <w:pPr>
        <w:keepNext/>
        <w:keepLines/>
        <w:spacing w:before="300" w:after="300" w:line="280" w:lineRule="exact"/>
        <w:outlineLvl w:val="3"/>
        <w:rPr>
          <w:rFonts w:ascii="宋体" w:eastAsia="宋体" w:hAnsi="宋体" w:cs="宋体"/>
          <w:b/>
          <w:bCs/>
          <w:sz w:val="18"/>
          <w:szCs w:val="18"/>
        </w:rPr>
      </w:pPr>
      <w:bookmarkStart w:id="327" w:name="_Toc989214"/>
      <w:r>
        <w:rPr>
          <w:rFonts w:ascii="宋体" w:eastAsia="宋体" w:hAnsi="宋体" w:cs="宋体"/>
          <w:b/>
          <w:bCs/>
          <w:sz w:val="18"/>
          <w:szCs w:val="18"/>
        </w:rPr>
        <w:t>（4） 未办妥产权证书的投资性房地产情况</w:t>
      </w:r>
      <w:bookmarkEnd w:id="327"/>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328" w:name="_Toc989215"/>
      <w:r>
        <w:rPr>
          <w:rFonts w:ascii="宋体" w:hAnsi="宋体" w:cs="宋体"/>
          <w:b/>
          <w:bCs/>
        </w:rPr>
        <w:t>21、固定资产</w:t>
      </w:r>
      <w:bookmarkEnd w:id="328"/>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4,675,330,489.40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4,986,998,558.40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固定资产清理</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505,206.74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411,500.27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4,675,835,696.14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4,987,410,058.67</w:t>
            </w:r>
          </w:p>
        </w:tc>
      </w:tr>
    </w:tbl>
    <w:p w:rsidR="000D58D8" w:rsidRDefault="000F627F">
      <w:pPr>
        <w:keepNext/>
        <w:keepLines/>
        <w:spacing w:before="300" w:after="300" w:line="280" w:lineRule="exact"/>
        <w:outlineLvl w:val="3"/>
        <w:rPr>
          <w:rFonts w:ascii="宋体" w:eastAsia="宋体" w:hAnsi="宋体" w:cs="宋体"/>
          <w:b/>
          <w:bCs/>
          <w:szCs w:val="21"/>
        </w:rPr>
      </w:pPr>
      <w:bookmarkStart w:id="329" w:name="_Toc989216"/>
      <w:r>
        <w:rPr>
          <w:rFonts w:ascii="宋体" w:eastAsia="宋体" w:hAnsi="宋体" w:cs="宋体"/>
          <w:b/>
          <w:bCs/>
          <w:szCs w:val="21"/>
        </w:rPr>
        <w:t>（1） 固定资产情况</w:t>
      </w:r>
      <w:bookmarkEnd w:id="329"/>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房屋及建筑物</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机器设备</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运输工具</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电子及其他设备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3,478,963,569.03</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5,245,216,957.91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63,678,404.15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223,716,267.72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9,011,575,198.81</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158,866,908.62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282,816,322.79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2,258,109.45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4,669,481.03</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448,610,821.89</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（1）购置</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34,580,714.36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107,617,548.78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2,373,400.21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5,008,786.74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149,580,450.09</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（2）在建工程转入</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125,152,890.81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187,168,619.44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312,321,510.25</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（3）企业合并增加</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（4）投资性房地产转入</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6,755,656.03</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6,755,656.03</w:t>
            </w:r>
          </w:p>
        </w:tc>
      </w:tr>
      <w:tr w:rsidR="000D58D8" w:rsidTr="006742F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（5）外币报表折算差额</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-7,622,352.58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-11,969,845.43</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-115,290.76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-339,305.71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-20,046,794.48</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232,948,750.40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523,530,523.74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11,801,217.13</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19,915,100.47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788,195,591.74</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81,503,437.72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436,492,806.78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9,458,468.59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12,869,997.34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540,324,710.43</w:t>
            </w:r>
          </w:p>
        </w:tc>
      </w:tr>
      <w:tr w:rsidR="000D58D8" w:rsidTr="006742F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（2）转入投资性房地产</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76,913,157.93</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76,913,157.93</w:t>
            </w:r>
          </w:p>
        </w:tc>
      </w:tr>
      <w:tr w:rsidR="000D58D8" w:rsidTr="006742F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（3）其他转出</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0D58D8" w:rsidTr="006742F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（4）处置子公司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74,532,154.75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87,037,716.96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2,342,748.54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7,045,103.13</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170,957,723.38</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3,404,881,727.25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5,004,502,756.96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54,135,296.47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208,470,648.28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8,671,990,428.96</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二、累计折旧</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1,036,867,174.17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2,684,736,362.21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48,346,985.07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215,699,166.17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3,985,649,687.62</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143,828,118.21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361,291,762.84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4,976,286.31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1,759,403.36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511,855,570.72</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146,095,610.53</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366,954,588.26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5,059,593.43</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2,923,529.42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521,033,321.64</w:t>
            </w:r>
          </w:p>
        </w:tc>
      </w:tr>
      <w:tr w:rsidR="000D58D8" w:rsidTr="006742F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（2)外币报表折算差异</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-2,267,492.32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-5,662,825.42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-83,307.12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-1,164,126.06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-9,177,750.92</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101,742,065.50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409,876,861.58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11,744,080.04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14,174,058.10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537,537,065.22</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43,250,649.75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375,918,380.71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8,348,251.01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8,361,808.30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435,879,089.77</w:t>
            </w:r>
          </w:p>
        </w:tc>
      </w:tr>
      <w:tr w:rsidR="000D58D8" w:rsidTr="006742F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（2）转入投资性房地产</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22,705,801.71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22,705,801.71</w:t>
            </w:r>
          </w:p>
        </w:tc>
      </w:tr>
      <w:tr w:rsidR="000D58D8" w:rsidTr="006742F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（3）其他转出</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0D58D8" w:rsidTr="006742F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（4）处置子公司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35,785,614.04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33,958,480.87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3,395,829.03</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5,812,249.80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78,952,173.74</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1,078,953,226.88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2,636,151,263.47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41,579,191.34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203,284,511.43</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3,959,968,193.12</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三、减值准备</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27,855,790.59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10,863,099.09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38,569.60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169,493.51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38,926,952.79</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2,235,206.35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2,235,206.35</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2,235,206.35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2,235,206.35</w:t>
            </w:r>
          </w:p>
        </w:tc>
      </w:tr>
      <w:tr w:rsidR="000D58D8" w:rsidTr="006742F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27,855,790.59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8,627,892.74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38,569.60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169,493.51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36,691,746.44</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2,298,072,709.78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2,359,723,600.75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12,517,535.53</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5,016,643.34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4,675,330,489.40</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2,414,240,604.27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2,549,617,496.61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15,292,849.48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7,847,608.04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4,986,998,558.40</w:t>
            </w:r>
          </w:p>
        </w:tc>
      </w:tr>
    </w:tbl>
    <w:p w:rsidR="000D58D8" w:rsidRDefault="000F627F">
      <w:pPr>
        <w:keepNext/>
        <w:keepLines/>
        <w:spacing w:before="300" w:after="300" w:line="280" w:lineRule="exact"/>
        <w:outlineLvl w:val="3"/>
        <w:rPr>
          <w:rFonts w:ascii="宋体" w:eastAsia="宋体" w:hAnsi="宋体" w:cs="宋体"/>
          <w:b/>
          <w:bCs/>
          <w:szCs w:val="21"/>
        </w:rPr>
      </w:pPr>
      <w:bookmarkStart w:id="330" w:name="_Toc989217"/>
      <w:r>
        <w:rPr>
          <w:rFonts w:ascii="宋体" w:eastAsia="宋体" w:hAnsi="宋体" w:cs="宋体"/>
          <w:b/>
          <w:bCs/>
          <w:szCs w:val="21"/>
        </w:rPr>
        <w:t>（2） 暂时闲置的固定资产情况</w:t>
      </w:r>
      <w:bookmarkEnd w:id="330"/>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账面原值</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累计折旧</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备注</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房屋及建筑物</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208,690,949.00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97,858,977.91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15,823,169.01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95,008,802.08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机器设备</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160,133,525.25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131,382,705.55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4,911,045.76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23,839,773.94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运输设备</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5,462,225.00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4,738,312.08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723,912.92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电子及其他设备</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13,994,212.89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11,151,720.35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1,836.51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2,840,656.03</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bl>
    <w:p w:rsidR="000D58D8" w:rsidRDefault="000F627F">
      <w:pPr>
        <w:keepNext/>
        <w:keepLines/>
        <w:spacing w:before="300" w:after="300" w:line="280" w:lineRule="exact"/>
        <w:outlineLvl w:val="3"/>
        <w:rPr>
          <w:rFonts w:ascii="宋体" w:eastAsia="宋体" w:hAnsi="宋体" w:cs="宋体"/>
          <w:b/>
          <w:bCs/>
          <w:szCs w:val="21"/>
        </w:rPr>
      </w:pPr>
      <w:bookmarkStart w:id="331" w:name="_Toc989218"/>
      <w:r>
        <w:rPr>
          <w:rFonts w:ascii="宋体" w:eastAsia="宋体" w:hAnsi="宋体" w:cs="宋体"/>
          <w:b/>
          <w:bCs/>
          <w:szCs w:val="21"/>
        </w:rPr>
        <w:t>（3） 通过经营租赁租出的固定资产</w:t>
      </w:r>
      <w:bookmarkEnd w:id="331"/>
    </w:p>
    <w:p w:rsidR="000D58D8" w:rsidRDefault="000F627F">
      <w:pPr>
        <w:keepNext/>
        <w:keepLines/>
        <w:spacing w:before="300" w:after="300" w:line="280" w:lineRule="exact"/>
        <w:outlineLvl w:val="3"/>
        <w:rPr>
          <w:rFonts w:ascii="宋体" w:eastAsia="宋体" w:hAnsi="宋体" w:cs="宋体"/>
          <w:b/>
          <w:bCs/>
          <w:szCs w:val="21"/>
        </w:rPr>
      </w:pPr>
      <w:bookmarkStart w:id="332" w:name="_Toc989219"/>
      <w:r>
        <w:rPr>
          <w:rFonts w:ascii="宋体" w:eastAsia="宋体" w:hAnsi="宋体" w:cs="宋体"/>
          <w:b/>
          <w:bCs/>
          <w:szCs w:val="21"/>
        </w:rPr>
        <w:t>（4） 未办妥产权证书的固定资产情况</w:t>
      </w:r>
      <w:bookmarkEnd w:id="332"/>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未办妥产权证书的原因</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房屋及建筑物</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152,926,789.10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正在办理中</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333" w:name="_Toc989220"/>
      <w:r>
        <w:rPr>
          <w:rFonts w:ascii="宋体" w:eastAsia="宋体" w:hAnsi="宋体" w:cs="宋体"/>
          <w:b/>
          <w:bCs/>
          <w:szCs w:val="21"/>
        </w:rPr>
        <w:t>（5） 固定资产的减值测试情况</w:t>
      </w:r>
      <w:bookmarkEnd w:id="33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Cs w:val="21"/>
        </w:rPr>
      </w:pPr>
      <w:bookmarkStart w:id="334" w:name="_Toc989221"/>
      <w:r>
        <w:rPr>
          <w:rFonts w:ascii="宋体" w:eastAsia="宋体" w:hAnsi="宋体" w:cs="宋体"/>
          <w:b/>
          <w:bCs/>
          <w:szCs w:val="21"/>
        </w:rPr>
        <w:t>（6） 固定资产清理</w:t>
      </w:r>
      <w:bookmarkEnd w:id="334"/>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待处理设备</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505,206.74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411,500.27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505,206.74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411,500.27</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335" w:name="_Toc989222"/>
      <w:r>
        <w:rPr>
          <w:rFonts w:ascii="宋体" w:hAnsi="宋体" w:cs="宋体"/>
          <w:b/>
          <w:bCs/>
        </w:rPr>
        <w:lastRenderedPageBreak/>
        <w:t>22、在建工程</w:t>
      </w:r>
      <w:bookmarkEnd w:id="335"/>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475,059,478.07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405,320,838.98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475,059,478.07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405,320,838.98</w:t>
            </w:r>
          </w:p>
        </w:tc>
      </w:tr>
    </w:tbl>
    <w:p w:rsidR="000D58D8" w:rsidRDefault="000F627F">
      <w:pPr>
        <w:keepNext/>
        <w:keepLines/>
        <w:spacing w:before="300" w:after="300" w:line="280" w:lineRule="exact"/>
        <w:outlineLvl w:val="3"/>
        <w:rPr>
          <w:rFonts w:ascii="宋体" w:eastAsia="宋体" w:hAnsi="宋体" w:cs="宋体"/>
          <w:b/>
          <w:bCs/>
          <w:szCs w:val="21"/>
        </w:rPr>
      </w:pPr>
      <w:bookmarkStart w:id="336" w:name="_Toc989223"/>
      <w:r>
        <w:rPr>
          <w:rFonts w:ascii="宋体" w:eastAsia="宋体" w:hAnsi="宋体" w:cs="宋体"/>
          <w:b/>
          <w:bCs/>
          <w:szCs w:val="21"/>
        </w:rPr>
        <w:t>（1） 在建工程情况</w:t>
      </w:r>
      <w:bookmarkEnd w:id="336"/>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0D58D8">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浙江色纺二期项目</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500,273.98</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500,273.98</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1,955,779.15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1,955,779.15</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阿克苏华孚在建工程</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6,157,463.51</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6,157,463.51</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3,496,754.95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3,496,754.95</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越南华孚在建工程</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9,400,926.15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9,400,926.15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2,747,347.11</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2,747,347.11</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阿克苏</w:t>
            </w:r>
            <w:proofErr w:type="gramStart"/>
            <w:r>
              <w:rPr>
                <w:rFonts w:ascii="宋体" w:eastAsia="宋体" w:hAnsi="宋体" w:cs="宋体"/>
                <w:sz w:val="18"/>
                <w:szCs w:val="18"/>
              </w:rPr>
              <w:t>标信在建</w:t>
            </w:r>
            <w:proofErr w:type="gramEnd"/>
            <w:r>
              <w:rPr>
                <w:rFonts w:ascii="宋体" w:eastAsia="宋体" w:hAnsi="宋体" w:cs="宋体"/>
                <w:sz w:val="18"/>
                <w:szCs w:val="18"/>
              </w:rPr>
              <w:t>工程</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1,708,115.28</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1,708,115.28</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29,253,681.20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29,253,681.20</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其他项目</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2,176,237.12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2,176,237.12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265,486.73</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265,486.73</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越南</w:t>
            </w:r>
            <w:proofErr w:type="gramStart"/>
            <w:r>
              <w:rPr>
                <w:rFonts w:ascii="宋体" w:eastAsia="宋体" w:hAnsi="宋体" w:cs="宋体"/>
                <w:sz w:val="18"/>
                <w:szCs w:val="18"/>
              </w:rPr>
              <w:t>英鸿工业</w:t>
            </w:r>
            <w:proofErr w:type="gramEnd"/>
            <w:r>
              <w:rPr>
                <w:rFonts w:ascii="宋体" w:eastAsia="宋体" w:hAnsi="宋体" w:cs="宋体"/>
                <w:sz w:val="18"/>
                <w:szCs w:val="18"/>
              </w:rPr>
              <w:t>园建设项目</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225,741,886.91</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225,741,886.91</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213,614,727.91</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213,614,727.91</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阿大数字</w:t>
            </w:r>
            <w:proofErr w:type="gramStart"/>
            <w:r>
              <w:rPr>
                <w:rFonts w:ascii="宋体" w:eastAsia="宋体" w:hAnsi="宋体" w:cs="宋体"/>
                <w:sz w:val="18"/>
                <w:szCs w:val="18"/>
              </w:rPr>
              <w:t>袜</w:t>
            </w:r>
            <w:proofErr w:type="gramEnd"/>
            <w:r>
              <w:rPr>
                <w:rFonts w:ascii="宋体" w:eastAsia="宋体" w:hAnsi="宋体" w:cs="宋体"/>
                <w:sz w:val="18"/>
                <w:szCs w:val="18"/>
              </w:rPr>
              <w:t>制品生产车间</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87,636,583.39</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87,636,583.39</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86,362,522.39</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86,362,522.39</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30万锭智能产业园项目</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141,737,991.73</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141,737,991.73</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67,624,539.54</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67,624,539.54</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475,059,478.07</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475,059,478.07</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405,320,838.98</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405,320,838.98</w:t>
            </w:r>
          </w:p>
        </w:tc>
      </w:tr>
    </w:tbl>
    <w:p w:rsidR="000D58D8" w:rsidRDefault="000F627F">
      <w:pPr>
        <w:keepNext/>
        <w:keepLines/>
        <w:spacing w:before="300" w:after="300" w:line="280" w:lineRule="exact"/>
        <w:outlineLvl w:val="3"/>
        <w:rPr>
          <w:rFonts w:ascii="宋体" w:eastAsia="宋体" w:hAnsi="宋体" w:cs="宋体"/>
          <w:b/>
          <w:bCs/>
          <w:szCs w:val="21"/>
        </w:rPr>
      </w:pPr>
      <w:bookmarkStart w:id="337" w:name="_Toc989224"/>
      <w:r>
        <w:rPr>
          <w:rFonts w:ascii="宋体" w:eastAsia="宋体" w:hAnsi="宋体" w:cs="宋体"/>
          <w:b/>
          <w:bCs/>
          <w:szCs w:val="21"/>
        </w:rPr>
        <w:t>（2） 重要在建工程项目本期变动情况</w:t>
      </w:r>
      <w:bookmarkEnd w:id="33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2"/>
        <w:gridCol w:w="742"/>
        <w:gridCol w:w="742"/>
        <w:gridCol w:w="742"/>
        <w:gridCol w:w="742"/>
        <w:gridCol w:w="742"/>
        <w:gridCol w:w="741"/>
        <w:gridCol w:w="741"/>
        <w:gridCol w:w="741"/>
        <w:gridCol w:w="741"/>
        <w:gridCol w:w="741"/>
        <w:gridCol w:w="741"/>
        <w:gridCol w:w="741"/>
      </w:tblGrid>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预算数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本期转入固定资产金额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本期其他减少金额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工程累计投入占预算比例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工程进度</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利息资本化累计金额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其中：本期利息资本</w:t>
            </w:r>
            <w:proofErr w:type="gramStart"/>
            <w:r>
              <w:rPr>
                <w:rFonts w:ascii="宋体" w:eastAsia="宋体" w:hAnsi="宋体" w:cs="宋体"/>
                <w:sz w:val="18"/>
                <w:szCs w:val="18"/>
              </w:rPr>
              <w:t>化金额</w:t>
            </w:r>
            <w:proofErr w:type="gramEnd"/>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本期利息资本化率</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资金来源</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越南</w:t>
            </w:r>
            <w:proofErr w:type="gramStart"/>
            <w:r>
              <w:rPr>
                <w:rFonts w:ascii="宋体" w:eastAsia="宋体" w:hAnsi="宋体" w:cs="宋体"/>
                <w:sz w:val="18"/>
                <w:szCs w:val="18"/>
              </w:rPr>
              <w:t>英鸿工业</w:t>
            </w:r>
            <w:proofErr w:type="gramEnd"/>
            <w:r>
              <w:rPr>
                <w:rFonts w:ascii="宋体" w:eastAsia="宋体" w:hAnsi="宋体" w:cs="宋体"/>
                <w:sz w:val="18"/>
                <w:szCs w:val="18"/>
              </w:rPr>
              <w:t>园建设项目</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310,374,746.32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213,614,727.91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57,685,024.81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45,557,865.81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225,741,886.91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87.41%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87.41%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30万锭智能产业园项目</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788,462,769.35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67,624,539.54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315,143,202.09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239,585,985.59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1,443,764.31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141,737,991.73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93.94%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93.94%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募集资金</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阿克苏</w:t>
            </w:r>
            <w:proofErr w:type="gramStart"/>
            <w:r>
              <w:rPr>
                <w:rFonts w:ascii="宋体" w:eastAsia="宋体" w:hAnsi="宋体" w:cs="宋体"/>
                <w:sz w:val="18"/>
                <w:szCs w:val="18"/>
              </w:rPr>
              <w:t>标</w:t>
            </w:r>
            <w:r>
              <w:rPr>
                <w:rFonts w:ascii="宋体" w:eastAsia="宋体" w:hAnsi="宋体" w:cs="宋体"/>
                <w:sz w:val="18"/>
                <w:szCs w:val="18"/>
              </w:rPr>
              <w:lastRenderedPageBreak/>
              <w:t>信在建</w:t>
            </w:r>
            <w:proofErr w:type="gramEnd"/>
            <w:r>
              <w:rPr>
                <w:rFonts w:ascii="宋体" w:eastAsia="宋体" w:hAnsi="宋体" w:cs="宋体"/>
                <w:sz w:val="18"/>
                <w:szCs w:val="18"/>
              </w:rPr>
              <w:t>工程</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45,164,467</w:t>
            </w:r>
            <w:r>
              <w:rPr>
                <w:rFonts w:ascii="宋体" w:eastAsia="宋体" w:hAnsi="宋体" w:cs="宋体"/>
                <w:sz w:val="18"/>
                <w:szCs w:val="18"/>
              </w:rPr>
              <w:lastRenderedPageBreak/>
              <w:t>.84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29,253,681</w:t>
            </w:r>
            <w:r>
              <w:rPr>
                <w:rFonts w:ascii="宋体" w:eastAsia="宋体" w:hAnsi="宋体" w:cs="宋体"/>
                <w:sz w:val="18"/>
                <w:szCs w:val="18"/>
              </w:rPr>
              <w:lastRenderedPageBreak/>
              <w:t>.20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11,908,465</w:t>
            </w:r>
            <w:r>
              <w:rPr>
                <w:rFonts w:ascii="宋体" w:eastAsia="宋体" w:hAnsi="宋体" w:cs="宋体"/>
                <w:sz w:val="18"/>
                <w:szCs w:val="18"/>
              </w:rPr>
              <w:lastRenderedPageBreak/>
              <w:t>.61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39,454,031</w:t>
            </w:r>
            <w:r>
              <w:rPr>
                <w:rFonts w:ascii="宋体" w:eastAsia="宋体" w:hAnsi="宋体" w:cs="宋体"/>
                <w:sz w:val="18"/>
                <w:szCs w:val="18"/>
              </w:rPr>
              <w:lastRenderedPageBreak/>
              <w:t>.53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1,708,115.</w:t>
            </w:r>
            <w:r>
              <w:rPr>
                <w:rFonts w:ascii="宋体" w:eastAsia="宋体" w:hAnsi="宋体" w:cs="宋体"/>
                <w:sz w:val="18"/>
                <w:szCs w:val="18"/>
              </w:rPr>
              <w:lastRenderedPageBreak/>
              <w:t>28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91.14%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91.14%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阿克苏</w:t>
            </w:r>
            <w:proofErr w:type="gramStart"/>
            <w:r>
              <w:rPr>
                <w:rFonts w:ascii="宋体" w:eastAsia="宋体" w:hAnsi="宋体" w:cs="宋体"/>
                <w:sz w:val="18"/>
                <w:szCs w:val="18"/>
              </w:rPr>
              <w:t>袜</w:t>
            </w:r>
            <w:proofErr w:type="gramEnd"/>
            <w:r>
              <w:rPr>
                <w:rFonts w:ascii="宋体" w:eastAsia="宋体" w:hAnsi="宋体" w:cs="宋体"/>
                <w:sz w:val="18"/>
                <w:szCs w:val="18"/>
              </w:rPr>
              <w:t>制品生产车间</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134,620,750.88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86,362,522.39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20,640,344.19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19,366,283.19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87,636,583.39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79.48%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79.48%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1,278,622,734.39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396,855,471.04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405,377,036.70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298,406,300.31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47,001,630.12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456,824,577.31</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D58D8" w:rsidRDefault="000F627F">
      <w:pPr>
        <w:keepNext/>
        <w:keepLines/>
        <w:spacing w:before="300" w:after="300" w:line="280" w:lineRule="exact"/>
        <w:outlineLvl w:val="3"/>
        <w:rPr>
          <w:rFonts w:ascii="宋体" w:eastAsia="宋体" w:hAnsi="宋体" w:cs="宋体"/>
          <w:b/>
          <w:bCs/>
          <w:szCs w:val="21"/>
        </w:rPr>
      </w:pPr>
      <w:bookmarkStart w:id="338" w:name="_Toc989225"/>
      <w:r>
        <w:rPr>
          <w:rFonts w:ascii="宋体" w:eastAsia="宋体" w:hAnsi="宋体" w:cs="宋体"/>
          <w:b/>
          <w:bCs/>
          <w:szCs w:val="21"/>
        </w:rPr>
        <w:t>（3） 本期计提在建工程减值准备情况</w:t>
      </w:r>
      <w:bookmarkEnd w:id="338"/>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339" w:name="_Toc989226"/>
      <w:r>
        <w:rPr>
          <w:rFonts w:ascii="宋体" w:eastAsia="宋体" w:hAnsi="宋体" w:cs="宋体"/>
          <w:b/>
          <w:bCs/>
          <w:szCs w:val="21"/>
        </w:rPr>
        <w:t>（4） 在建工程的减值测试情况</w:t>
      </w:r>
      <w:bookmarkEnd w:id="33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Cs w:val="21"/>
        </w:rPr>
      </w:pPr>
      <w:bookmarkStart w:id="340" w:name="_Toc989227"/>
      <w:r>
        <w:rPr>
          <w:rFonts w:ascii="宋体" w:eastAsia="宋体" w:hAnsi="宋体" w:cs="宋体"/>
          <w:b/>
          <w:bCs/>
          <w:szCs w:val="21"/>
        </w:rPr>
        <w:t>（5） 工程物资</w:t>
      </w:r>
      <w:bookmarkEnd w:id="340"/>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0D58D8">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341" w:name="_Toc989228"/>
      <w:r>
        <w:rPr>
          <w:rFonts w:ascii="宋体" w:hAnsi="宋体" w:cs="宋体"/>
          <w:b/>
          <w:bCs/>
        </w:rPr>
        <w:t>23、生产性生物资产</w:t>
      </w:r>
      <w:bookmarkEnd w:id="341"/>
    </w:p>
    <w:p w:rsidR="000D58D8" w:rsidRDefault="000F627F">
      <w:pPr>
        <w:keepNext/>
        <w:keepLines/>
        <w:spacing w:before="300" w:after="300" w:line="280" w:lineRule="exact"/>
        <w:outlineLvl w:val="3"/>
        <w:rPr>
          <w:rFonts w:ascii="宋体" w:eastAsia="宋体" w:hAnsi="宋体" w:cs="宋体"/>
          <w:b/>
          <w:bCs/>
          <w:szCs w:val="21"/>
        </w:rPr>
      </w:pPr>
      <w:bookmarkStart w:id="342" w:name="_Toc989229"/>
      <w:r>
        <w:rPr>
          <w:rFonts w:ascii="宋体" w:eastAsia="宋体" w:hAnsi="宋体" w:cs="宋体"/>
          <w:b/>
          <w:bCs/>
          <w:szCs w:val="21"/>
        </w:rPr>
        <w:t>（1） 采用成本计量模式的生产性生物资产</w:t>
      </w:r>
      <w:bookmarkEnd w:id="34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Cs w:val="21"/>
        </w:rPr>
      </w:pPr>
      <w:bookmarkStart w:id="343" w:name="_Toc989230"/>
      <w:r>
        <w:rPr>
          <w:rFonts w:ascii="宋体" w:eastAsia="宋体" w:hAnsi="宋体" w:cs="宋体"/>
          <w:b/>
          <w:bCs/>
          <w:szCs w:val="21"/>
        </w:rPr>
        <w:t>（2） 采用成本计量模式的生产性生物资产的减值测试情况</w:t>
      </w:r>
      <w:bookmarkEnd w:id="343"/>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Cs w:val="21"/>
        </w:rPr>
      </w:pPr>
      <w:bookmarkStart w:id="344" w:name="_Toc989231"/>
      <w:r>
        <w:rPr>
          <w:rFonts w:ascii="宋体" w:eastAsia="宋体" w:hAnsi="宋体" w:cs="宋体"/>
          <w:b/>
          <w:bCs/>
          <w:szCs w:val="21"/>
        </w:rPr>
        <w:t>（3） 采用公允价值计量模式的生产性生物资产</w:t>
      </w:r>
      <w:bookmarkEnd w:id="344"/>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345" w:name="_Toc989232"/>
      <w:r>
        <w:rPr>
          <w:rFonts w:ascii="宋体" w:hAnsi="宋体" w:cs="宋体"/>
          <w:b/>
          <w:bCs/>
        </w:rPr>
        <w:t>24、油气资产</w:t>
      </w:r>
      <w:bookmarkEnd w:id="345"/>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346" w:name="_Toc989233"/>
      <w:r>
        <w:rPr>
          <w:rFonts w:ascii="宋体" w:hAnsi="宋体" w:cs="宋体"/>
          <w:b/>
          <w:bCs/>
        </w:rPr>
        <w:lastRenderedPageBreak/>
        <w:t>25、使用权资产</w:t>
      </w:r>
      <w:bookmarkEnd w:id="346"/>
    </w:p>
    <w:p w:rsidR="000D58D8" w:rsidRDefault="000F627F">
      <w:pPr>
        <w:keepNext/>
        <w:keepLines/>
        <w:spacing w:before="300" w:after="300" w:line="280" w:lineRule="exact"/>
        <w:outlineLvl w:val="3"/>
        <w:rPr>
          <w:rFonts w:ascii="宋体" w:eastAsia="宋体" w:hAnsi="宋体" w:cs="宋体"/>
          <w:b/>
          <w:bCs/>
          <w:szCs w:val="21"/>
        </w:rPr>
      </w:pPr>
      <w:bookmarkStart w:id="347" w:name="_Toc989234"/>
      <w:r>
        <w:rPr>
          <w:rFonts w:ascii="宋体" w:eastAsia="宋体" w:hAnsi="宋体" w:cs="宋体"/>
          <w:b/>
          <w:bCs/>
          <w:szCs w:val="21"/>
        </w:rPr>
        <w:t>（1） 使用权资产情况</w:t>
      </w:r>
      <w:bookmarkEnd w:id="34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房屋及建筑物</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机器设备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38,626,838.86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715,358.08</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39,342,196.94</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14,721,289.95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14,721,289.95</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租赁</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14,721,289.95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14,721,289.95</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9,545,005.46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9,545,005.46</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租赁到期</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9,545,005.46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9,545,005.46</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43,803,123.35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715,358.08</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44,518,481.43</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二、累计折旧</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15,906,186.06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160,454.16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16,066,640.22</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8,957,328.45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80,227.08</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9,037,555.53</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8,957,328.45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80,227.08</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9,037,555.53</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7,829,513.59</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7,829,513.59</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租赁到期</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7,829,513.59</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7,829,513.59</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17,034,000.92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240,681.24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17,274,682.16</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26,769,122.43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474,676.84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27,243,799.27</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22,720,652.80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554,903.92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23,275,556.72</w:t>
            </w:r>
          </w:p>
        </w:tc>
      </w:tr>
    </w:tbl>
    <w:p w:rsidR="000D58D8" w:rsidRDefault="000F627F">
      <w:pPr>
        <w:keepNext/>
        <w:keepLines/>
        <w:spacing w:before="300" w:after="300" w:line="280" w:lineRule="exact"/>
        <w:outlineLvl w:val="3"/>
        <w:rPr>
          <w:rFonts w:ascii="宋体" w:eastAsia="宋体" w:hAnsi="宋体" w:cs="宋体"/>
          <w:b/>
          <w:bCs/>
          <w:szCs w:val="21"/>
        </w:rPr>
      </w:pPr>
      <w:bookmarkStart w:id="348" w:name="_Toc989235"/>
      <w:r>
        <w:rPr>
          <w:rFonts w:ascii="宋体" w:eastAsia="宋体" w:hAnsi="宋体" w:cs="宋体"/>
          <w:b/>
          <w:bCs/>
          <w:szCs w:val="21"/>
        </w:rPr>
        <w:t>（2） 使用权资产的减值测试情况</w:t>
      </w:r>
      <w:bookmarkEnd w:id="348"/>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349" w:name="_Toc989236"/>
      <w:r>
        <w:rPr>
          <w:rFonts w:ascii="宋体" w:hAnsi="宋体" w:cs="宋体"/>
          <w:b/>
          <w:bCs/>
        </w:rPr>
        <w:t>26、无形资产</w:t>
      </w:r>
      <w:bookmarkEnd w:id="349"/>
    </w:p>
    <w:p w:rsidR="000D58D8" w:rsidRDefault="000F627F">
      <w:pPr>
        <w:keepNext/>
        <w:keepLines/>
        <w:spacing w:before="300" w:after="300" w:line="280" w:lineRule="exact"/>
        <w:outlineLvl w:val="3"/>
        <w:rPr>
          <w:rFonts w:ascii="宋体" w:eastAsia="宋体" w:hAnsi="宋体" w:cs="宋体"/>
          <w:b/>
          <w:bCs/>
          <w:szCs w:val="21"/>
        </w:rPr>
      </w:pPr>
      <w:bookmarkStart w:id="350" w:name="_Toc989237"/>
      <w:r>
        <w:rPr>
          <w:rFonts w:ascii="宋体" w:eastAsia="宋体" w:hAnsi="宋体" w:cs="宋体"/>
          <w:b/>
          <w:bCs/>
          <w:szCs w:val="21"/>
        </w:rPr>
        <w:t>（1） 无形资产情况</w:t>
      </w:r>
      <w:bookmarkEnd w:id="350"/>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0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51"/>
        <w:gridCol w:w="1913"/>
        <w:gridCol w:w="1914"/>
        <w:gridCol w:w="1914"/>
        <w:gridCol w:w="1914"/>
      </w:tblGrid>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13"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jc w:val="center"/>
              <w:rPr>
                <w:rFonts w:ascii="宋体" w:eastAsia="宋体" w:hAnsi="宋体" w:cs="宋体"/>
                <w:sz w:val="18"/>
                <w:szCs w:val="18"/>
              </w:rPr>
            </w:pPr>
            <w:r>
              <w:rPr>
                <w:rFonts w:ascii="宋体" w:eastAsia="宋体" w:hAnsi="宋体" w:cs="宋体"/>
                <w:sz w:val="18"/>
                <w:szCs w:val="18"/>
              </w:rPr>
              <w:t>土地使用权</w:t>
            </w:r>
          </w:p>
        </w:tc>
        <w:tc>
          <w:tcPr>
            <w:tcW w:w="1914"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jc w:val="center"/>
              <w:rPr>
                <w:rFonts w:ascii="宋体" w:eastAsia="宋体" w:hAnsi="宋体" w:cs="宋体"/>
                <w:sz w:val="18"/>
                <w:szCs w:val="18"/>
              </w:rPr>
            </w:pPr>
            <w:r>
              <w:rPr>
                <w:rFonts w:ascii="宋体" w:eastAsia="宋体" w:hAnsi="宋体" w:cs="宋体"/>
                <w:sz w:val="18"/>
                <w:szCs w:val="18"/>
              </w:rPr>
              <w:t>专利权</w:t>
            </w:r>
          </w:p>
        </w:tc>
        <w:tc>
          <w:tcPr>
            <w:tcW w:w="1914"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jc w:val="center"/>
              <w:rPr>
                <w:rFonts w:ascii="宋体" w:eastAsia="宋体" w:hAnsi="宋体" w:cs="宋体"/>
                <w:sz w:val="18"/>
                <w:szCs w:val="18"/>
              </w:rPr>
            </w:pPr>
            <w:r>
              <w:rPr>
                <w:rFonts w:ascii="宋体" w:eastAsia="宋体" w:hAnsi="宋体" w:cs="宋体"/>
                <w:sz w:val="18"/>
                <w:szCs w:val="18"/>
              </w:rPr>
              <w:t>非专利技术</w:t>
            </w:r>
          </w:p>
        </w:tc>
        <w:tc>
          <w:tcPr>
            <w:tcW w:w="1914"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一、账面原值</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1,127,109,036.56</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29,109,593.98</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9,001,403.77</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1,165,220,034.31</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18,903,170.79</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1,341,105.34</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340,000.00</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20,584,276.13</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（1）购置</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22,502,002.93</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1,341,105.34</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340,000.00</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24,183,108.27</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（2）内部研发</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（3）企业合并增加</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rPr>
                <w:rFonts w:ascii="宋体" w:eastAsia="宋体" w:hAnsi="宋体" w:cs="宋体"/>
                <w:sz w:val="18"/>
                <w:szCs w:val="18"/>
              </w:rPr>
            </w:pPr>
            <w:r>
              <w:rPr>
                <w:rFonts w:ascii="宋体" w:eastAsia="宋体" w:hAnsi="宋体" w:cs="宋体"/>
                <w:sz w:val="18"/>
                <w:szCs w:val="18"/>
              </w:rPr>
              <w:t>（4）外币报表折算差额</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-3,598,832.14</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-3,598,832.14</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113,117,274.21</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6,796.12</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275,939.28</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113,400,009.61</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70,744,785.51</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275,939.28</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71,020,724.79</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rPr>
                <w:rFonts w:ascii="宋体" w:eastAsia="宋体" w:hAnsi="宋体" w:cs="宋体"/>
                <w:sz w:val="18"/>
                <w:szCs w:val="18"/>
              </w:rPr>
            </w:pPr>
            <w:r>
              <w:rPr>
                <w:rFonts w:ascii="宋体" w:eastAsia="宋体" w:hAnsi="宋体" w:cs="宋体"/>
                <w:sz w:val="18"/>
                <w:szCs w:val="18"/>
              </w:rPr>
              <w:t>（2）处置子公司</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42,372,488.70</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6,796.12</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42,379,284.82</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1,032,894,933.14</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30,443,903.20</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9,065,464.49</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1,072,404,300.83</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rPr>
                <w:rFonts w:ascii="宋体" w:eastAsia="宋体" w:hAnsi="宋体" w:cs="宋体"/>
                <w:sz w:val="18"/>
                <w:szCs w:val="18"/>
              </w:rPr>
            </w:pPr>
            <w:r>
              <w:rPr>
                <w:rFonts w:ascii="宋体" w:eastAsia="宋体" w:hAnsi="宋体" w:cs="宋体"/>
                <w:sz w:val="18"/>
                <w:szCs w:val="18"/>
              </w:rPr>
              <w:t>二、累计摊销</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186,704,561.91</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22,767,799.63</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5,626,517.07</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215,098,878.61</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25,392,506.15</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1,485,447.22</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1,775,517.72</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28,653,471.09</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25,913,901.56</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1,485,447.22</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1,775,517.72</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29,174,866.50</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rPr>
                <w:rFonts w:ascii="宋体" w:eastAsia="宋体" w:hAnsi="宋体" w:cs="宋体"/>
                <w:sz w:val="18"/>
                <w:szCs w:val="18"/>
              </w:rPr>
            </w:pPr>
            <w:r>
              <w:rPr>
                <w:rFonts w:ascii="宋体" w:eastAsia="宋体" w:hAnsi="宋体" w:cs="宋体"/>
                <w:sz w:val="18"/>
                <w:szCs w:val="18"/>
              </w:rPr>
              <w:t>（2）外币报表折算差额</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-521,395.41</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-521,395.41</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19,386,319.04</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111,959.63</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501,303.33</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19,999,582.00</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12,340,252.20</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107,485.86</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501,303.33</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12,949,041.39</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rPr>
                <w:rFonts w:ascii="宋体" w:eastAsia="宋体" w:hAnsi="宋体" w:cs="宋体"/>
                <w:sz w:val="18"/>
                <w:szCs w:val="18"/>
              </w:rPr>
            </w:pPr>
            <w:r>
              <w:rPr>
                <w:rFonts w:ascii="宋体" w:eastAsia="宋体" w:hAnsi="宋体" w:cs="宋体"/>
                <w:sz w:val="18"/>
                <w:szCs w:val="18"/>
              </w:rPr>
              <w:t>（2）处置子公司</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7,046,066.84</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4,473.77</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7,050,540.61</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192,710,749.02</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24,141,287.22</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6,900,731.46</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223,752,767.70</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rPr>
                <w:rFonts w:ascii="宋体" w:eastAsia="宋体" w:hAnsi="宋体" w:cs="宋体"/>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rPr>
                <w:rFonts w:ascii="宋体" w:eastAsia="宋体" w:hAnsi="宋体" w:cs="宋体"/>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840,184,184.12</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6,302,615.98</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2,164,733.03</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848,651,533.13</w:t>
            </w:r>
          </w:p>
        </w:tc>
      </w:tr>
      <w:tr w:rsidR="006742FE" w:rsidTr="006742FE">
        <w:trPr>
          <w:trHeight w:val="240"/>
        </w:trPr>
        <w:tc>
          <w:tcPr>
            <w:tcW w:w="1951" w:type="dxa"/>
            <w:tcBorders>
              <w:top w:val="single" w:sz="2" w:space="0" w:color="auto"/>
              <w:left w:val="single" w:sz="2" w:space="0" w:color="auto"/>
              <w:bottom w:val="single" w:sz="2" w:space="0" w:color="auto"/>
              <w:right w:val="single" w:sz="2" w:space="0" w:color="auto"/>
            </w:tcBorders>
            <w:shd w:val="clear" w:color="auto" w:fill="D3D3D3"/>
            <w:vAlign w:val="center"/>
          </w:tcPr>
          <w:p w:rsidR="006742FE" w:rsidRDefault="006742FE">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1913"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940,404,474.65</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6,341,794.35</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3,374,886.70</w:t>
            </w:r>
          </w:p>
        </w:tc>
        <w:tc>
          <w:tcPr>
            <w:tcW w:w="1914" w:type="dxa"/>
            <w:tcBorders>
              <w:top w:val="single" w:sz="2" w:space="0" w:color="auto"/>
              <w:left w:val="single" w:sz="2" w:space="0" w:color="auto"/>
              <w:bottom w:val="single" w:sz="2" w:space="0" w:color="auto"/>
              <w:right w:val="single" w:sz="2" w:space="0" w:color="auto"/>
            </w:tcBorders>
            <w:vAlign w:val="center"/>
          </w:tcPr>
          <w:p w:rsidR="006742FE" w:rsidRDefault="006742FE">
            <w:pPr>
              <w:spacing w:line="240" w:lineRule="exact"/>
              <w:jc w:val="right"/>
              <w:rPr>
                <w:rFonts w:ascii="宋体" w:eastAsia="宋体" w:hAnsi="宋体" w:cs="宋体"/>
                <w:sz w:val="18"/>
                <w:szCs w:val="18"/>
              </w:rPr>
            </w:pPr>
            <w:r>
              <w:rPr>
                <w:rFonts w:ascii="宋体" w:eastAsia="宋体" w:hAnsi="宋体" w:cs="宋体"/>
                <w:sz w:val="18"/>
                <w:szCs w:val="18"/>
              </w:rPr>
              <w:t>950,121,155.70</w:t>
            </w:r>
          </w:p>
        </w:tc>
      </w:tr>
    </w:tbl>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本期末通过公司内部研发形成的无形资产占无形资产余额的比例0.00%。</w:t>
      </w:r>
    </w:p>
    <w:p w:rsidR="000D58D8" w:rsidRDefault="000F627F">
      <w:pPr>
        <w:keepNext/>
        <w:keepLines/>
        <w:spacing w:before="300" w:after="300" w:line="280" w:lineRule="exact"/>
        <w:outlineLvl w:val="3"/>
        <w:rPr>
          <w:rFonts w:ascii="宋体" w:eastAsia="宋体" w:hAnsi="宋体" w:cs="宋体"/>
          <w:b/>
          <w:bCs/>
          <w:szCs w:val="21"/>
        </w:rPr>
      </w:pPr>
      <w:bookmarkStart w:id="351" w:name="_Toc989238"/>
      <w:r>
        <w:rPr>
          <w:rFonts w:ascii="宋体" w:eastAsia="宋体" w:hAnsi="宋体" w:cs="宋体"/>
          <w:b/>
          <w:bCs/>
          <w:szCs w:val="21"/>
        </w:rPr>
        <w:t>（2） 未办妥产权证书的土地使用权情况</w:t>
      </w:r>
      <w:bookmarkEnd w:id="351"/>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未办妥产权证书的原因</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土地使用权</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40,476,973.72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正在办理中</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352" w:name="_Toc989239"/>
      <w:r>
        <w:rPr>
          <w:rFonts w:ascii="宋体" w:eastAsia="宋体" w:hAnsi="宋体" w:cs="宋体"/>
          <w:b/>
          <w:bCs/>
          <w:szCs w:val="21"/>
        </w:rPr>
        <w:lastRenderedPageBreak/>
        <w:t>（3） 无形资产的减值测试情况</w:t>
      </w:r>
      <w:bookmarkEnd w:id="35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353" w:name="_Toc989240"/>
      <w:r>
        <w:rPr>
          <w:rFonts w:ascii="宋体" w:hAnsi="宋体" w:cs="宋体"/>
          <w:b/>
          <w:bCs/>
        </w:rPr>
        <w:t>27、商誉</w:t>
      </w:r>
      <w:bookmarkEnd w:id="353"/>
    </w:p>
    <w:p w:rsidR="000D58D8" w:rsidRDefault="000F627F">
      <w:pPr>
        <w:keepNext/>
        <w:keepLines/>
        <w:spacing w:before="300" w:after="300" w:line="280" w:lineRule="exact"/>
        <w:outlineLvl w:val="3"/>
        <w:rPr>
          <w:rFonts w:ascii="宋体" w:eastAsia="宋体" w:hAnsi="宋体" w:cs="宋体"/>
          <w:b/>
          <w:bCs/>
          <w:szCs w:val="21"/>
        </w:rPr>
      </w:pPr>
      <w:bookmarkStart w:id="354" w:name="_Toc989241"/>
      <w:r>
        <w:rPr>
          <w:rFonts w:ascii="宋体" w:eastAsia="宋体" w:hAnsi="宋体" w:cs="宋体"/>
          <w:b/>
          <w:bCs/>
          <w:szCs w:val="21"/>
        </w:rPr>
        <w:t>（1） 商誉账面原值</w:t>
      </w:r>
      <w:bookmarkEnd w:id="354"/>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0D58D8">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rsidTr="006742F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企业合并形成的</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center"/>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处置</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center"/>
              <w:rPr>
                <w:rFonts w:ascii="宋体" w:eastAsia="宋体" w:hAnsi="宋体" w:cs="宋体"/>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rsidTr="006742F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新疆棉花交易市场有限责任公司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3,861,366.21</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3,861,366.21</w:t>
            </w:r>
          </w:p>
        </w:tc>
      </w:tr>
      <w:tr w:rsidR="000D58D8" w:rsidTr="006742F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浙江博忆纺织科技有限公司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5,724,454.02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5,724,454.02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浙江鲲驰互联科技有限公司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147,900,475.26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147,900,475.26</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157,486,295.49</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5,724,454.02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151,761,841.47</w:t>
            </w:r>
          </w:p>
        </w:tc>
      </w:tr>
    </w:tbl>
    <w:p w:rsidR="000D58D8" w:rsidRDefault="000F627F">
      <w:pPr>
        <w:keepNext/>
        <w:keepLines/>
        <w:spacing w:before="300" w:after="300" w:line="280" w:lineRule="exact"/>
        <w:outlineLvl w:val="3"/>
        <w:rPr>
          <w:rFonts w:ascii="宋体" w:eastAsia="宋体" w:hAnsi="宋体" w:cs="宋体"/>
          <w:b/>
          <w:bCs/>
          <w:szCs w:val="21"/>
        </w:rPr>
      </w:pPr>
      <w:bookmarkStart w:id="355" w:name="_Toc989242"/>
      <w:r>
        <w:rPr>
          <w:rFonts w:ascii="宋体" w:eastAsia="宋体" w:hAnsi="宋体" w:cs="宋体"/>
          <w:b/>
          <w:bCs/>
          <w:szCs w:val="21"/>
        </w:rPr>
        <w:t>（2） 商誉减值准备</w:t>
      </w:r>
      <w:bookmarkEnd w:id="355"/>
    </w:p>
    <w:p w:rsidR="000D58D8" w:rsidRDefault="000F627F" w:rsidP="006742FE">
      <w:pPr>
        <w:keepNext/>
        <w:keepLines/>
        <w:spacing w:before="300" w:after="300" w:line="280" w:lineRule="exact"/>
        <w:outlineLvl w:val="3"/>
        <w:rPr>
          <w:rFonts w:ascii="宋体" w:eastAsia="宋体" w:hAnsi="宋体" w:cs="宋体"/>
          <w:sz w:val="18"/>
          <w:szCs w:val="18"/>
        </w:rPr>
      </w:pPr>
      <w:bookmarkStart w:id="356" w:name="_Toc989243"/>
      <w:r>
        <w:rPr>
          <w:rFonts w:ascii="宋体" w:eastAsia="宋体" w:hAnsi="宋体" w:cs="宋体"/>
          <w:b/>
          <w:bCs/>
          <w:szCs w:val="21"/>
        </w:rPr>
        <w:t>（3） 商誉所在资产组或资产组组合的相关信息</w:t>
      </w:r>
      <w:bookmarkEnd w:id="356"/>
      <w:r>
        <w:rPr>
          <w:rFonts w:ascii="宋体" w:eastAsia="宋体" w:hAnsi="宋体" w:cs="宋体"/>
          <w:sz w:val="18"/>
          <w:szCs w:val="18"/>
        </w:rPr>
        <w:t>其他说明</w:t>
      </w:r>
    </w:p>
    <w:p w:rsidR="000F627F" w:rsidRPr="006742FE" w:rsidRDefault="000F627F" w:rsidP="006742FE">
      <w:pPr>
        <w:pStyle w:val="a3"/>
        <w:spacing w:before="0" w:beforeAutospacing="0" w:after="0" w:afterAutospacing="0" w:line="360" w:lineRule="auto"/>
        <w:ind w:firstLine="420"/>
        <w:divId w:val="1614551395"/>
        <w:rPr>
          <w:rFonts w:asciiTheme="minorEastAsia" w:eastAsiaTheme="minorEastAsia" w:hAnsiTheme="minorEastAsia"/>
          <w:sz w:val="21"/>
          <w:szCs w:val="21"/>
        </w:rPr>
      </w:pPr>
      <w:r w:rsidRPr="006742FE">
        <w:rPr>
          <w:rFonts w:asciiTheme="minorEastAsia" w:eastAsiaTheme="minorEastAsia" w:hAnsiTheme="minorEastAsia" w:hint="eastAsia"/>
          <w:sz w:val="18"/>
          <w:szCs w:val="18"/>
        </w:rPr>
        <w:t>本公司之子公司新疆华孚棉业于2018年1月对新疆棉花交易市场进行增资；注入增资款3,520.00万元，占总价款的100%；合并日，取得的被投资单位可辨认净资产公允价值份额为3233.86万元，从而形成商誉386.14万元；</w:t>
      </w:r>
    </w:p>
    <w:p w:rsidR="000F627F" w:rsidRPr="006742FE" w:rsidRDefault="000F627F" w:rsidP="006742FE">
      <w:pPr>
        <w:pStyle w:val="a3"/>
        <w:spacing w:before="0" w:beforeAutospacing="0" w:after="0" w:afterAutospacing="0" w:line="360" w:lineRule="auto"/>
        <w:ind w:firstLine="420"/>
        <w:divId w:val="1614551395"/>
        <w:rPr>
          <w:rFonts w:asciiTheme="minorEastAsia" w:eastAsiaTheme="minorEastAsia" w:hAnsiTheme="minorEastAsia"/>
          <w:sz w:val="21"/>
          <w:szCs w:val="21"/>
        </w:rPr>
      </w:pPr>
      <w:r w:rsidRPr="006742FE">
        <w:rPr>
          <w:rFonts w:asciiTheme="minorEastAsia" w:eastAsiaTheme="minorEastAsia" w:hAnsiTheme="minorEastAsia" w:hint="eastAsia"/>
          <w:sz w:val="18"/>
          <w:szCs w:val="18"/>
        </w:rPr>
        <w:t>本公司子公司深圳</w:t>
      </w:r>
      <w:proofErr w:type="gramStart"/>
      <w:r w:rsidRPr="006742FE">
        <w:rPr>
          <w:rFonts w:asciiTheme="minorEastAsia" w:eastAsiaTheme="minorEastAsia" w:hAnsiTheme="minorEastAsia" w:hint="eastAsia"/>
          <w:sz w:val="18"/>
          <w:szCs w:val="18"/>
        </w:rPr>
        <w:t>网链于</w:t>
      </w:r>
      <w:proofErr w:type="gramEnd"/>
      <w:r w:rsidRPr="006742FE">
        <w:rPr>
          <w:rFonts w:asciiTheme="minorEastAsia" w:eastAsiaTheme="minorEastAsia" w:hAnsiTheme="minorEastAsia" w:hint="eastAsia"/>
          <w:sz w:val="18"/>
          <w:szCs w:val="18"/>
        </w:rPr>
        <w:t>2021年8月以现金27,083.00万元和持有的阿克苏纺织小商品产业园有限公司100%股权、浙江博忆纺织科技有限公司51%股权、浙江易孚贸易有限公司70%股权向目标公司浙江鲲驰互联科技有限公司进行增资，投资成本合计为39,161.60万元 ， 取得的被投资单位可辨认净资产公允价值份额为</w:t>
      </w:r>
      <w:r w:rsidRPr="006742FE">
        <w:rPr>
          <w:rFonts w:asciiTheme="minorEastAsia" w:eastAsiaTheme="minorEastAsia" w:hAnsiTheme="minorEastAsia" w:cs="Times New Roman"/>
          <w:sz w:val="18"/>
          <w:szCs w:val="18"/>
        </w:rPr>
        <w:t>24,371.55</w:t>
      </w:r>
      <w:r w:rsidRPr="006742FE">
        <w:rPr>
          <w:rFonts w:asciiTheme="minorEastAsia" w:eastAsiaTheme="minorEastAsia" w:hAnsiTheme="minorEastAsia" w:hint="eastAsia"/>
          <w:sz w:val="18"/>
          <w:szCs w:val="18"/>
        </w:rPr>
        <w:t>万元，从而形成商誉</w:t>
      </w:r>
      <w:r w:rsidRPr="006742FE">
        <w:rPr>
          <w:rFonts w:asciiTheme="minorEastAsia" w:eastAsiaTheme="minorEastAsia" w:hAnsiTheme="minorEastAsia" w:cs="Times New Roman"/>
          <w:sz w:val="18"/>
          <w:szCs w:val="18"/>
        </w:rPr>
        <w:t>14,790.05</w:t>
      </w:r>
      <w:r w:rsidRPr="006742FE">
        <w:rPr>
          <w:rFonts w:asciiTheme="minorEastAsia" w:eastAsiaTheme="minorEastAsia" w:hAnsiTheme="minorEastAsia" w:hint="eastAsia"/>
          <w:sz w:val="18"/>
          <w:szCs w:val="18"/>
        </w:rPr>
        <w:t>万元。 </w:t>
      </w:r>
    </w:p>
    <w:p w:rsidR="000F627F" w:rsidRPr="006742FE" w:rsidRDefault="000F627F" w:rsidP="006742FE">
      <w:pPr>
        <w:pStyle w:val="a3"/>
        <w:spacing w:before="0" w:beforeAutospacing="0" w:after="0" w:afterAutospacing="0"/>
        <w:ind w:firstLine="420"/>
        <w:divId w:val="1614551395"/>
        <w:rPr>
          <w:rFonts w:asciiTheme="minorEastAsia" w:eastAsiaTheme="minorEastAsia" w:hAnsiTheme="minorEastAsia" w:cs="Times New Roman"/>
          <w:sz w:val="21"/>
          <w:szCs w:val="21"/>
        </w:rPr>
      </w:pPr>
      <w:r w:rsidRPr="006742FE">
        <w:rPr>
          <w:rFonts w:asciiTheme="minorEastAsia" w:eastAsiaTheme="minorEastAsia" w:hAnsiTheme="minorEastAsia" w:cs="Times New Roman" w:hint="eastAsia"/>
          <w:sz w:val="18"/>
          <w:szCs w:val="18"/>
        </w:rPr>
        <w:t>上述资产组与购买日所确认的资产组一致。</w:t>
      </w:r>
    </w:p>
    <w:p w:rsidR="000F627F" w:rsidRPr="006742FE" w:rsidRDefault="000F627F" w:rsidP="006742FE">
      <w:pPr>
        <w:widowControl/>
        <w:numPr>
          <w:ilvl w:val="0"/>
          <w:numId w:val="125"/>
        </w:numPr>
        <w:divId w:val="1614551395"/>
        <w:rPr>
          <w:rFonts w:asciiTheme="minorEastAsia" w:hAnsiTheme="minorEastAsia" w:cs="宋体"/>
          <w:sz w:val="18"/>
          <w:szCs w:val="18"/>
        </w:rPr>
      </w:pPr>
      <w:r w:rsidRPr="006742FE">
        <w:rPr>
          <w:rFonts w:asciiTheme="minorEastAsia" w:hAnsiTheme="minorEastAsia" w:hint="eastAsia"/>
          <w:sz w:val="18"/>
          <w:szCs w:val="18"/>
        </w:rPr>
        <w:t>．</w:t>
      </w:r>
      <w:r w:rsidRPr="006742FE">
        <w:rPr>
          <w:rFonts w:asciiTheme="minorEastAsia" w:hAnsiTheme="minorEastAsia" w:cs="Times New Roman"/>
          <w:sz w:val="18"/>
          <w:szCs w:val="18"/>
        </w:rPr>
        <w:t xml:space="preserve"> </w:t>
      </w:r>
      <w:r w:rsidRPr="006742FE">
        <w:rPr>
          <w:rFonts w:asciiTheme="minorEastAsia" w:hAnsiTheme="minorEastAsia" w:hint="eastAsia"/>
          <w:sz w:val="18"/>
          <w:szCs w:val="18"/>
        </w:rPr>
        <w:t>商誉减值测试过程、关键参数及商誉减值损失的确认方法</w:t>
      </w:r>
    </w:p>
    <w:p w:rsidR="000F627F" w:rsidRPr="006742FE" w:rsidRDefault="000F627F" w:rsidP="006742FE">
      <w:pPr>
        <w:pStyle w:val="a3"/>
        <w:spacing w:before="0" w:beforeAutospacing="0" w:after="0" w:afterAutospacing="0" w:line="360" w:lineRule="auto"/>
        <w:ind w:firstLine="420"/>
        <w:divId w:val="1614551395"/>
        <w:rPr>
          <w:rFonts w:asciiTheme="minorEastAsia" w:eastAsiaTheme="minorEastAsia" w:hAnsiTheme="minorEastAsia"/>
          <w:sz w:val="21"/>
          <w:szCs w:val="21"/>
        </w:rPr>
      </w:pPr>
      <w:r w:rsidRPr="006742FE">
        <w:rPr>
          <w:rFonts w:asciiTheme="minorEastAsia" w:eastAsiaTheme="minorEastAsia" w:hAnsiTheme="minorEastAsia" w:hint="eastAsia"/>
          <w:sz w:val="18"/>
          <w:szCs w:val="18"/>
        </w:rPr>
        <w:t>公司结合与商誉相关的能够从企业合并的协同效应中受益的资产组或者资产组组合进行商</w:t>
      </w:r>
      <w:proofErr w:type="gramStart"/>
      <w:r w:rsidRPr="006742FE">
        <w:rPr>
          <w:rFonts w:asciiTheme="minorEastAsia" w:eastAsiaTheme="minorEastAsia" w:hAnsiTheme="minorEastAsia" w:hint="eastAsia"/>
          <w:sz w:val="18"/>
          <w:szCs w:val="18"/>
        </w:rPr>
        <w:t>誉</w:t>
      </w:r>
      <w:proofErr w:type="gramEnd"/>
      <w:r w:rsidRPr="006742FE">
        <w:rPr>
          <w:rFonts w:asciiTheme="minorEastAsia" w:eastAsiaTheme="minorEastAsia" w:hAnsiTheme="minorEastAsia" w:hint="eastAsia"/>
          <w:sz w:val="18"/>
          <w:szCs w:val="18"/>
        </w:rPr>
        <w:t>减值测试。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w:t>
      </w:r>
      <w:proofErr w:type="gramStart"/>
      <w:r w:rsidRPr="006742FE">
        <w:rPr>
          <w:rFonts w:asciiTheme="minorEastAsia" w:eastAsiaTheme="minorEastAsia" w:hAnsiTheme="minorEastAsia" w:hint="eastAsia"/>
          <w:sz w:val="18"/>
          <w:szCs w:val="18"/>
        </w:rPr>
        <w:t>与其可</w:t>
      </w:r>
      <w:proofErr w:type="gramEnd"/>
      <w:r w:rsidRPr="006742FE">
        <w:rPr>
          <w:rFonts w:asciiTheme="minorEastAsia" w:eastAsiaTheme="minorEastAsia" w:hAnsiTheme="minorEastAsia" w:hint="eastAsia"/>
          <w:sz w:val="18"/>
          <w:szCs w:val="18"/>
        </w:rPr>
        <w:t>收回金额，如相关资产组或者资产组组合的可收回金额低于其账面价值的确认商誉的减值损失。</w:t>
      </w:r>
    </w:p>
    <w:p w:rsidR="000F627F" w:rsidRPr="006742FE" w:rsidRDefault="000F627F" w:rsidP="006742FE">
      <w:pPr>
        <w:pStyle w:val="a3"/>
        <w:spacing w:before="0" w:beforeAutospacing="0" w:after="0" w:afterAutospacing="0" w:line="360" w:lineRule="auto"/>
        <w:ind w:firstLine="420"/>
        <w:divId w:val="1614551395"/>
        <w:rPr>
          <w:rFonts w:asciiTheme="minorEastAsia" w:eastAsiaTheme="minorEastAsia" w:hAnsiTheme="minorEastAsia"/>
          <w:sz w:val="21"/>
          <w:szCs w:val="21"/>
        </w:rPr>
      </w:pPr>
      <w:r w:rsidRPr="006742FE">
        <w:rPr>
          <w:rFonts w:asciiTheme="minorEastAsia" w:eastAsiaTheme="minorEastAsia" w:hAnsiTheme="minorEastAsia" w:hint="eastAsia"/>
          <w:sz w:val="18"/>
          <w:szCs w:val="18"/>
        </w:rPr>
        <w:t>相关测试过程及结果如下：</w:t>
      </w:r>
    </w:p>
    <w:p w:rsidR="000F627F" w:rsidRPr="006742FE" w:rsidRDefault="000F627F" w:rsidP="006742FE">
      <w:pPr>
        <w:pStyle w:val="a3"/>
        <w:spacing w:before="0" w:beforeAutospacing="0" w:after="0" w:afterAutospacing="0" w:line="360" w:lineRule="auto"/>
        <w:ind w:firstLine="420"/>
        <w:divId w:val="1614551395"/>
        <w:rPr>
          <w:rFonts w:asciiTheme="minorEastAsia" w:eastAsiaTheme="minorEastAsia" w:hAnsiTheme="minorEastAsia"/>
          <w:sz w:val="21"/>
          <w:szCs w:val="21"/>
        </w:rPr>
      </w:pPr>
      <w:r w:rsidRPr="006742FE">
        <w:rPr>
          <w:rFonts w:asciiTheme="minorEastAsia" w:eastAsiaTheme="minorEastAsia" w:hAnsiTheme="minorEastAsia" w:hint="eastAsia"/>
          <w:sz w:val="18"/>
          <w:szCs w:val="18"/>
        </w:rPr>
        <w:lastRenderedPageBreak/>
        <w:t>（1）新疆棉花交易市场相关资产组的可收回金额是基于以前年度的经营情况、行业发展水平及管理层对市场发展的预期等因素，采用13.98%的折现率，测算预计未来现金流量现值确定得出。报告期内新疆棉花交易市场收入和利润都较收购前有了较大幅度增长，经公司管理层测算、评估，资产组可收回金额大于账面价值，确认商誉不存在减值的迹象，故未计提减值准备。</w:t>
      </w:r>
    </w:p>
    <w:p w:rsidR="000F627F" w:rsidRPr="006742FE" w:rsidRDefault="000F627F" w:rsidP="006742FE">
      <w:pPr>
        <w:pStyle w:val="a3"/>
        <w:spacing w:before="0" w:beforeAutospacing="0" w:after="0" w:afterAutospacing="0" w:line="360" w:lineRule="auto"/>
        <w:ind w:firstLine="420"/>
        <w:jc w:val="both"/>
        <w:divId w:val="1614551395"/>
        <w:rPr>
          <w:rFonts w:asciiTheme="minorEastAsia" w:eastAsiaTheme="minorEastAsia" w:hAnsiTheme="minorEastAsia"/>
          <w:sz w:val="21"/>
          <w:szCs w:val="21"/>
        </w:rPr>
      </w:pPr>
      <w:r w:rsidRPr="006742FE">
        <w:rPr>
          <w:rFonts w:asciiTheme="minorEastAsia" w:eastAsiaTheme="minorEastAsia" w:hAnsiTheme="minorEastAsia" w:hint="eastAsia"/>
          <w:sz w:val="18"/>
          <w:szCs w:val="18"/>
        </w:rPr>
        <w:t>(2）</w:t>
      </w:r>
      <w:r w:rsidRPr="006742FE">
        <w:rPr>
          <w:rFonts w:asciiTheme="minorEastAsia" w:eastAsiaTheme="minorEastAsia" w:hAnsiTheme="minorEastAsia" w:hint="eastAsia"/>
          <w:color w:val="FFFFFF"/>
          <w:sz w:val="18"/>
          <w:szCs w:val="18"/>
        </w:rPr>
        <w:t xml:space="preserve"> </w:t>
      </w:r>
      <w:r w:rsidRPr="006742FE">
        <w:rPr>
          <w:rFonts w:asciiTheme="minorEastAsia" w:eastAsiaTheme="minorEastAsia" w:hAnsiTheme="minorEastAsia" w:hint="eastAsia"/>
          <w:color w:val="000000"/>
          <w:sz w:val="18"/>
          <w:szCs w:val="18"/>
        </w:rPr>
        <w:t>深圳</w:t>
      </w:r>
      <w:proofErr w:type="gramStart"/>
      <w:r w:rsidRPr="006742FE">
        <w:rPr>
          <w:rFonts w:asciiTheme="minorEastAsia" w:eastAsiaTheme="minorEastAsia" w:hAnsiTheme="minorEastAsia" w:hint="eastAsia"/>
          <w:color w:val="000000"/>
          <w:sz w:val="18"/>
          <w:szCs w:val="18"/>
        </w:rPr>
        <w:t>网链于</w:t>
      </w:r>
      <w:proofErr w:type="gramEnd"/>
      <w:r w:rsidRPr="006742FE">
        <w:rPr>
          <w:rFonts w:asciiTheme="minorEastAsia" w:eastAsiaTheme="minorEastAsia" w:hAnsiTheme="minorEastAsia" w:cs="Times New Roman"/>
          <w:color w:val="000000"/>
          <w:sz w:val="18"/>
          <w:szCs w:val="18"/>
        </w:rPr>
        <w:t>2021</w:t>
      </w:r>
      <w:r w:rsidRPr="006742FE">
        <w:rPr>
          <w:rFonts w:asciiTheme="minorEastAsia" w:eastAsiaTheme="minorEastAsia" w:hAnsiTheme="minorEastAsia" w:hint="eastAsia"/>
          <w:color w:val="000000"/>
          <w:sz w:val="18"/>
          <w:szCs w:val="18"/>
        </w:rPr>
        <w:t>年</w:t>
      </w:r>
      <w:r w:rsidRPr="006742FE">
        <w:rPr>
          <w:rFonts w:asciiTheme="minorEastAsia" w:eastAsiaTheme="minorEastAsia" w:hAnsiTheme="minorEastAsia" w:cs="Times New Roman"/>
          <w:color w:val="000000"/>
          <w:sz w:val="18"/>
          <w:szCs w:val="18"/>
        </w:rPr>
        <w:t>8</w:t>
      </w:r>
      <w:r w:rsidRPr="006742FE">
        <w:rPr>
          <w:rFonts w:asciiTheme="minorEastAsia" w:eastAsiaTheme="minorEastAsia" w:hAnsiTheme="minorEastAsia" w:hint="eastAsia"/>
          <w:color w:val="000000"/>
          <w:sz w:val="18"/>
          <w:szCs w:val="18"/>
        </w:rPr>
        <w:t>月向浙江</w:t>
      </w:r>
      <w:proofErr w:type="gramStart"/>
      <w:r w:rsidRPr="006742FE">
        <w:rPr>
          <w:rFonts w:asciiTheme="minorEastAsia" w:eastAsiaTheme="minorEastAsia" w:hAnsiTheme="minorEastAsia" w:hint="eastAsia"/>
          <w:color w:val="000000"/>
          <w:sz w:val="18"/>
          <w:szCs w:val="18"/>
        </w:rPr>
        <w:t>鲲</w:t>
      </w:r>
      <w:proofErr w:type="gramEnd"/>
      <w:r w:rsidRPr="006742FE">
        <w:rPr>
          <w:rFonts w:asciiTheme="minorEastAsia" w:eastAsiaTheme="minorEastAsia" w:hAnsiTheme="minorEastAsia" w:hint="eastAsia"/>
          <w:color w:val="000000"/>
          <w:sz w:val="18"/>
          <w:szCs w:val="18"/>
        </w:rPr>
        <w:t>驰增资后累计持有其</w:t>
      </w:r>
      <w:r w:rsidRPr="006742FE">
        <w:rPr>
          <w:rFonts w:asciiTheme="minorEastAsia" w:eastAsiaTheme="minorEastAsia" w:hAnsiTheme="minorEastAsia" w:cs="Times New Roman"/>
          <w:color w:val="000000"/>
          <w:sz w:val="18"/>
          <w:szCs w:val="18"/>
        </w:rPr>
        <w:t>64.9515%</w:t>
      </w:r>
      <w:r w:rsidRPr="006742FE">
        <w:rPr>
          <w:rFonts w:asciiTheme="minorEastAsia" w:eastAsiaTheme="minorEastAsia" w:hAnsiTheme="minorEastAsia" w:hint="eastAsia"/>
          <w:color w:val="000000"/>
          <w:sz w:val="18"/>
          <w:szCs w:val="18"/>
        </w:rPr>
        <w:t>股权，</w:t>
      </w:r>
      <w:r w:rsidRPr="006742FE">
        <w:rPr>
          <w:rFonts w:asciiTheme="minorEastAsia" w:eastAsiaTheme="minorEastAsia" w:hAnsiTheme="minorEastAsia" w:cs="Times New Roman"/>
          <w:color w:val="000000"/>
          <w:sz w:val="18"/>
          <w:szCs w:val="18"/>
        </w:rPr>
        <w:t>2023</w:t>
      </w:r>
      <w:r w:rsidRPr="006742FE">
        <w:rPr>
          <w:rFonts w:asciiTheme="minorEastAsia" w:eastAsiaTheme="minorEastAsia" w:hAnsiTheme="minorEastAsia" w:hint="eastAsia"/>
          <w:color w:val="000000"/>
          <w:sz w:val="18"/>
          <w:szCs w:val="18"/>
        </w:rPr>
        <w:t>年</w:t>
      </w:r>
      <w:r w:rsidRPr="006742FE">
        <w:rPr>
          <w:rFonts w:asciiTheme="minorEastAsia" w:eastAsiaTheme="minorEastAsia" w:hAnsiTheme="minorEastAsia" w:cs="Times New Roman"/>
          <w:color w:val="000000"/>
          <w:sz w:val="18"/>
          <w:szCs w:val="18"/>
        </w:rPr>
        <w:t>12</w:t>
      </w:r>
      <w:r w:rsidRPr="006742FE">
        <w:rPr>
          <w:rFonts w:asciiTheme="minorEastAsia" w:eastAsiaTheme="minorEastAsia" w:hAnsiTheme="minorEastAsia" w:hint="eastAsia"/>
          <w:color w:val="000000"/>
          <w:sz w:val="18"/>
          <w:szCs w:val="18"/>
        </w:rPr>
        <w:t>月</w:t>
      </w:r>
      <w:r w:rsidRPr="006742FE">
        <w:rPr>
          <w:rFonts w:asciiTheme="minorEastAsia" w:eastAsiaTheme="minorEastAsia" w:hAnsiTheme="minorEastAsia" w:cs="Times New Roman"/>
          <w:color w:val="000000"/>
          <w:sz w:val="18"/>
          <w:szCs w:val="18"/>
        </w:rPr>
        <w:t>31</w:t>
      </w:r>
      <w:r w:rsidRPr="006742FE">
        <w:rPr>
          <w:rFonts w:asciiTheme="minorEastAsia" w:eastAsiaTheme="minorEastAsia" w:hAnsiTheme="minorEastAsia" w:hint="eastAsia"/>
          <w:color w:val="000000"/>
          <w:sz w:val="18"/>
          <w:szCs w:val="18"/>
        </w:rPr>
        <w:t>日商誉经北京北方</w:t>
      </w:r>
      <w:proofErr w:type="gramStart"/>
      <w:r w:rsidRPr="006742FE">
        <w:rPr>
          <w:rFonts w:asciiTheme="minorEastAsia" w:eastAsiaTheme="minorEastAsia" w:hAnsiTheme="minorEastAsia" w:hint="eastAsia"/>
          <w:color w:val="000000"/>
          <w:sz w:val="18"/>
          <w:szCs w:val="18"/>
        </w:rPr>
        <w:t>亚事资产</w:t>
      </w:r>
      <w:proofErr w:type="gramEnd"/>
      <w:r w:rsidRPr="006742FE">
        <w:rPr>
          <w:rFonts w:asciiTheme="minorEastAsia" w:eastAsiaTheme="minorEastAsia" w:hAnsiTheme="minorEastAsia" w:hint="eastAsia"/>
          <w:color w:val="000000"/>
          <w:sz w:val="18"/>
          <w:szCs w:val="18"/>
        </w:rPr>
        <w:t>评估事务所（特殊普通合伙）评估确认，并出具了</w:t>
      </w:r>
      <w:proofErr w:type="gramStart"/>
      <w:r w:rsidRPr="006742FE">
        <w:rPr>
          <w:rFonts w:asciiTheme="minorEastAsia" w:eastAsiaTheme="minorEastAsia" w:hAnsiTheme="minorEastAsia" w:hint="eastAsia"/>
          <w:color w:val="000000"/>
          <w:sz w:val="18"/>
          <w:szCs w:val="18"/>
        </w:rPr>
        <w:t>北方亚事评报</w:t>
      </w:r>
      <w:proofErr w:type="gramEnd"/>
      <w:r w:rsidRPr="006742FE">
        <w:rPr>
          <w:rFonts w:asciiTheme="minorEastAsia" w:eastAsiaTheme="minorEastAsia" w:hAnsiTheme="minorEastAsia" w:hint="eastAsia"/>
          <w:color w:val="000000"/>
          <w:sz w:val="18"/>
          <w:szCs w:val="18"/>
        </w:rPr>
        <w:t>字</w:t>
      </w:r>
      <w:r w:rsidRPr="006742FE">
        <w:rPr>
          <w:rFonts w:asciiTheme="minorEastAsia" w:eastAsiaTheme="minorEastAsia" w:hAnsiTheme="minorEastAsia" w:cs="Times New Roman"/>
          <w:color w:val="000000"/>
          <w:sz w:val="18"/>
          <w:szCs w:val="18"/>
        </w:rPr>
        <w:t>[2024]</w:t>
      </w:r>
      <w:r w:rsidRPr="006742FE">
        <w:rPr>
          <w:rFonts w:asciiTheme="minorEastAsia" w:eastAsiaTheme="minorEastAsia" w:hAnsiTheme="minorEastAsia" w:hint="eastAsia"/>
          <w:color w:val="000000"/>
          <w:sz w:val="18"/>
          <w:szCs w:val="18"/>
        </w:rPr>
        <w:t>第</w:t>
      </w:r>
      <w:r w:rsidRPr="006742FE">
        <w:rPr>
          <w:rFonts w:asciiTheme="minorEastAsia" w:eastAsiaTheme="minorEastAsia" w:hAnsiTheme="minorEastAsia" w:cs="Times New Roman"/>
          <w:color w:val="000000"/>
          <w:sz w:val="18"/>
          <w:szCs w:val="18"/>
        </w:rPr>
        <w:t>01-454</w:t>
      </w:r>
      <w:r w:rsidRPr="006742FE">
        <w:rPr>
          <w:rFonts w:asciiTheme="minorEastAsia" w:eastAsiaTheme="minorEastAsia" w:hAnsiTheme="minorEastAsia" w:hint="eastAsia"/>
          <w:color w:val="000000"/>
          <w:sz w:val="18"/>
          <w:szCs w:val="18"/>
        </w:rPr>
        <w:t>号评估报告，截止</w:t>
      </w:r>
      <w:r w:rsidRPr="006742FE">
        <w:rPr>
          <w:rFonts w:asciiTheme="minorEastAsia" w:eastAsiaTheme="minorEastAsia" w:hAnsiTheme="minorEastAsia" w:cs="Times New Roman"/>
          <w:color w:val="000000"/>
          <w:sz w:val="18"/>
          <w:szCs w:val="18"/>
        </w:rPr>
        <w:t>2023</w:t>
      </w:r>
      <w:r w:rsidRPr="006742FE">
        <w:rPr>
          <w:rFonts w:asciiTheme="minorEastAsia" w:eastAsiaTheme="minorEastAsia" w:hAnsiTheme="minorEastAsia" w:hint="eastAsia"/>
          <w:color w:val="000000"/>
          <w:sz w:val="18"/>
          <w:szCs w:val="18"/>
        </w:rPr>
        <w:t>年</w:t>
      </w:r>
      <w:r w:rsidRPr="006742FE">
        <w:rPr>
          <w:rFonts w:asciiTheme="minorEastAsia" w:eastAsiaTheme="minorEastAsia" w:hAnsiTheme="minorEastAsia" w:cs="Times New Roman"/>
          <w:color w:val="000000"/>
          <w:sz w:val="18"/>
          <w:szCs w:val="18"/>
        </w:rPr>
        <w:t>12</w:t>
      </w:r>
      <w:r w:rsidRPr="006742FE">
        <w:rPr>
          <w:rFonts w:asciiTheme="minorEastAsia" w:eastAsiaTheme="minorEastAsia" w:hAnsiTheme="minorEastAsia" w:hint="eastAsia"/>
          <w:color w:val="000000"/>
          <w:sz w:val="18"/>
          <w:szCs w:val="18"/>
        </w:rPr>
        <w:t>月</w:t>
      </w:r>
      <w:r w:rsidRPr="006742FE">
        <w:rPr>
          <w:rFonts w:asciiTheme="minorEastAsia" w:eastAsiaTheme="minorEastAsia" w:hAnsiTheme="minorEastAsia" w:cs="Times New Roman"/>
          <w:color w:val="000000"/>
          <w:sz w:val="18"/>
          <w:szCs w:val="18"/>
        </w:rPr>
        <w:t>31</w:t>
      </w:r>
      <w:r w:rsidRPr="006742FE">
        <w:rPr>
          <w:rFonts w:asciiTheme="minorEastAsia" w:eastAsiaTheme="minorEastAsia" w:hAnsiTheme="minorEastAsia" w:hint="eastAsia"/>
          <w:color w:val="000000"/>
          <w:sz w:val="18"/>
          <w:szCs w:val="18"/>
        </w:rPr>
        <w:t>日，包含商誉的相关资产组或者资产组组合的预计可收回金额大于账面价值，确认商誉不存在减值的迹象，故未计提减值准备。 </w:t>
      </w:r>
    </w:p>
    <w:p w:rsidR="000D58D8" w:rsidRDefault="000F627F">
      <w:pPr>
        <w:keepNext/>
        <w:keepLines/>
        <w:spacing w:before="300" w:after="300" w:line="280" w:lineRule="exact"/>
        <w:outlineLvl w:val="3"/>
        <w:rPr>
          <w:rFonts w:ascii="宋体" w:eastAsia="宋体" w:hAnsi="宋体" w:cs="宋体"/>
          <w:b/>
          <w:bCs/>
          <w:szCs w:val="21"/>
        </w:rPr>
      </w:pPr>
      <w:bookmarkStart w:id="357" w:name="_Toc989244"/>
      <w:r>
        <w:rPr>
          <w:rFonts w:ascii="宋体" w:eastAsia="宋体" w:hAnsi="宋体" w:cs="宋体"/>
          <w:b/>
          <w:bCs/>
          <w:szCs w:val="21"/>
        </w:rPr>
        <w:t>（4） 可收回金额的具体确定方法</w:t>
      </w:r>
      <w:bookmarkEnd w:id="357"/>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可收回金额按公允价值减去处置费用后的净额确定</w:t>
      </w:r>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可收回金额按预计未来现金流量的现值确定</w:t>
      </w:r>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前述信息与以前年度减值测试采用的信息或外部信息明显不一致的差异原因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公司以前年度减值测试采用信息与当年实际情况明显不一致的差异原因</w:t>
      </w:r>
    </w:p>
    <w:p w:rsidR="000D58D8" w:rsidRDefault="000F627F">
      <w:pPr>
        <w:keepNext/>
        <w:keepLines/>
        <w:spacing w:before="300" w:after="300" w:line="280" w:lineRule="exact"/>
        <w:outlineLvl w:val="3"/>
        <w:rPr>
          <w:rFonts w:ascii="宋体" w:eastAsia="宋体" w:hAnsi="宋体" w:cs="宋体"/>
          <w:b/>
          <w:bCs/>
          <w:szCs w:val="21"/>
        </w:rPr>
      </w:pPr>
      <w:bookmarkStart w:id="358" w:name="_Toc989245"/>
      <w:r>
        <w:rPr>
          <w:rFonts w:ascii="宋体" w:eastAsia="宋体" w:hAnsi="宋体" w:cs="宋体"/>
          <w:b/>
          <w:bCs/>
          <w:szCs w:val="21"/>
        </w:rPr>
        <w:t>（5） 业绩承诺完成及对应商誉减值情况</w:t>
      </w:r>
      <w:bookmarkEnd w:id="358"/>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形成商誉时存在业绩承诺</w:t>
      </w:r>
      <w:proofErr w:type="gramStart"/>
      <w:r>
        <w:rPr>
          <w:rFonts w:ascii="宋体" w:eastAsia="宋体" w:hAnsi="宋体" w:cs="宋体"/>
          <w:sz w:val="18"/>
          <w:szCs w:val="18"/>
        </w:rPr>
        <w:t>且报告</w:t>
      </w:r>
      <w:proofErr w:type="gramEnd"/>
      <w:r>
        <w:rPr>
          <w:rFonts w:ascii="宋体" w:eastAsia="宋体" w:hAnsi="宋体" w:cs="宋体"/>
          <w:sz w:val="18"/>
          <w:szCs w:val="18"/>
        </w:rPr>
        <w:t>期或报告期上一期间处于业绩承诺期内</w:t>
      </w:r>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6742FE">
        <w:rPr>
          <w:rFonts w:ascii="宋体" w:eastAsia="宋体" w:hAnsi="宋体" w:cs="宋体"/>
          <w:sz w:val="18"/>
          <w:szCs w:val="18"/>
        </w:rPr>
        <w:t>无</w:t>
      </w:r>
    </w:p>
    <w:p w:rsidR="000D58D8" w:rsidRDefault="000F627F">
      <w:pPr>
        <w:pStyle w:val="3"/>
        <w:spacing w:line="280" w:lineRule="exact"/>
        <w:jc w:val="left"/>
        <w:rPr>
          <w:rFonts w:ascii="宋体" w:hAnsi="宋体" w:cs="宋体"/>
          <w:b/>
          <w:bCs/>
        </w:rPr>
      </w:pPr>
      <w:bookmarkStart w:id="359" w:name="_Toc989246"/>
      <w:r>
        <w:rPr>
          <w:rFonts w:ascii="宋体" w:hAnsi="宋体" w:cs="宋体"/>
          <w:b/>
          <w:bCs/>
        </w:rPr>
        <w:t>28、长期待摊费用</w:t>
      </w:r>
      <w:bookmarkEnd w:id="359"/>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本期摊销金额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其他减少金额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装修费</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15,422,242.21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797,465.37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9,980,585.61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460,508.10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5,778,613.87</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机物料</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8,569,061.95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5,087,383.87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3,481,678.08</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租赁费</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15,817.98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15,817.98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7,321,261.92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6,118,650.62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4,303,438.19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187,674.99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8,948,799.36</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31,328,384.06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6,916,115.99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19,387,225.65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648,183.09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18,209,091.31</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6742FE">
        <w:rPr>
          <w:rFonts w:ascii="宋体" w:eastAsia="宋体" w:hAnsi="宋体" w:cs="宋体"/>
          <w:sz w:val="18"/>
          <w:szCs w:val="18"/>
        </w:rPr>
        <w:t>无</w:t>
      </w:r>
    </w:p>
    <w:p w:rsidR="000D58D8" w:rsidRDefault="000F627F">
      <w:pPr>
        <w:pStyle w:val="3"/>
        <w:spacing w:line="280" w:lineRule="exact"/>
        <w:jc w:val="left"/>
        <w:rPr>
          <w:rFonts w:ascii="宋体" w:hAnsi="宋体" w:cs="宋体"/>
          <w:b/>
          <w:bCs/>
        </w:rPr>
      </w:pPr>
      <w:bookmarkStart w:id="360" w:name="_Toc989247"/>
      <w:r>
        <w:rPr>
          <w:rFonts w:ascii="宋体" w:hAnsi="宋体" w:cs="宋体"/>
          <w:b/>
          <w:bCs/>
        </w:rPr>
        <w:t>29、递延所得税资产/递延所得税负债</w:t>
      </w:r>
      <w:bookmarkEnd w:id="360"/>
    </w:p>
    <w:p w:rsidR="000D58D8" w:rsidRDefault="000F627F">
      <w:pPr>
        <w:keepNext/>
        <w:keepLines/>
        <w:spacing w:before="300" w:after="300" w:line="280" w:lineRule="exact"/>
        <w:outlineLvl w:val="3"/>
        <w:rPr>
          <w:rFonts w:ascii="宋体" w:eastAsia="宋体" w:hAnsi="宋体" w:cs="宋体"/>
          <w:b/>
          <w:bCs/>
          <w:szCs w:val="21"/>
        </w:rPr>
      </w:pPr>
      <w:bookmarkStart w:id="361" w:name="_Toc989248"/>
      <w:r>
        <w:rPr>
          <w:rFonts w:ascii="宋体" w:eastAsia="宋体" w:hAnsi="宋体" w:cs="宋体"/>
          <w:b/>
          <w:bCs/>
          <w:szCs w:val="21"/>
        </w:rPr>
        <w:t>（1） 未经</w:t>
      </w:r>
      <w:proofErr w:type="gramStart"/>
      <w:r>
        <w:rPr>
          <w:rFonts w:ascii="宋体" w:eastAsia="宋体" w:hAnsi="宋体" w:cs="宋体"/>
          <w:b/>
          <w:bCs/>
          <w:szCs w:val="21"/>
        </w:rPr>
        <w:t>抵销</w:t>
      </w:r>
      <w:proofErr w:type="gramEnd"/>
      <w:r>
        <w:rPr>
          <w:rFonts w:ascii="宋体" w:eastAsia="宋体" w:hAnsi="宋体" w:cs="宋体"/>
          <w:b/>
          <w:bCs/>
          <w:szCs w:val="21"/>
        </w:rPr>
        <w:t>的递延所得税资产</w:t>
      </w:r>
      <w:bookmarkEnd w:id="361"/>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资产减值准备</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196,547,126.87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29,719,512.14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311,520,421.07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62,680,024.66</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6,165,809.60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1,541,452.40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27,707.51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6,926.88</w:t>
            </w:r>
          </w:p>
        </w:tc>
      </w:tr>
      <w:tr w:rsidR="000D58D8" w:rsidTr="006742F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459,378,160.93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145,464,764.91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664,763,285.63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131,922,292.46</w:t>
            </w:r>
          </w:p>
        </w:tc>
      </w:tr>
      <w:tr w:rsidR="000D58D8" w:rsidTr="006742F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递延收益</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28,805,219.87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2,826,571.99</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22,157,475.32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4,580,278.96</w:t>
            </w:r>
          </w:p>
        </w:tc>
      </w:tr>
      <w:tr w:rsidR="000D58D8" w:rsidTr="006742F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预计负债</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7,610.61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1,522.12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237,600.78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57,448.36</w:t>
            </w:r>
          </w:p>
        </w:tc>
      </w:tr>
      <w:tr w:rsidR="000D58D8" w:rsidTr="006742F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交易性金融资产公允价值变动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20,257,803.24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4,031,150.54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12,011,159.94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2,998,689.99</w:t>
            </w:r>
          </w:p>
        </w:tc>
      </w:tr>
      <w:tr w:rsidR="000D58D8" w:rsidTr="006742F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租赁负债</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2,716,019.79</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529,333.66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4,430,329.24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768,616.10</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713,877,750.91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184,114,307.76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1,015,147,979.49</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203,014,277.41</w:t>
            </w:r>
          </w:p>
        </w:tc>
      </w:tr>
    </w:tbl>
    <w:p w:rsidR="000D58D8" w:rsidRDefault="000F627F">
      <w:pPr>
        <w:keepNext/>
        <w:keepLines/>
        <w:spacing w:before="300" w:after="300" w:line="280" w:lineRule="exact"/>
        <w:outlineLvl w:val="3"/>
        <w:rPr>
          <w:rFonts w:ascii="宋体" w:eastAsia="宋体" w:hAnsi="宋体" w:cs="宋体"/>
          <w:b/>
          <w:bCs/>
          <w:szCs w:val="21"/>
        </w:rPr>
      </w:pPr>
      <w:bookmarkStart w:id="362" w:name="_Toc989249"/>
      <w:r>
        <w:rPr>
          <w:rFonts w:ascii="宋体" w:eastAsia="宋体" w:hAnsi="宋体" w:cs="宋体"/>
          <w:b/>
          <w:bCs/>
          <w:szCs w:val="21"/>
        </w:rPr>
        <w:t>（2） 未经</w:t>
      </w:r>
      <w:proofErr w:type="gramStart"/>
      <w:r>
        <w:rPr>
          <w:rFonts w:ascii="宋体" w:eastAsia="宋体" w:hAnsi="宋体" w:cs="宋体"/>
          <w:b/>
          <w:bCs/>
          <w:szCs w:val="21"/>
        </w:rPr>
        <w:t>抵销</w:t>
      </w:r>
      <w:proofErr w:type="gramEnd"/>
      <w:r>
        <w:rPr>
          <w:rFonts w:ascii="宋体" w:eastAsia="宋体" w:hAnsi="宋体" w:cs="宋体"/>
          <w:b/>
          <w:bCs/>
          <w:szCs w:val="21"/>
        </w:rPr>
        <w:t>的递延所得税负债</w:t>
      </w:r>
      <w:bookmarkEnd w:id="362"/>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企业合并资产评估增值</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32,894,257.20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8,223,564.30</w:t>
            </w:r>
          </w:p>
        </w:tc>
      </w:tr>
      <w:tr w:rsidR="000D58D8" w:rsidTr="006742F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其他权益工具投资公允价值变动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16,474,616.91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2,471,192.54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18,199,104.53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2,729,865.68</w:t>
            </w:r>
          </w:p>
        </w:tc>
      </w:tr>
      <w:tr w:rsidR="000D58D8" w:rsidTr="006742F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固定资产加计扣除</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7,180,137.18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1,795,034.30</w:t>
            </w:r>
          </w:p>
        </w:tc>
      </w:tr>
      <w:tr w:rsidR="000D58D8" w:rsidTr="006742F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已计提尚未收到的政府补助</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73,326,774.87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10,999,016.23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43,943,257.97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6,591,488.70</w:t>
            </w:r>
          </w:p>
        </w:tc>
      </w:tr>
      <w:tr w:rsidR="000D58D8" w:rsidTr="006742F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未实现内部交易损失</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14,378,316.66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3,594,579.17</w:t>
            </w:r>
          </w:p>
        </w:tc>
      </w:tr>
      <w:tr w:rsidR="000D58D8" w:rsidTr="006742F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租赁负债</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25,808.97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3,871.35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41,417.60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6,212.64</w:t>
            </w:r>
          </w:p>
        </w:tc>
      </w:tr>
      <w:tr w:rsidR="000D58D8" w:rsidTr="006742F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交易性金融资产公允价值变动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281,649.36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70,412.34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12,918,000.00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1,937,700.00</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90,108,850.11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13,544,492.46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129,554,491.14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24,878,444.79</w:t>
            </w:r>
          </w:p>
        </w:tc>
      </w:tr>
    </w:tbl>
    <w:p w:rsidR="000D58D8" w:rsidRDefault="000F627F">
      <w:pPr>
        <w:keepNext/>
        <w:keepLines/>
        <w:spacing w:before="300" w:after="300" w:line="280" w:lineRule="exact"/>
        <w:outlineLvl w:val="3"/>
        <w:rPr>
          <w:rFonts w:ascii="宋体" w:eastAsia="宋体" w:hAnsi="宋体" w:cs="宋体"/>
          <w:b/>
          <w:bCs/>
          <w:szCs w:val="21"/>
        </w:rPr>
      </w:pPr>
      <w:bookmarkStart w:id="363" w:name="_Toc989250"/>
      <w:r>
        <w:rPr>
          <w:rFonts w:ascii="宋体" w:eastAsia="宋体" w:hAnsi="宋体" w:cs="宋体"/>
          <w:b/>
          <w:bCs/>
          <w:szCs w:val="21"/>
        </w:rPr>
        <w:t>（3） 以</w:t>
      </w:r>
      <w:proofErr w:type="gramStart"/>
      <w:r>
        <w:rPr>
          <w:rFonts w:ascii="宋体" w:eastAsia="宋体" w:hAnsi="宋体" w:cs="宋体"/>
          <w:b/>
          <w:bCs/>
          <w:szCs w:val="21"/>
        </w:rPr>
        <w:t>抵销</w:t>
      </w:r>
      <w:proofErr w:type="gramEnd"/>
      <w:r>
        <w:rPr>
          <w:rFonts w:ascii="宋体" w:eastAsia="宋体" w:hAnsi="宋体" w:cs="宋体"/>
          <w:b/>
          <w:bCs/>
          <w:szCs w:val="21"/>
        </w:rPr>
        <w:t>后净额列示的递延所得税资产或负债</w:t>
      </w:r>
      <w:bookmarkEnd w:id="363"/>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递延所得税资产和负债期末互</w:t>
            </w:r>
            <w:proofErr w:type="gramStart"/>
            <w:r>
              <w:rPr>
                <w:rFonts w:ascii="宋体" w:eastAsia="宋体" w:hAnsi="宋体" w:cs="宋体"/>
                <w:sz w:val="18"/>
                <w:szCs w:val="18"/>
              </w:rPr>
              <w:t>抵金额</w:t>
            </w:r>
            <w:proofErr w:type="gramEnd"/>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抵销后递延</w:t>
            </w:r>
            <w:proofErr w:type="gramEnd"/>
            <w:r>
              <w:rPr>
                <w:rFonts w:ascii="宋体" w:eastAsia="宋体" w:hAnsi="宋体" w:cs="宋体"/>
                <w:sz w:val="18"/>
                <w:szCs w:val="18"/>
              </w:rPr>
              <w:t>所得税资产或负债期末余额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w:t>
            </w:r>
            <w:proofErr w:type="gramStart"/>
            <w:r>
              <w:rPr>
                <w:rFonts w:ascii="宋体" w:eastAsia="宋体" w:hAnsi="宋体" w:cs="宋体"/>
                <w:sz w:val="18"/>
                <w:szCs w:val="18"/>
              </w:rPr>
              <w:t>初互抵金额</w:t>
            </w:r>
            <w:proofErr w:type="gramEnd"/>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抵销后递延</w:t>
            </w:r>
            <w:proofErr w:type="gramEnd"/>
            <w:r>
              <w:rPr>
                <w:rFonts w:ascii="宋体" w:eastAsia="宋体" w:hAnsi="宋体" w:cs="宋体"/>
                <w:sz w:val="18"/>
                <w:szCs w:val="18"/>
              </w:rPr>
              <w:t>所得税资产或负债期初余额</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184,114,307.76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203,014,277.41</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13,544,492.46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24,878,444.79</w:t>
            </w:r>
          </w:p>
        </w:tc>
      </w:tr>
    </w:tbl>
    <w:p w:rsidR="000D58D8" w:rsidRDefault="000F627F">
      <w:pPr>
        <w:keepNext/>
        <w:keepLines/>
        <w:spacing w:before="300" w:after="300" w:line="280" w:lineRule="exact"/>
        <w:outlineLvl w:val="3"/>
        <w:rPr>
          <w:rFonts w:ascii="宋体" w:eastAsia="宋体" w:hAnsi="宋体" w:cs="宋体"/>
          <w:b/>
          <w:bCs/>
          <w:szCs w:val="21"/>
        </w:rPr>
      </w:pPr>
      <w:bookmarkStart w:id="364" w:name="_Toc989251"/>
      <w:r>
        <w:rPr>
          <w:rFonts w:ascii="宋体" w:eastAsia="宋体" w:hAnsi="宋体" w:cs="宋体"/>
          <w:b/>
          <w:bCs/>
          <w:szCs w:val="21"/>
        </w:rPr>
        <w:t>（4） 未确认递延所得税资产明细</w:t>
      </w:r>
      <w:bookmarkEnd w:id="364"/>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1,238,410,340.12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888,637,113.32</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rsidP="006742FE">
            <w:pPr>
              <w:spacing w:before="40" w:after="40" w:line="240" w:lineRule="exact"/>
              <w:rPr>
                <w:rFonts w:ascii="宋体" w:eastAsia="宋体" w:hAnsi="宋体" w:cs="宋体"/>
                <w:sz w:val="18"/>
                <w:szCs w:val="18"/>
              </w:rPr>
            </w:pPr>
            <w:r>
              <w:rPr>
                <w:rFonts w:ascii="宋体" w:eastAsia="宋体" w:hAnsi="宋体" w:cs="宋体"/>
                <w:sz w:val="18"/>
                <w:szCs w:val="18"/>
              </w:rPr>
              <w:t>坏账准备</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138,453,487.06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181,877,745.09</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rsidP="006742FE">
            <w:pPr>
              <w:spacing w:before="40" w:after="40" w:line="240" w:lineRule="exact"/>
              <w:rPr>
                <w:rFonts w:ascii="宋体" w:eastAsia="宋体" w:hAnsi="宋体" w:cs="宋体"/>
                <w:sz w:val="18"/>
                <w:szCs w:val="18"/>
              </w:rPr>
            </w:pPr>
            <w:r>
              <w:rPr>
                <w:rFonts w:ascii="宋体" w:eastAsia="宋体" w:hAnsi="宋体" w:cs="宋体"/>
                <w:sz w:val="18"/>
                <w:szCs w:val="18"/>
              </w:rPr>
              <w:t>存货跌价准备</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6,781,215.83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173,396,667.13</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rsidP="006742FE">
            <w:pPr>
              <w:spacing w:before="40" w:after="40" w:line="240" w:lineRule="exact"/>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6,821,096.59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67,280,425.12</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rsidP="006742FE">
            <w:pPr>
              <w:spacing w:before="40" w:after="40" w:line="240" w:lineRule="exact"/>
              <w:rPr>
                <w:rFonts w:ascii="宋体" w:eastAsia="宋体" w:hAnsi="宋体" w:cs="宋体"/>
                <w:sz w:val="18"/>
                <w:szCs w:val="18"/>
              </w:rPr>
            </w:pPr>
            <w:r>
              <w:rPr>
                <w:rFonts w:ascii="宋体" w:eastAsia="宋体" w:hAnsi="宋体" w:cs="宋体"/>
                <w:sz w:val="18"/>
                <w:szCs w:val="18"/>
              </w:rPr>
              <w:t>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16,814,105.00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22,608,625.00</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rsidP="006742FE">
            <w:pPr>
              <w:spacing w:before="40" w:after="40" w:line="240" w:lineRule="exact"/>
              <w:rPr>
                <w:rFonts w:ascii="宋体" w:eastAsia="宋体" w:hAnsi="宋体" w:cs="宋体"/>
                <w:sz w:val="18"/>
                <w:szCs w:val="18"/>
              </w:rPr>
            </w:pPr>
            <w:r>
              <w:rPr>
                <w:rFonts w:ascii="宋体" w:eastAsia="宋体" w:hAnsi="宋体" w:cs="宋体"/>
                <w:sz w:val="18"/>
                <w:szCs w:val="18"/>
              </w:rPr>
              <w:t>固定资产减值准备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27,346,564.66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27,346,564.66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1,434,626,809.26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1,361,147,140.32</w:t>
            </w:r>
          </w:p>
        </w:tc>
      </w:tr>
    </w:tbl>
    <w:p w:rsidR="000D58D8" w:rsidRDefault="000F627F">
      <w:pPr>
        <w:keepNext/>
        <w:keepLines/>
        <w:spacing w:before="300" w:after="300" w:line="280" w:lineRule="exact"/>
        <w:outlineLvl w:val="3"/>
        <w:rPr>
          <w:rFonts w:ascii="宋体" w:eastAsia="宋体" w:hAnsi="宋体" w:cs="宋体"/>
          <w:b/>
          <w:bCs/>
          <w:szCs w:val="21"/>
        </w:rPr>
      </w:pPr>
      <w:bookmarkStart w:id="365" w:name="_Toc989252"/>
      <w:r>
        <w:rPr>
          <w:rFonts w:ascii="宋体" w:eastAsia="宋体" w:hAnsi="宋体" w:cs="宋体"/>
          <w:b/>
          <w:bCs/>
          <w:szCs w:val="21"/>
        </w:rPr>
        <w:lastRenderedPageBreak/>
        <w:t>（5） 未确认递延所得税资产的可抵扣亏损将于以下年度到期</w:t>
      </w:r>
      <w:bookmarkEnd w:id="365"/>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366" w:name="_Toc989253"/>
      <w:r>
        <w:rPr>
          <w:rFonts w:ascii="宋体" w:hAnsi="宋体" w:cs="宋体"/>
          <w:b/>
          <w:bCs/>
        </w:rPr>
        <w:t>30、其他非流动资产</w:t>
      </w:r>
      <w:bookmarkEnd w:id="366"/>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0D58D8">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rsidTr="006742F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0D58D8" w:rsidTr="006742F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预付工程设备款</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8,484,785.55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8,484,785.55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43,769,369.80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43,769,369.80</w:t>
            </w:r>
          </w:p>
        </w:tc>
      </w:tr>
      <w:tr w:rsidR="000D58D8" w:rsidTr="006742F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预付购房款</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205,125,725.95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205,125,725.95</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213,610,511.50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213,610,511.50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43,769,369.80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43,769,369.80</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divId w:val="1210847471"/>
        <w:rPr>
          <w:sz w:val="18"/>
          <w:szCs w:val="18"/>
        </w:rPr>
      </w:pPr>
    </w:p>
    <w:p w:rsidR="000D58D8" w:rsidRDefault="000F627F">
      <w:pPr>
        <w:pStyle w:val="3"/>
        <w:spacing w:line="280" w:lineRule="exact"/>
        <w:jc w:val="left"/>
        <w:rPr>
          <w:rFonts w:ascii="宋体" w:hAnsi="宋体" w:cs="宋体"/>
          <w:b/>
          <w:bCs/>
        </w:rPr>
      </w:pPr>
      <w:bookmarkStart w:id="367" w:name="_Toc989254"/>
      <w:r>
        <w:rPr>
          <w:rFonts w:ascii="宋体" w:hAnsi="宋体" w:cs="宋体"/>
          <w:b/>
          <w:bCs/>
        </w:rPr>
        <w:t>31、所有权或使用权受到限制的资产</w:t>
      </w:r>
      <w:bookmarkEnd w:id="36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0D58D8">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w:t>
            </w:r>
          </w:p>
        </w:tc>
      </w:tr>
      <w:tr w:rsidR="000D58D8">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受限类型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受限情况</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受限类型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受限情况</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451,800,076.10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451,800,076.10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票据及借款等保证金</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872,999,804.51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872,999,804.51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票据及借款等保证金</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应收票据</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9,083,903.44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9,083,903.44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应收票据质押借款</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52,323,057.49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52,323,057.49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应收票据质押借款</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3,012,964,801.47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1,837,189,262.44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抵押贷款</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3,309,434,960.75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2,223,312,011.11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抵押贷款</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无形资产</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89,398,298.25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50,296,648.52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抵押贷款</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157,380,654.26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115,238,542.23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抵押贷款</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3,563,247,079.26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2,348,369,890.50</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4,392,138,477.01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3,263,873,415.34</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368" w:name="_Toc989255"/>
      <w:r>
        <w:rPr>
          <w:rFonts w:ascii="宋体" w:hAnsi="宋体" w:cs="宋体"/>
          <w:b/>
          <w:bCs/>
        </w:rPr>
        <w:t>32、短期借款</w:t>
      </w:r>
      <w:bookmarkEnd w:id="368"/>
    </w:p>
    <w:p w:rsidR="000D58D8" w:rsidRDefault="000F627F">
      <w:pPr>
        <w:keepNext/>
        <w:keepLines/>
        <w:spacing w:before="300" w:after="300" w:line="280" w:lineRule="exact"/>
        <w:outlineLvl w:val="3"/>
        <w:rPr>
          <w:rFonts w:ascii="宋体" w:eastAsia="宋体" w:hAnsi="宋体" w:cs="宋体"/>
          <w:b/>
          <w:bCs/>
          <w:szCs w:val="21"/>
        </w:rPr>
      </w:pPr>
      <w:bookmarkStart w:id="369" w:name="_Toc989256"/>
      <w:r>
        <w:rPr>
          <w:rFonts w:ascii="宋体" w:eastAsia="宋体" w:hAnsi="宋体" w:cs="宋体"/>
          <w:b/>
          <w:bCs/>
          <w:szCs w:val="21"/>
        </w:rPr>
        <w:t>（1） 短期借款分类</w:t>
      </w:r>
      <w:bookmarkEnd w:id="369"/>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1,654,713,176.97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抵押借款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1,764,760,457.68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658,829,156.88</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保证借款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2,310,000,000.00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454,576,905.78</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保证及抵押借款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743,000,000.00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3,077,050,000.00</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保证及质押借款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1,456,460,000.00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727,226,585.00</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保证、抵押及质押借款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5,269,005.00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1,074,834,646.23</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信用、抵押及质押借款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801,290,000.00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短期借款利息</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3,168,944.90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2,027,395.48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7,083,948,407.58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7,649,257,866.34</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短期借款分类的说明：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370" w:name="_Toc989257"/>
      <w:r>
        <w:rPr>
          <w:rFonts w:ascii="宋体" w:eastAsia="宋体" w:hAnsi="宋体" w:cs="宋体"/>
          <w:b/>
          <w:bCs/>
          <w:szCs w:val="21"/>
        </w:rPr>
        <w:t>（2） 已逾期</w:t>
      </w:r>
      <w:proofErr w:type="gramStart"/>
      <w:r>
        <w:rPr>
          <w:rFonts w:ascii="宋体" w:eastAsia="宋体" w:hAnsi="宋体" w:cs="宋体"/>
          <w:b/>
          <w:bCs/>
          <w:szCs w:val="21"/>
        </w:rPr>
        <w:t>未偿</w:t>
      </w:r>
      <w:proofErr w:type="gramEnd"/>
      <w:r>
        <w:rPr>
          <w:rFonts w:ascii="宋体" w:eastAsia="宋体" w:hAnsi="宋体" w:cs="宋体"/>
          <w:b/>
          <w:bCs/>
          <w:szCs w:val="21"/>
        </w:rPr>
        <w:t>还的短期借款情况</w:t>
      </w:r>
      <w:bookmarkEnd w:id="370"/>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371" w:name="_Toc989258"/>
      <w:r>
        <w:rPr>
          <w:rFonts w:ascii="宋体" w:hAnsi="宋体" w:cs="宋体"/>
          <w:b/>
          <w:bCs/>
        </w:rPr>
        <w:t>33、交易性金融负债</w:t>
      </w:r>
      <w:bookmarkEnd w:id="371"/>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1,902,600.00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1,902,600.00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1,902,600.00</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372" w:name="_Toc989259"/>
      <w:r>
        <w:rPr>
          <w:rFonts w:ascii="宋体" w:hAnsi="宋体" w:cs="宋体"/>
          <w:b/>
          <w:bCs/>
        </w:rPr>
        <w:t>34、衍生金融负债</w:t>
      </w:r>
      <w:bookmarkEnd w:id="372"/>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6742FE">
        <w:rPr>
          <w:rFonts w:ascii="宋体" w:eastAsia="宋体" w:hAnsi="宋体" w:cs="宋体"/>
          <w:sz w:val="18"/>
          <w:szCs w:val="18"/>
        </w:rPr>
        <w:t>无</w:t>
      </w:r>
    </w:p>
    <w:p w:rsidR="000D58D8" w:rsidRDefault="000F627F">
      <w:pPr>
        <w:pStyle w:val="3"/>
        <w:spacing w:line="280" w:lineRule="exact"/>
        <w:jc w:val="left"/>
        <w:rPr>
          <w:rFonts w:ascii="宋体" w:hAnsi="宋体" w:cs="宋体"/>
          <w:b/>
          <w:bCs/>
        </w:rPr>
      </w:pPr>
      <w:bookmarkStart w:id="373" w:name="_Toc989260"/>
      <w:r>
        <w:rPr>
          <w:rFonts w:ascii="宋体" w:hAnsi="宋体" w:cs="宋体"/>
          <w:b/>
          <w:bCs/>
        </w:rPr>
        <w:t>35、应付票据</w:t>
      </w:r>
      <w:bookmarkEnd w:id="373"/>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种类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银行承兑汇票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32,923,985.70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58,331,152.95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32,923,985.70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58,331,152.95</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本</w:t>
      </w:r>
      <w:proofErr w:type="gramStart"/>
      <w:r>
        <w:rPr>
          <w:rFonts w:ascii="宋体" w:eastAsia="宋体" w:hAnsi="宋体" w:cs="宋体"/>
          <w:sz w:val="18"/>
          <w:szCs w:val="18"/>
        </w:rPr>
        <w:t>期末已</w:t>
      </w:r>
      <w:proofErr w:type="gramEnd"/>
      <w:r>
        <w:rPr>
          <w:rFonts w:ascii="宋体" w:eastAsia="宋体" w:hAnsi="宋体" w:cs="宋体"/>
          <w:sz w:val="18"/>
          <w:szCs w:val="18"/>
        </w:rPr>
        <w:t>到期未支付的应付票据总额为0.00元，到期未付的原因为无。</w:t>
      </w:r>
    </w:p>
    <w:p w:rsidR="000D58D8" w:rsidRDefault="000F627F">
      <w:pPr>
        <w:pStyle w:val="3"/>
        <w:spacing w:line="280" w:lineRule="exact"/>
        <w:jc w:val="left"/>
        <w:rPr>
          <w:rFonts w:ascii="宋体" w:hAnsi="宋体" w:cs="宋体"/>
          <w:b/>
          <w:bCs/>
        </w:rPr>
      </w:pPr>
      <w:bookmarkStart w:id="374" w:name="_Toc989261"/>
      <w:r>
        <w:rPr>
          <w:rFonts w:ascii="宋体" w:hAnsi="宋体" w:cs="宋体"/>
          <w:b/>
          <w:bCs/>
        </w:rPr>
        <w:t>36、应付账款</w:t>
      </w:r>
      <w:bookmarkEnd w:id="374"/>
    </w:p>
    <w:p w:rsidR="000D58D8" w:rsidRDefault="000F627F">
      <w:pPr>
        <w:keepNext/>
        <w:keepLines/>
        <w:spacing w:before="300" w:after="300" w:line="280" w:lineRule="exact"/>
        <w:outlineLvl w:val="3"/>
        <w:rPr>
          <w:rFonts w:ascii="宋体" w:eastAsia="宋体" w:hAnsi="宋体" w:cs="宋体"/>
          <w:b/>
          <w:bCs/>
          <w:sz w:val="18"/>
          <w:szCs w:val="18"/>
        </w:rPr>
      </w:pPr>
      <w:bookmarkStart w:id="375" w:name="_Toc989262"/>
      <w:r>
        <w:rPr>
          <w:rFonts w:ascii="宋体" w:eastAsia="宋体" w:hAnsi="宋体" w:cs="宋体"/>
          <w:b/>
          <w:bCs/>
          <w:sz w:val="18"/>
          <w:szCs w:val="18"/>
        </w:rPr>
        <w:t>（1） 应付账款列示</w:t>
      </w:r>
      <w:bookmarkEnd w:id="375"/>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应付货款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632,218,517.88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723,095,116.58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应付工程款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181,762,997.23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84,395,335.24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应付设备款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86,114,311.48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96,597,730.22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24,458,902.12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43,169,534.17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924,554,728.71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947,257,716.21</w:t>
            </w:r>
          </w:p>
        </w:tc>
      </w:tr>
    </w:tbl>
    <w:p w:rsidR="000D58D8" w:rsidRDefault="000F627F">
      <w:pPr>
        <w:keepNext/>
        <w:keepLines/>
        <w:spacing w:before="300" w:after="300" w:line="280" w:lineRule="exact"/>
        <w:outlineLvl w:val="3"/>
        <w:rPr>
          <w:rFonts w:ascii="宋体" w:eastAsia="宋体" w:hAnsi="宋体" w:cs="宋体"/>
          <w:b/>
          <w:bCs/>
          <w:sz w:val="18"/>
          <w:szCs w:val="18"/>
        </w:rPr>
      </w:pPr>
      <w:bookmarkStart w:id="376" w:name="_Toc989263"/>
      <w:r>
        <w:rPr>
          <w:rFonts w:ascii="宋体" w:eastAsia="宋体" w:hAnsi="宋体" w:cs="宋体"/>
          <w:b/>
          <w:bCs/>
          <w:sz w:val="18"/>
          <w:szCs w:val="18"/>
        </w:rPr>
        <w:lastRenderedPageBreak/>
        <w:t>（2） 账龄超过1年或逾期的重要应付账款</w:t>
      </w:r>
      <w:bookmarkEnd w:id="376"/>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未偿</w:t>
            </w:r>
            <w:proofErr w:type="gramEnd"/>
            <w:r>
              <w:rPr>
                <w:rFonts w:ascii="宋体" w:eastAsia="宋体" w:hAnsi="宋体" w:cs="宋体"/>
                <w:sz w:val="18"/>
                <w:szCs w:val="18"/>
              </w:rPr>
              <w:t>还或结转的原因</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中煤第三建设（集团）有限责任公司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21,953,709.83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未达到结算条件</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芜湖恒驰钢构有限公司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4,806,067.14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未达到结算条件</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湖北天门纺织机械股份有限公司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1,036,932.03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未达到结算条件</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杭州</w:t>
            </w:r>
            <w:proofErr w:type="gramStart"/>
            <w:r>
              <w:rPr>
                <w:rFonts w:ascii="宋体" w:eastAsia="宋体" w:hAnsi="宋体" w:cs="宋体"/>
                <w:sz w:val="18"/>
                <w:szCs w:val="18"/>
              </w:rPr>
              <w:t>恒达钢构</w:t>
            </w:r>
            <w:proofErr w:type="gramEnd"/>
            <w:r>
              <w:rPr>
                <w:rFonts w:ascii="宋体" w:eastAsia="宋体" w:hAnsi="宋体" w:cs="宋体"/>
                <w:sz w:val="18"/>
                <w:szCs w:val="18"/>
              </w:rPr>
              <w:t>股份有限公司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1,942,142.86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未达到结算条件</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29,738,851.86</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377" w:name="_Toc989264"/>
      <w:r>
        <w:rPr>
          <w:rFonts w:ascii="宋体" w:hAnsi="宋体" w:cs="宋体"/>
          <w:b/>
          <w:bCs/>
        </w:rPr>
        <w:t>37、其他应付款</w:t>
      </w:r>
      <w:bookmarkEnd w:id="37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158,535,963.00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220,752,940.26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158,535,963.00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220,752,940.26</w:t>
            </w:r>
          </w:p>
        </w:tc>
      </w:tr>
    </w:tbl>
    <w:p w:rsidR="000D58D8" w:rsidRDefault="000F627F">
      <w:pPr>
        <w:keepNext/>
        <w:keepLines/>
        <w:spacing w:before="300" w:after="300" w:line="280" w:lineRule="exact"/>
        <w:outlineLvl w:val="3"/>
        <w:rPr>
          <w:rFonts w:ascii="宋体" w:eastAsia="宋体" w:hAnsi="宋体" w:cs="宋体"/>
          <w:b/>
          <w:bCs/>
          <w:sz w:val="18"/>
          <w:szCs w:val="18"/>
        </w:rPr>
      </w:pPr>
      <w:bookmarkStart w:id="378" w:name="_Toc989265"/>
      <w:r>
        <w:rPr>
          <w:rFonts w:ascii="宋体" w:eastAsia="宋体" w:hAnsi="宋体" w:cs="宋体"/>
          <w:b/>
          <w:bCs/>
          <w:sz w:val="18"/>
          <w:szCs w:val="18"/>
        </w:rPr>
        <w:t>（1） 应付利息</w:t>
      </w:r>
      <w:bookmarkEnd w:id="378"/>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重要的已逾期未支付的利息情况：</w:t>
      </w:r>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379" w:name="_Toc989266"/>
      <w:r>
        <w:rPr>
          <w:rFonts w:ascii="宋体" w:eastAsia="宋体" w:hAnsi="宋体" w:cs="宋体"/>
          <w:b/>
          <w:bCs/>
          <w:sz w:val="18"/>
          <w:szCs w:val="18"/>
        </w:rPr>
        <w:t>（2） 应付股利</w:t>
      </w:r>
      <w:bookmarkEnd w:id="379"/>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其他说明，包括重要的超过1年未支付的应付股利，应披露未支付原因：</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380" w:name="_Toc989267"/>
      <w:r>
        <w:rPr>
          <w:rFonts w:ascii="宋体" w:eastAsia="宋体" w:hAnsi="宋体" w:cs="宋体"/>
          <w:b/>
          <w:bCs/>
          <w:sz w:val="18"/>
          <w:szCs w:val="18"/>
        </w:rPr>
        <w:t>（3） 其他应付款</w:t>
      </w:r>
      <w:bookmarkEnd w:id="380"/>
    </w:p>
    <w:p w:rsidR="000D58D8" w:rsidRDefault="000F627F">
      <w:pPr>
        <w:keepNext/>
        <w:keepLines/>
        <w:spacing w:before="300" w:after="300" w:line="280" w:lineRule="exact"/>
        <w:outlineLvl w:val="4"/>
        <w:rPr>
          <w:rFonts w:ascii="宋体" w:eastAsia="宋体" w:hAnsi="宋体" w:cs="宋体"/>
          <w:b/>
          <w:bCs/>
          <w:sz w:val="18"/>
          <w:szCs w:val="18"/>
        </w:rPr>
      </w:pPr>
      <w:bookmarkStart w:id="381" w:name="_Toc989268"/>
      <w:r>
        <w:rPr>
          <w:rFonts w:ascii="宋体" w:eastAsia="宋体" w:hAnsi="宋体" w:cs="宋体"/>
          <w:b/>
          <w:bCs/>
          <w:sz w:val="18"/>
          <w:szCs w:val="18"/>
        </w:rPr>
        <w:t>1） 按款项性质列示其他应付款</w:t>
      </w:r>
      <w:bookmarkEnd w:id="381"/>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质保金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1,163,714.83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713,425.30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押金及保证金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49,987,017.22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92,582,244.38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佣金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38,879.96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1,816,796.58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暂收款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31,643,651.95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34,370,211.50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运费、电费、修理费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32,202,031.34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39,353,588.29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其他预提费用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28,386,241.79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31,281,257.75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土地费用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5,136,462.20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4,150,266.20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其他往来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9,977,963.71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16,485,150.26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158,535,963.00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220,752,940.26</w:t>
            </w:r>
          </w:p>
        </w:tc>
      </w:tr>
    </w:tbl>
    <w:p w:rsidR="000D58D8" w:rsidRDefault="000F627F">
      <w:pPr>
        <w:keepNext/>
        <w:keepLines/>
        <w:spacing w:before="300" w:after="300" w:line="280" w:lineRule="exact"/>
        <w:outlineLvl w:val="4"/>
        <w:rPr>
          <w:rFonts w:ascii="宋体" w:eastAsia="宋体" w:hAnsi="宋体" w:cs="宋体"/>
          <w:b/>
          <w:bCs/>
          <w:sz w:val="18"/>
          <w:szCs w:val="18"/>
        </w:rPr>
      </w:pPr>
      <w:bookmarkStart w:id="382" w:name="_Toc989269"/>
      <w:r>
        <w:rPr>
          <w:rFonts w:ascii="宋体" w:eastAsia="宋体" w:hAnsi="宋体" w:cs="宋体"/>
          <w:b/>
          <w:bCs/>
          <w:sz w:val="18"/>
          <w:szCs w:val="18"/>
        </w:rPr>
        <w:t>2） 账龄超过1年或逾期的重要其他应付款</w:t>
      </w:r>
      <w:bookmarkEnd w:id="382"/>
    </w:p>
    <w:p w:rsidR="000D58D8" w:rsidRDefault="000F627F">
      <w:pPr>
        <w:keepNext/>
        <w:keepLines/>
        <w:spacing w:before="300" w:after="300" w:line="280" w:lineRule="exact"/>
        <w:outlineLvl w:val="4"/>
        <w:rPr>
          <w:rFonts w:ascii="宋体" w:eastAsia="宋体" w:hAnsi="宋体" w:cs="宋体"/>
          <w:b/>
          <w:bCs/>
          <w:sz w:val="18"/>
          <w:szCs w:val="18"/>
        </w:rPr>
      </w:pPr>
      <w:bookmarkStart w:id="383" w:name="_Toc989270"/>
      <w:r>
        <w:rPr>
          <w:rFonts w:ascii="宋体" w:eastAsia="宋体" w:hAnsi="宋体" w:cs="宋体"/>
          <w:b/>
          <w:bCs/>
          <w:sz w:val="18"/>
          <w:szCs w:val="18"/>
        </w:rPr>
        <w:t>3） 按交易对手方归集的期末余额前五名的其他应付款情况</w:t>
      </w:r>
      <w:bookmarkEnd w:id="383"/>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384" w:name="_Toc989271"/>
      <w:r>
        <w:rPr>
          <w:rFonts w:ascii="宋体" w:hAnsi="宋体" w:cs="宋体"/>
          <w:b/>
          <w:bCs/>
        </w:rPr>
        <w:lastRenderedPageBreak/>
        <w:t>38、预收款项</w:t>
      </w:r>
      <w:bookmarkEnd w:id="384"/>
    </w:p>
    <w:p w:rsidR="000D58D8" w:rsidRDefault="000F627F">
      <w:pPr>
        <w:keepNext/>
        <w:keepLines/>
        <w:spacing w:before="300" w:after="300" w:line="280" w:lineRule="exact"/>
        <w:outlineLvl w:val="3"/>
        <w:rPr>
          <w:rFonts w:ascii="宋体" w:eastAsia="宋体" w:hAnsi="宋体" w:cs="宋体"/>
          <w:b/>
          <w:bCs/>
          <w:sz w:val="18"/>
          <w:szCs w:val="18"/>
        </w:rPr>
      </w:pPr>
      <w:bookmarkStart w:id="385" w:name="_Toc989272"/>
      <w:r>
        <w:rPr>
          <w:rFonts w:ascii="宋体" w:eastAsia="宋体" w:hAnsi="宋体" w:cs="宋体"/>
          <w:b/>
          <w:bCs/>
          <w:sz w:val="18"/>
          <w:szCs w:val="18"/>
        </w:rPr>
        <w:t>（1） 预收款项列示</w:t>
      </w:r>
      <w:bookmarkEnd w:id="385"/>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预收租金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7,293,483.28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6,762,625.23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7,293,483.28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6,762,625.23</w:t>
            </w:r>
          </w:p>
        </w:tc>
      </w:tr>
    </w:tbl>
    <w:p w:rsidR="000D58D8" w:rsidRDefault="000F627F">
      <w:pPr>
        <w:keepNext/>
        <w:keepLines/>
        <w:spacing w:before="300" w:after="300" w:line="280" w:lineRule="exact"/>
        <w:outlineLvl w:val="3"/>
        <w:rPr>
          <w:rFonts w:ascii="宋体" w:eastAsia="宋体" w:hAnsi="宋体" w:cs="宋体"/>
          <w:b/>
          <w:bCs/>
          <w:sz w:val="18"/>
          <w:szCs w:val="18"/>
        </w:rPr>
      </w:pPr>
      <w:bookmarkStart w:id="386" w:name="_Toc989273"/>
      <w:r>
        <w:rPr>
          <w:rFonts w:ascii="宋体" w:eastAsia="宋体" w:hAnsi="宋体" w:cs="宋体"/>
          <w:b/>
          <w:bCs/>
          <w:sz w:val="18"/>
          <w:szCs w:val="18"/>
        </w:rPr>
        <w:t>（2） 账龄超过1年或逾期的重要预收款项</w:t>
      </w:r>
      <w:bookmarkEnd w:id="386"/>
    </w:p>
    <w:p w:rsidR="000D58D8" w:rsidRDefault="000F627F">
      <w:pPr>
        <w:pStyle w:val="3"/>
        <w:spacing w:line="280" w:lineRule="exact"/>
        <w:jc w:val="left"/>
        <w:rPr>
          <w:rFonts w:ascii="宋体" w:hAnsi="宋体" w:cs="宋体"/>
          <w:b/>
          <w:bCs/>
        </w:rPr>
      </w:pPr>
      <w:bookmarkStart w:id="387" w:name="_Toc989274"/>
      <w:r>
        <w:rPr>
          <w:rFonts w:ascii="宋体" w:hAnsi="宋体" w:cs="宋体"/>
          <w:b/>
          <w:bCs/>
        </w:rPr>
        <w:t>39、合同负债</w:t>
      </w:r>
      <w:bookmarkEnd w:id="38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预收货款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715,430,170.40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781,571,502.38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715,430,170.40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781,571,502.38</w:t>
            </w:r>
          </w:p>
        </w:tc>
      </w:tr>
    </w:tbl>
    <w:p w:rsidR="000D58D8" w:rsidRDefault="000F627F">
      <w:pPr>
        <w:spacing w:line="240" w:lineRule="exact"/>
        <w:rPr>
          <w:rFonts w:ascii="宋体" w:eastAsia="宋体" w:hAnsi="宋体" w:cs="宋体"/>
          <w:sz w:val="18"/>
          <w:szCs w:val="18"/>
        </w:rPr>
      </w:pPr>
      <w:r>
        <w:rPr>
          <w:rFonts w:ascii="宋体" w:eastAsia="宋体" w:hAnsi="宋体" w:cs="宋体"/>
          <w:sz w:val="18"/>
          <w:szCs w:val="18"/>
        </w:rPr>
        <w:t>账龄超过1年的重要合同负债</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未偿</w:t>
            </w:r>
            <w:proofErr w:type="gramEnd"/>
            <w:r>
              <w:rPr>
                <w:rFonts w:ascii="宋体" w:eastAsia="宋体" w:hAnsi="宋体" w:cs="宋体"/>
                <w:sz w:val="18"/>
                <w:szCs w:val="18"/>
              </w:rPr>
              <w:t>还或结转的原因</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XIN SHENG (VIETNAM) TEXTILES CO.,LT</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3,144,381.65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未达到结算条件</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徐州华鹏棉麻有限公司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2,837,589.39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未达到结算条件</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5,981,971.04</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D58D8" w:rsidRDefault="000F627F">
      <w:pPr>
        <w:spacing w:line="240" w:lineRule="exact"/>
        <w:rPr>
          <w:rFonts w:ascii="宋体" w:eastAsia="宋体" w:hAnsi="宋体" w:cs="宋体"/>
          <w:sz w:val="18"/>
          <w:szCs w:val="18"/>
        </w:rPr>
      </w:pPr>
      <w:r>
        <w:rPr>
          <w:rFonts w:ascii="宋体" w:eastAsia="宋体" w:hAnsi="宋体" w:cs="宋体"/>
          <w:sz w:val="18"/>
          <w:szCs w:val="18"/>
        </w:rPr>
        <w:t>报告期内账面价值发生重大变动的金额和原因</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变动金额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变动原因</w:t>
            </w:r>
          </w:p>
        </w:tc>
      </w:tr>
    </w:tbl>
    <w:p w:rsidR="000D58D8" w:rsidRDefault="000F627F">
      <w:pPr>
        <w:pStyle w:val="3"/>
        <w:spacing w:line="280" w:lineRule="exact"/>
        <w:jc w:val="left"/>
        <w:rPr>
          <w:rFonts w:ascii="宋体" w:hAnsi="宋体" w:cs="宋体"/>
          <w:b/>
          <w:bCs/>
        </w:rPr>
      </w:pPr>
      <w:bookmarkStart w:id="388" w:name="_Toc989275"/>
      <w:r>
        <w:rPr>
          <w:rFonts w:ascii="宋体" w:hAnsi="宋体" w:cs="宋体"/>
          <w:b/>
          <w:bCs/>
        </w:rPr>
        <w:t>40、应付职工薪</w:t>
      </w:r>
      <w:proofErr w:type="gramStart"/>
      <w:r>
        <w:rPr>
          <w:rFonts w:ascii="宋体" w:hAnsi="宋体" w:cs="宋体"/>
          <w:b/>
          <w:bCs/>
        </w:rPr>
        <w:t>酬</w:t>
      </w:r>
      <w:bookmarkEnd w:id="388"/>
      <w:proofErr w:type="gramEnd"/>
    </w:p>
    <w:p w:rsidR="000D58D8" w:rsidRDefault="000F627F">
      <w:pPr>
        <w:keepNext/>
        <w:keepLines/>
        <w:spacing w:before="300" w:after="300" w:line="280" w:lineRule="exact"/>
        <w:outlineLvl w:val="3"/>
        <w:rPr>
          <w:rFonts w:ascii="宋体" w:eastAsia="宋体" w:hAnsi="宋体" w:cs="宋体"/>
          <w:b/>
          <w:bCs/>
          <w:szCs w:val="21"/>
        </w:rPr>
      </w:pPr>
      <w:bookmarkStart w:id="389" w:name="_Toc989276"/>
      <w:r>
        <w:rPr>
          <w:rFonts w:ascii="宋体" w:eastAsia="宋体" w:hAnsi="宋体" w:cs="宋体"/>
          <w:b/>
          <w:bCs/>
          <w:szCs w:val="21"/>
        </w:rPr>
        <w:t>（1） 应付职工薪</w:t>
      </w:r>
      <w:proofErr w:type="gramStart"/>
      <w:r>
        <w:rPr>
          <w:rFonts w:ascii="宋体" w:eastAsia="宋体" w:hAnsi="宋体" w:cs="宋体"/>
          <w:b/>
          <w:bCs/>
          <w:szCs w:val="21"/>
        </w:rPr>
        <w:t>酬</w:t>
      </w:r>
      <w:proofErr w:type="gramEnd"/>
      <w:r>
        <w:rPr>
          <w:rFonts w:ascii="宋体" w:eastAsia="宋体" w:hAnsi="宋体" w:cs="宋体"/>
          <w:b/>
          <w:bCs/>
          <w:szCs w:val="21"/>
        </w:rPr>
        <w:t>列示</w:t>
      </w:r>
      <w:bookmarkEnd w:id="389"/>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一、短期薪酬</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71,137,199.18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805,366,782.56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807,753,478.10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68,750,503.64</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二、离职后福利-设定提存计划</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4,281,732.30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49,013,796.09</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52,145,136.57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1,150,391.82</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三、辞退福利</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619,571.56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619,571.56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75,418,931.48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855,000,150.21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860,518,186.23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69,900,895.46</w:t>
            </w:r>
          </w:p>
        </w:tc>
      </w:tr>
    </w:tbl>
    <w:p w:rsidR="000D58D8" w:rsidRDefault="000F627F">
      <w:pPr>
        <w:keepNext/>
        <w:keepLines/>
        <w:spacing w:before="300" w:after="300" w:line="280" w:lineRule="exact"/>
        <w:outlineLvl w:val="3"/>
        <w:rPr>
          <w:rFonts w:ascii="宋体" w:eastAsia="宋体" w:hAnsi="宋体" w:cs="宋体"/>
          <w:b/>
          <w:bCs/>
          <w:szCs w:val="21"/>
        </w:rPr>
      </w:pPr>
      <w:bookmarkStart w:id="390" w:name="_Toc989277"/>
      <w:r>
        <w:rPr>
          <w:rFonts w:ascii="宋体" w:eastAsia="宋体" w:hAnsi="宋体" w:cs="宋体"/>
          <w:b/>
          <w:bCs/>
          <w:szCs w:val="21"/>
        </w:rPr>
        <w:t>（2） 短期薪酬列示</w:t>
      </w:r>
      <w:bookmarkEnd w:id="390"/>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1、工资、奖金、津贴和补贴</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63,538,827.20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748,788,114.56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749,477,864.28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62,849,077.48</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2、职工福利费</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451,446.44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20,822,257.95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20,712,029.95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561,674.44</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3、社会保险费</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3,520,040.82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31,417,436.03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32,601,208.68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2,336,268.17</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其中：医疗保险费</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3,451,884.06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28,680,295.54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29,820,879.50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2,311,300.10</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工伤保险费</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68,156.76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2,666,346.04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2,710,496.30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24,006.50</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生育保险费</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70,794.45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69,832.88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961.57</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4、住房公积金</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136,513.00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3,006,501.08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3,025,792.08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117,222.00</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5、工会经费和职工教育经费</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3,490,371.72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1,332,472.94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1,936,583.11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2,886,261.55</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71,137,199.18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805,366,782.56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807,753,478.10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68,750,503.64</w:t>
            </w:r>
          </w:p>
        </w:tc>
      </w:tr>
    </w:tbl>
    <w:p w:rsidR="000D58D8" w:rsidRDefault="000F627F">
      <w:pPr>
        <w:keepNext/>
        <w:keepLines/>
        <w:spacing w:before="300" w:after="300" w:line="280" w:lineRule="exact"/>
        <w:outlineLvl w:val="3"/>
        <w:rPr>
          <w:rFonts w:ascii="宋体" w:eastAsia="宋体" w:hAnsi="宋体" w:cs="宋体"/>
          <w:b/>
          <w:bCs/>
          <w:szCs w:val="21"/>
        </w:rPr>
      </w:pPr>
      <w:bookmarkStart w:id="391" w:name="_Toc989278"/>
      <w:r>
        <w:rPr>
          <w:rFonts w:ascii="宋体" w:eastAsia="宋体" w:hAnsi="宋体" w:cs="宋体"/>
          <w:b/>
          <w:bCs/>
          <w:szCs w:val="21"/>
        </w:rPr>
        <w:t>（3） 设定提存计划列示</w:t>
      </w:r>
      <w:bookmarkEnd w:id="391"/>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1、基本养老保险</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4,010,377.40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47,346,787.24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50,441,271.68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915,892.96</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2、失业保险费</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271,354.90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1,667,008.85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1,703,864.89</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234,498.86</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4,281,732.30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49,013,796.09</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52,145,136.57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1,150,391.82</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6742FE">
        <w:rPr>
          <w:rFonts w:ascii="宋体" w:eastAsia="宋体" w:hAnsi="宋体" w:cs="宋体"/>
          <w:sz w:val="18"/>
          <w:szCs w:val="18"/>
        </w:rPr>
        <w:t>无</w:t>
      </w:r>
    </w:p>
    <w:p w:rsidR="000D58D8" w:rsidRDefault="000F627F">
      <w:pPr>
        <w:pStyle w:val="3"/>
        <w:spacing w:line="280" w:lineRule="exact"/>
        <w:jc w:val="left"/>
        <w:rPr>
          <w:rFonts w:ascii="宋体" w:hAnsi="宋体" w:cs="宋体"/>
          <w:b/>
          <w:bCs/>
        </w:rPr>
      </w:pPr>
      <w:bookmarkStart w:id="392" w:name="_Toc989279"/>
      <w:r>
        <w:rPr>
          <w:rFonts w:ascii="宋体" w:hAnsi="宋体" w:cs="宋体"/>
          <w:b/>
          <w:bCs/>
        </w:rPr>
        <w:t>41、应交税费</w:t>
      </w:r>
      <w:bookmarkEnd w:id="392"/>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增值税</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26,124,633.11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48,217,944.84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29,718,268.53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35,661,872.91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个人所得税</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6,910,523.40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1,767,094.78</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1,659,224.97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983,295.86</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6,337,832.84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1,831,806.18</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7,318,875.23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1,675,858.92</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1,176,695.70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773,214.24</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3,615,956.69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3,952,327.19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82,862,010.47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94,863,414.92</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393" w:name="_Toc989280"/>
      <w:r>
        <w:rPr>
          <w:rFonts w:ascii="宋体" w:hAnsi="宋体" w:cs="宋体"/>
          <w:b/>
          <w:bCs/>
        </w:rPr>
        <w:t>42、持有待售负债</w:t>
      </w:r>
      <w:bookmarkEnd w:id="393"/>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394" w:name="_Toc989281"/>
      <w:r>
        <w:rPr>
          <w:rFonts w:ascii="宋体" w:hAnsi="宋体" w:cs="宋体"/>
          <w:b/>
          <w:bCs/>
        </w:rPr>
        <w:t>43、一年内到期的非流动负债</w:t>
      </w:r>
      <w:bookmarkEnd w:id="394"/>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一年内到期的长期借款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403,964,996.14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132,000,000.00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一年内到期的长期应付款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一年内到期的租赁负债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11,282,582.60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8,589,298.01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计提的长期借款利息</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582,748.42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903,581.75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415,830,327.16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161,492,879.76</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395" w:name="_Toc989282"/>
      <w:r>
        <w:rPr>
          <w:rFonts w:ascii="宋体" w:hAnsi="宋体" w:cs="宋体"/>
          <w:b/>
          <w:bCs/>
        </w:rPr>
        <w:t>44、其他流动负债</w:t>
      </w:r>
      <w:bookmarkEnd w:id="395"/>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保付加签借款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23,120,206.97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待结转增值税额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65,480,068.80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68,977,770.95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65,480,068.80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92,097,977.92</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短期应付债券的增减变动：</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9"/>
        <w:gridCol w:w="689"/>
        <w:gridCol w:w="689"/>
        <w:gridCol w:w="689"/>
        <w:gridCol w:w="689"/>
        <w:gridCol w:w="689"/>
        <w:gridCol w:w="689"/>
        <w:gridCol w:w="688"/>
        <w:gridCol w:w="688"/>
        <w:gridCol w:w="688"/>
        <w:gridCol w:w="688"/>
        <w:gridCol w:w="688"/>
        <w:gridCol w:w="688"/>
        <w:gridCol w:w="688"/>
      </w:tblGrid>
      <w:tr w:rsidR="000D58D8">
        <w:trPr>
          <w:trHeight w:val="240"/>
        </w:trPr>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债券名称</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面值</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票面利率</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发行日期</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债券期限</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发行金额</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本期发行</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按面值计提利息</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溢</w:t>
            </w:r>
            <w:proofErr w:type="gramEnd"/>
            <w:r>
              <w:rPr>
                <w:rFonts w:ascii="宋体" w:eastAsia="宋体" w:hAnsi="宋体" w:cs="宋体"/>
                <w:sz w:val="18"/>
                <w:szCs w:val="18"/>
              </w:rPr>
              <w:t>折价摊销</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本期偿还</w:t>
            </w: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center"/>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是否违约</w:t>
            </w:r>
          </w:p>
        </w:tc>
      </w:tr>
      <w:tr w:rsidR="000D58D8">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396" w:name="_Toc989283"/>
      <w:r>
        <w:rPr>
          <w:rFonts w:ascii="宋体" w:hAnsi="宋体" w:cs="宋体"/>
          <w:b/>
          <w:bCs/>
        </w:rPr>
        <w:t>45、长期借款</w:t>
      </w:r>
      <w:bookmarkEnd w:id="396"/>
    </w:p>
    <w:p w:rsidR="000D58D8" w:rsidRDefault="000F627F">
      <w:pPr>
        <w:keepNext/>
        <w:keepLines/>
        <w:spacing w:before="300" w:after="300" w:line="280" w:lineRule="exact"/>
        <w:outlineLvl w:val="3"/>
        <w:rPr>
          <w:rFonts w:ascii="宋体" w:eastAsia="宋体" w:hAnsi="宋体" w:cs="宋体"/>
          <w:b/>
          <w:bCs/>
          <w:sz w:val="18"/>
          <w:szCs w:val="18"/>
        </w:rPr>
      </w:pPr>
      <w:bookmarkStart w:id="397" w:name="_Toc989284"/>
      <w:r>
        <w:rPr>
          <w:rFonts w:ascii="宋体" w:eastAsia="宋体" w:hAnsi="宋体" w:cs="宋体"/>
          <w:b/>
          <w:bCs/>
          <w:sz w:val="18"/>
          <w:szCs w:val="18"/>
        </w:rPr>
        <w:t>（1） 长期借款分类</w:t>
      </w:r>
      <w:bookmarkEnd w:id="39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保证借款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282,758,394.50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343,591,848.88</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信用借款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185,362,727.15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3,642,973.62</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保证、质押借款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91,710,000.00</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保证、抵押借款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662,238,233.03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613,678,748.42</w:t>
            </w: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未到期应付利息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649,622.19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减：一年内到期的长期借款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-404,547,744.56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-132,582,748.42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726,461,232.31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920,040,822.50</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长期借款分类的说明：</w:t>
      </w:r>
      <w:r>
        <w:rPr>
          <w:rFonts w:hint="eastAsia"/>
          <w:sz w:val="18"/>
          <w:szCs w:val="18"/>
        </w:rPr>
        <w:t>无。</w:t>
      </w:r>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其他说明，包括利率区间：</w:t>
      </w:r>
      <w:r>
        <w:rPr>
          <w:rFonts w:hint="eastAsia"/>
          <w:sz w:val="18"/>
          <w:szCs w:val="18"/>
        </w:rPr>
        <w:t>无。</w:t>
      </w:r>
    </w:p>
    <w:p w:rsidR="000D58D8" w:rsidRDefault="000F627F">
      <w:pPr>
        <w:pStyle w:val="3"/>
        <w:spacing w:line="280" w:lineRule="exact"/>
        <w:jc w:val="left"/>
        <w:rPr>
          <w:rFonts w:ascii="宋体" w:hAnsi="宋体" w:cs="宋体"/>
          <w:b/>
          <w:bCs/>
        </w:rPr>
      </w:pPr>
      <w:bookmarkStart w:id="398" w:name="_Toc989285"/>
      <w:r>
        <w:rPr>
          <w:rFonts w:ascii="宋体" w:hAnsi="宋体" w:cs="宋体"/>
          <w:b/>
          <w:bCs/>
        </w:rPr>
        <w:lastRenderedPageBreak/>
        <w:t>46、应付债券</w:t>
      </w:r>
      <w:bookmarkEnd w:id="398"/>
    </w:p>
    <w:p w:rsidR="000D58D8" w:rsidRDefault="000F627F">
      <w:pPr>
        <w:keepNext/>
        <w:keepLines/>
        <w:spacing w:before="300" w:after="300" w:line="280" w:lineRule="exact"/>
        <w:outlineLvl w:val="3"/>
        <w:rPr>
          <w:rFonts w:ascii="宋体" w:eastAsia="宋体" w:hAnsi="宋体" w:cs="宋体"/>
          <w:b/>
          <w:bCs/>
          <w:szCs w:val="21"/>
        </w:rPr>
      </w:pPr>
      <w:bookmarkStart w:id="399" w:name="_Toc989286"/>
      <w:r>
        <w:rPr>
          <w:rFonts w:ascii="宋体" w:eastAsia="宋体" w:hAnsi="宋体" w:cs="宋体"/>
          <w:b/>
          <w:bCs/>
          <w:szCs w:val="21"/>
        </w:rPr>
        <w:t>（1） 应付债券</w:t>
      </w:r>
      <w:bookmarkEnd w:id="399"/>
    </w:p>
    <w:p w:rsidR="000D58D8" w:rsidRDefault="000F627F">
      <w:pPr>
        <w:keepNext/>
        <w:keepLines/>
        <w:spacing w:before="300" w:after="300" w:line="280" w:lineRule="exact"/>
        <w:outlineLvl w:val="3"/>
        <w:rPr>
          <w:rFonts w:ascii="宋体" w:eastAsia="宋体" w:hAnsi="宋体" w:cs="宋体"/>
          <w:b/>
          <w:bCs/>
          <w:szCs w:val="21"/>
        </w:rPr>
      </w:pPr>
      <w:bookmarkStart w:id="400" w:name="_Toc989287"/>
      <w:r>
        <w:rPr>
          <w:rFonts w:ascii="宋体" w:eastAsia="宋体" w:hAnsi="宋体" w:cs="宋体"/>
          <w:b/>
          <w:bCs/>
          <w:szCs w:val="21"/>
        </w:rPr>
        <w:t>（2） 应付债券的增减变动（不包括划分为金融负债的优先股、永续债等其他金融工具）</w:t>
      </w:r>
      <w:bookmarkEnd w:id="400"/>
    </w:p>
    <w:p w:rsidR="000D58D8" w:rsidRDefault="000F627F">
      <w:pPr>
        <w:keepNext/>
        <w:keepLines/>
        <w:spacing w:before="300" w:after="300" w:line="280" w:lineRule="exact"/>
        <w:outlineLvl w:val="3"/>
        <w:rPr>
          <w:rFonts w:ascii="宋体" w:eastAsia="宋体" w:hAnsi="宋体" w:cs="宋体"/>
          <w:b/>
          <w:bCs/>
          <w:szCs w:val="21"/>
        </w:rPr>
      </w:pPr>
      <w:bookmarkStart w:id="401" w:name="_Toc989288"/>
      <w:r>
        <w:rPr>
          <w:rFonts w:ascii="宋体" w:eastAsia="宋体" w:hAnsi="宋体" w:cs="宋体"/>
          <w:b/>
          <w:bCs/>
          <w:szCs w:val="21"/>
        </w:rPr>
        <w:t>（3） 可转换公司债</w:t>
      </w:r>
      <w:proofErr w:type="gramStart"/>
      <w:r>
        <w:rPr>
          <w:rFonts w:ascii="宋体" w:eastAsia="宋体" w:hAnsi="宋体" w:cs="宋体"/>
          <w:b/>
          <w:bCs/>
          <w:szCs w:val="21"/>
        </w:rPr>
        <w:t>券</w:t>
      </w:r>
      <w:proofErr w:type="gramEnd"/>
      <w:r>
        <w:rPr>
          <w:rFonts w:ascii="宋体" w:eastAsia="宋体" w:hAnsi="宋体" w:cs="宋体"/>
          <w:b/>
          <w:bCs/>
          <w:szCs w:val="21"/>
        </w:rPr>
        <w:t>的说明</w:t>
      </w:r>
      <w:bookmarkEnd w:id="401"/>
    </w:p>
    <w:p w:rsidR="000D58D8" w:rsidRDefault="000F627F">
      <w:pPr>
        <w:keepNext/>
        <w:keepLines/>
        <w:spacing w:before="300" w:after="300" w:line="280" w:lineRule="exact"/>
        <w:outlineLvl w:val="3"/>
        <w:rPr>
          <w:rFonts w:ascii="宋体" w:eastAsia="宋体" w:hAnsi="宋体" w:cs="宋体"/>
          <w:b/>
          <w:bCs/>
          <w:szCs w:val="21"/>
        </w:rPr>
      </w:pPr>
      <w:bookmarkStart w:id="402" w:name="_Toc989289"/>
      <w:r>
        <w:rPr>
          <w:rFonts w:ascii="宋体" w:eastAsia="宋体" w:hAnsi="宋体" w:cs="宋体"/>
          <w:b/>
          <w:bCs/>
          <w:szCs w:val="21"/>
        </w:rPr>
        <w:t>（4） 划分为金融负债的其他金融工具说明</w:t>
      </w:r>
      <w:bookmarkEnd w:id="40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期末发行在外的优先股、永续债等其他金融工具基本情况</w:t>
      </w:r>
    </w:p>
    <w:p w:rsidR="000F627F" w:rsidRDefault="000F627F">
      <w:pPr>
        <w:pStyle w:val="a3"/>
        <w:divId w:val="2065712818"/>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期末发行在外的优先股、永续债等金融工具变动情况表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其他金融工具划分为金融负债的依据说明</w:t>
      </w:r>
    </w:p>
    <w:p w:rsidR="000F627F" w:rsidRDefault="000F627F">
      <w:pPr>
        <w:pStyle w:val="a3"/>
        <w:divId w:val="807094951"/>
        <w:rPr>
          <w:sz w:val="18"/>
          <w:szCs w:val="18"/>
        </w:rPr>
      </w:pPr>
      <w:r>
        <w:rPr>
          <w:rFonts w:hint="eastAsia"/>
          <w:sz w:val="18"/>
          <w:szCs w:val="18"/>
        </w:rPr>
        <w:t>无。</w:t>
      </w:r>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03" w:name="_Toc989290"/>
      <w:r>
        <w:rPr>
          <w:rFonts w:ascii="宋体" w:hAnsi="宋体" w:cs="宋体"/>
          <w:b/>
          <w:bCs/>
        </w:rPr>
        <w:t>47、租赁负债</w:t>
      </w:r>
      <w:bookmarkEnd w:id="403"/>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租赁房屋建筑物</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28,836,917.19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26,790,506.43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租赁设备</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523,598.73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612,094.29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减：未确认融资费用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-2,086,836.79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-2,141,957.13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减：一年内到期的租赁负债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-11,282,582.60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-8,589,298.01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15,991,096.53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16,671,345.58</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04" w:name="_Toc989291"/>
      <w:r>
        <w:rPr>
          <w:rFonts w:ascii="宋体" w:hAnsi="宋体" w:cs="宋体"/>
          <w:b/>
          <w:bCs/>
        </w:rPr>
        <w:t>48、长期应付款</w:t>
      </w:r>
      <w:bookmarkEnd w:id="404"/>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244,367,138.45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224,367,138.45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244,367,138.45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224,367,138.45</w:t>
            </w:r>
          </w:p>
        </w:tc>
      </w:tr>
    </w:tbl>
    <w:p w:rsidR="000D58D8" w:rsidRDefault="000F627F">
      <w:pPr>
        <w:keepNext/>
        <w:keepLines/>
        <w:spacing w:before="300" w:after="300" w:line="280" w:lineRule="exact"/>
        <w:outlineLvl w:val="3"/>
        <w:rPr>
          <w:rFonts w:ascii="宋体" w:eastAsia="宋体" w:hAnsi="宋体" w:cs="宋体"/>
          <w:b/>
          <w:bCs/>
          <w:sz w:val="18"/>
          <w:szCs w:val="18"/>
        </w:rPr>
      </w:pPr>
      <w:bookmarkStart w:id="405" w:name="_Toc989292"/>
      <w:r>
        <w:rPr>
          <w:rFonts w:ascii="宋体" w:eastAsia="宋体" w:hAnsi="宋体" w:cs="宋体"/>
          <w:b/>
          <w:bCs/>
          <w:sz w:val="18"/>
          <w:szCs w:val="18"/>
        </w:rPr>
        <w:t>（1） 按款项性质列示长期应付款</w:t>
      </w:r>
      <w:bookmarkEnd w:id="405"/>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担保损失备付金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4,367,138.45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4,367,138.45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附限制</w:t>
            </w:r>
            <w:proofErr w:type="gramEnd"/>
            <w:r>
              <w:rPr>
                <w:rFonts w:ascii="宋体" w:eastAsia="宋体" w:hAnsi="宋体" w:cs="宋体"/>
                <w:sz w:val="18"/>
                <w:szCs w:val="18"/>
              </w:rPr>
              <w:t>条件的投资款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220,000,000.00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220,000,000.00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应付股权收购款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减：一年内到期的长期应付款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244,367,138.45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224,367,138.45</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其他说明：</w:t>
      </w:r>
    </w:p>
    <w:p w:rsidR="000F627F" w:rsidRDefault="000F627F" w:rsidP="006742FE">
      <w:pPr>
        <w:pStyle w:val="a3"/>
        <w:spacing w:before="0" w:beforeAutospacing="0" w:after="0" w:afterAutospacing="0" w:line="240" w:lineRule="atLeast"/>
        <w:ind w:firstLine="420"/>
        <w:jc w:val="both"/>
        <w:divId w:val="308636371"/>
        <w:rPr>
          <w:sz w:val="21"/>
          <w:szCs w:val="21"/>
        </w:rPr>
      </w:pPr>
      <w:r>
        <w:rPr>
          <w:rFonts w:hint="eastAsia"/>
          <w:sz w:val="18"/>
          <w:szCs w:val="18"/>
        </w:rPr>
        <w:t>2009年11月30日，新疆华孚纺织有限公司与石河子国有资产经营(集团)有限公司签订的股权转让合同，公司将以人民币4,000万元购买石河子国有资产经营(集团)有限公司及其子公司新疆石河子造纸厂共同持有的天宏新</w:t>
      </w:r>
      <w:proofErr w:type="gramStart"/>
      <w:r>
        <w:rPr>
          <w:rFonts w:hint="eastAsia"/>
          <w:sz w:val="18"/>
          <w:szCs w:val="18"/>
        </w:rPr>
        <w:t>八棉全部</w:t>
      </w:r>
      <w:proofErr w:type="gramEnd"/>
      <w:r>
        <w:rPr>
          <w:rFonts w:hint="eastAsia"/>
          <w:sz w:val="18"/>
          <w:szCs w:val="18"/>
        </w:rPr>
        <w:t>股份，全部转让款分两次付清，即第一次在本协议签字生效后一个月内支付人民币2,000万元，第二次在四至五年内全部付清。</w:t>
      </w:r>
    </w:p>
    <w:p w:rsidR="000D58D8" w:rsidRDefault="000F627F">
      <w:pPr>
        <w:keepNext/>
        <w:keepLines/>
        <w:spacing w:before="300" w:after="300" w:line="280" w:lineRule="exact"/>
        <w:outlineLvl w:val="3"/>
        <w:rPr>
          <w:rFonts w:ascii="宋体" w:eastAsia="宋体" w:hAnsi="宋体" w:cs="宋体"/>
          <w:b/>
          <w:bCs/>
          <w:sz w:val="18"/>
          <w:szCs w:val="18"/>
        </w:rPr>
      </w:pPr>
      <w:bookmarkStart w:id="406" w:name="_Toc989293"/>
      <w:r>
        <w:rPr>
          <w:rFonts w:ascii="宋体" w:eastAsia="宋体" w:hAnsi="宋体" w:cs="宋体"/>
          <w:b/>
          <w:bCs/>
          <w:sz w:val="18"/>
          <w:szCs w:val="18"/>
        </w:rPr>
        <w:t>（2） 专项应付款</w:t>
      </w:r>
      <w:bookmarkEnd w:id="40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6742FE">
        <w:rPr>
          <w:rFonts w:ascii="宋体" w:eastAsia="宋体" w:hAnsi="宋体" w:cs="宋体"/>
          <w:sz w:val="18"/>
          <w:szCs w:val="18"/>
        </w:rPr>
        <w:t>无</w:t>
      </w:r>
    </w:p>
    <w:p w:rsidR="000D58D8" w:rsidRDefault="000F627F">
      <w:pPr>
        <w:pStyle w:val="3"/>
        <w:spacing w:line="280" w:lineRule="exact"/>
        <w:jc w:val="left"/>
        <w:rPr>
          <w:rFonts w:ascii="宋体" w:hAnsi="宋体" w:cs="宋体"/>
          <w:b/>
          <w:bCs/>
        </w:rPr>
      </w:pPr>
      <w:bookmarkStart w:id="407" w:name="_Toc989294"/>
      <w:r>
        <w:rPr>
          <w:rFonts w:ascii="宋体" w:hAnsi="宋体" w:cs="宋体"/>
          <w:b/>
          <w:bCs/>
        </w:rPr>
        <w:t>49、长期应付职工薪</w:t>
      </w:r>
      <w:proofErr w:type="gramStart"/>
      <w:r>
        <w:rPr>
          <w:rFonts w:ascii="宋体" w:hAnsi="宋体" w:cs="宋体"/>
          <w:b/>
          <w:bCs/>
        </w:rPr>
        <w:t>酬</w:t>
      </w:r>
      <w:bookmarkEnd w:id="407"/>
      <w:proofErr w:type="gramEnd"/>
    </w:p>
    <w:p w:rsidR="000D58D8" w:rsidRDefault="000F627F">
      <w:pPr>
        <w:keepNext/>
        <w:keepLines/>
        <w:spacing w:before="300" w:after="300" w:line="280" w:lineRule="exact"/>
        <w:outlineLvl w:val="3"/>
        <w:rPr>
          <w:rFonts w:ascii="宋体" w:eastAsia="宋体" w:hAnsi="宋体" w:cs="宋体"/>
          <w:b/>
          <w:bCs/>
          <w:sz w:val="18"/>
          <w:szCs w:val="18"/>
        </w:rPr>
      </w:pPr>
      <w:bookmarkStart w:id="408" w:name="_Toc989295"/>
      <w:r>
        <w:rPr>
          <w:rFonts w:ascii="宋体" w:eastAsia="宋体" w:hAnsi="宋体" w:cs="宋体"/>
          <w:b/>
          <w:bCs/>
          <w:sz w:val="18"/>
          <w:szCs w:val="18"/>
        </w:rPr>
        <w:t>（1） 长期应付职工薪酬表</w:t>
      </w:r>
      <w:bookmarkEnd w:id="408"/>
    </w:p>
    <w:p w:rsidR="000D58D8" w:rsidRDefault="000F627F">
      <w:pPr>
        <w:keepNext/>
        <w:keepLines/>
        <w:spacing w:before="300" w:after="300" w:line="280" w:lineRule="exact"/>
        <w:outlineLvl w:val="3"/>
        <w:rPr>
          <w:rFonts w:ascii="宋体" w:eastAsia="宋体" w:hAnsi="宋体" w:cs="宋体"/>
          <w:b/>
          <w:bCs/>
          <w:sz w:val="18"/>
          <w:szCs w:val="18"/>
        </w:rPr>
      </w:pPr>
      <w:bookmarkStart w:id="409" w:name="_Toc989296"/>
      <w:r>
        <w:rPr>
          <w:rFonts w:ascii="宋体" w:eastAsia="宋体" w:hAnsi="宋体" w:cs="宋体"/>
          <w:b/>
          <w:bCs/>
          <w:sz w:val="18"/>
          <w:szCs w:val="18"/>
        </w:rPr>
        <w:t>（2） 设定受益计划变动情况</w:t>
      </w:r>
      <w:bookmarkEnd w:id="40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设定受益计划的内容及与之相关风险、对公司未来现金流量、时间和不确定性的影响说明：</w:t>
      </w:r>
    </w:p>
    <w:p w:rsidR="000F627F" w:rsidRDefault="000F627F">
      <w:pPr>
        <w:pStyle w:val="a3"/>
        <w:divId w:val="260796957"/>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设定受益计划重大精算假设及敏感性分析结果说明：</w:t>
      </w:r>
    </w:p>
    <w:p w:rsidR="000F627F" w:rsidRDefault="000F627F">
      <w:pPr>
        <w:pStyle w:val="a3"/>
        <w:divId w:val="1834567248"/>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pStyle w:val="a3"/>
        <w:divId w:val="38550309"/>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410" w:name="_Toc989297"/>
      <w:r>
        <w:rPr>
          <w:rFonts w:ascii="宋体" w:hAnsi="宋体" w:cs="宋体"/>
          <w:b/>
          <w:bCs/>
        </w:rPr>
        <w:t>50、预计负债</w:t>
      </w:r>
      <w:bookmarkEnd w:id="410"/>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产品质量保证</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7,610.61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237,600.78</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7,610.61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237,600.78</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其他说明，包括重要预计负债的相关重要假设、估计说明：</w:t>
      </w:r>
      <w:r>
        <w:rPr>
          <w:rFonts w:hint="eastAsia"/>
          <w:sz w:val="18"/>
          <w:szCs w:val="18"/>
        </w:rPr>
        <w:t>无。</w:t>
      </w:r>
    </w:p>
    <w:p w:rsidR="000D58D8" w:rsidRDefault="000F627F">
      <w:pPr>
        <w:pStyle w:val="3"/>
        <w:spacing w:line="280" w:lineRule="exact"/>
        <w:jc w:val="left"/>
        <w:rPr>
          <w:rFonts w:ascii="宋体" w:hAnsi="宋体" w:cs="宋体"/>
          <w:b/>
          <w:bCs/>
        </w:rPr>
      </w:pPr>
      <w:bookmarkStart w:id="411" w:name="_Toc989298"/>
      <w:r>
        <w:rPr>
          <w:rFonts w:ascii="宋体" w:hAnsi="宋体" w:cs="宋体"/>
          <w:b/>
          <w:bCs/>
        </w:rPr>
        <w:t>51、递延收益</w:t>
      </w:r>
      <w:bookmarkEnd w:id="411"/>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政府补助</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89,437,900.44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3,559,800.00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57,371,383.98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35,626,316.46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详见附注十一</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89,437,900.44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3,559,800.00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57,371,383.98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35,626,316.46</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12" w:name="_Toc989299"/>
      <w:r>
        <w:rPr>
          <w:rFonts w:ascii="宋体" w:hAnsi="宋体" w:cs="宋体"/>
          <w:b/>
          <w:bCs/>
        </w:rPr>
        <w:t>52、其他非流动负债</w:t>
      </w:r>
      <w:bookmarkEnd w:id="412"/>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13" w:name="_Toc989300"/>
      <w:r>
        <w:rPr>
          <w:rFonts w:ascii="宋体" w:hAnsi="宋体" w:cs="宋体"/>
          <w:b/>
          <w:bCs/>
        </w:rPr>
        <w:lastRenderedPageBreak/>
        <w:t>53、股本</w:t>
      </w:r>
      <w:bookmarkEnd w:id="413"/>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205"/>
        <w:gridCol w:w="1205"/>
        <w:gridCol w:w="1205"/>
        <w:gridCol w:w="1205"/>
        <w:gridCol w:w="1205"/>
        <w:gridCol w:w="1205"/>
        <w:gridCol w:w="1205"/>
      </w:tblGrid>
      <w:tr w:rsidR="000D58D8">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024"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股份总数</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1,700,681,355.00</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14" w:name="_Toc989301"/>
      <w:r>
        <w:rPr>
          <w:rFonts w:ascii="宋体" w:hAnsi="宋体" w:cs="宋体"/>
          <w:b/>
          <w:bCs/>
        </w:rPr>
        <w:t>54、其他权益工具</w:t>
      </w:r>
      <w:bookmarkEnd w:id="414"/>
    </w:p>
    <w:p w:rsidR="000D58D8" w:rsidRDefault="000F627F">
      <w:pPr>
        <w:keepNext/>
        <w:keepLines/>
        <w:spacing w:before="300" w:after="300" w:line="280" w:lineRule="exact"/>
        <w:outlineLvl w:val="3"/>
        <w:rPr>
          <w:rFonts w:ascii="宋体" w:eastAsia="宋体" w:hAnsi="宋体" w:cs="宋体"/>
          <w:b/>
          <w:bCs/>
          <w:sz w:val="18"/>
          <w:szCs w:val="18"/>
        </w:rPr>
      </w:pPr>
      <w:bookmarkStart w:id="415" w:name="_Toc989302"/>
      <w:r>
        <w:rPr>
          <w:rFonts w:ascii="宋体" w:eastAsia="宋体" w:hAnsi="宋体" w:cs="宋体"/>
          <w:b/>
          <w:bCs/>
          <w:sz w:val="18"/>
          <w:szCs w:val="18"/>
        </w:rPr>
        <w:t>（1） 期末发行在外的优先股、永续债等其他金融工具基本情况</w:t>
      </w:r>
      <w:bookmarkEnd w:id="415"/>
    </w:p>
    <w:p w:rsidR="000F627F" w:rsidRDefault="000F627F">
      <w:pPr>
        <w:pStyle w:val="a3"/>
        <w:divId w:val="249974517"/>
        <w:rPr>
          <w:sz w:val="18"/>
          <w:szCs w:val="18"/>
        </w:rPr>
      </w:pP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416" w:name="_Toc989303"/>
      <w:r>
        <w:rPr>
          <w:rFonts w:ascii="宋体" w:eastAsia="宋体" w:hAnsi="宋体" w:cs="宋体"/>
          <w:b/>
          <w:bCs/>
          <w:sz w:val="18"/>
          <w:szCs w:val="18"/>
        </w:rPr>
        <w:t>（2） 期末发行在外的优先股、永续债等金融工具变动情况表</w:t>
      </w:r>
      <w:bookmarkEnd w:id="416"/>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0D58D8">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发行在外的金融工具</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w:t>
            </w:r>
          </w:p>
        </w:tc>
      </w:tr>
      <w:tr w:rsidR="000D58D8">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其他权益工具本期增减变动情况、变动原因说明，以及相关会计处理的依据：</w:t>
      </w:r>
      <w:r>
        <w:rPr>
          <w:rFonts w:hint="eastAsia"/>
          <w:sz w:val="18"/>
          <w:szCs w:val="18"/>
        </w:rPr>
        <w:t>无。</w:t>
      </w:r>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17" w:name="_Toc989304"/>
      <w:r>
        <w:rPr>
          <w:rFonts w:ascii="宋体" w:hAnsi="宋体" w:cs="宋体"/>
          <w:b/>
          <w:bCs/>
        </w:rPr>
        <w:t>55、资本公积</w:t>
      </w:r>
      <w:bookmarkEnd w:id="41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资本溢价（股本溢价）</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2,737,043,736.03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21,884,229.27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2,715,159,506.76</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其他资本公积</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3,892,189.01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19,297,258.03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23,189,447.04</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2,740,935,925.04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19,297,258.03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21,884,229.27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2,738,348,953.80</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其他说明，包括本期增减变动情况、变动原因说明：</w:t>
      </w:r>
    </w:p>
    <w:p w:rsidR="000F627F" w:rsidRDefault="000F627F">
      <w:pPr>
        <w:pStyle w:val="a3"/>
        <w:divId w:val="863858380"/>
        <w:rPr>
          <w:sz w:val="18"/>
          <w:szCs w:val="18"/>
        </w:rPr>
      </w:pPr>
      <w:proofErr w:type="gramStart"/>
      <w:r>
        <w:rPr>
          <w:rFonts w:hint="eastAsia"/>
          <w:sz w:val="18"/>
          <w:szCs w:val="18"/>
        </w:rPr>
        <w:t>本期股本</w:t>
      </w:r>
      <w:proofErr w:type="gramEnd"/>
      <w:r>
        <w:rPr>
          <w:rFonts w:hint="eastAsia"/>
          <w:sz w:val="18"/>
          <w:szCs w:val="18"/>
        </w:rPr>
        <w:t>溢价减少为收购平湖华孚的少数股权形成，本期其他资本公积变动为转让或注销子公司浙江博忆、银星物流、库车恒丰、呼图壁宏盛、缙云华孚、叶城、泽普等形成。</w:t>
      </w:r>
    </w:p>
    <w:p w:rsidR="000D58D8" w:rsidRDefault="000F627F">
      <w:pPr>
        <w:pStyle w:val="3"/>
        <w:spacing w:line="280" w:lineRule="exact"/>
        <w:jc w:val="left"/>
        <w:rPr>
          <w:rFonts w:ascii="宋体" w:hAnsi="宋体" w:cs="宋体"/>
          <w:b/>
          <w:bCs/>
        </w:rPr>
      </w:pPr>
      <w:bookmarkStart w:id="418" w:name="_Toc989305"/>
      <w:r>
        <w:rPr>
          <w:rFonts w:ascii="宋体" w:hAnsi="宋体" w:cs="宋体"/>
          <w:b/>
          <w:bCs/>
        </w:rPr>
        <w:t>56、库存股</w:t>
      </w:r>
      <w:bookmarkEnd w:id="418"/>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减少注册资本回购</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200,071,093.36</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200,071,093.36</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其他说明，包括本期增减变动情况、变动原因说明：</w:t>
      </w:r>
    </w:p>
    <w:p w:rsidR="000F627F" w:rsidRPr="006742FE" w:rsidRDefault="000F627F" w:rsidP="006742FE">
      <w:pPr>
        <w:pStyle w:val="a3"/>
        <w:spacing w:before="120" w:beforeAutospacing="0" w:after="0" w:afterAutospacing="0" w:line="240" w:lineRule="exact"/>
        <w:ind w:firstLine="420"/>
        <w:jc w:val="both"/>
        <w:divId w:val="812916471"/>
        <w:rPr>
          <w:rFonts w:asciiTheme="minorEastAsia" w:eastAsiaTheme="minorEastAsia" w:hAnsiTheme="minorEastAsia"/>
          <w:sz w:val="21"/>
          <w:szCs w:val="21"/>
        </w:rPr>
      </w:pPr>
      <w:r w:rsidRPr="006742FE">
        <w:rPr>
          <w:rFonts w:asciiTheme="minorEastAsia" w:eastAsiaTheme="minorEastAsia" w:hAnsiTheme="minorEastAsia" w:hint="eastAsia"/>
          <w:sz w:val="18"/>
          <w:szCs w:val="18"/>
        </w:rPr>
        <w:t>库存股情况说明：</w:t>
      </w:r>
    </w:p>
    <w:p w:rsidR="000F627F" w:rsidRPr="006742FE" w:rsidRDefault="000F627F" w:rsidP="006742FE">
      <w:pPr>
        <w:pStyle w:val="a3"/>
        <w:spacing w:before="0" w:beforeAutospacing="0" w:after="0" w:afterAutospacing="0" w:line="240" w:lineRule="exact"/>
        <w:ind w:firstLine="420"/>
        <w:jc w:val="both"/>
        <w:divId w:val="812916471"/>
        <w:rPr>
          <w:rFonts w:asciiTheme="minorEastAsia" w:eastAsiaTheme="minorEastAsia" w:hAnsiTheme="minorEastAsia"/>
          <w:sz w:val="21"/>
          <w:szCs w:val="21"/>
        </w:rPr>
      </w:pPr>
      <w:r w:rsidRPr="006742FE">
        <w:rPr>
          <w:rFonts w:asciiTheme="minorEastAsia" w:eastAsiaTheme="minorEastAsia" w:hAnsiTheme="minorEastAsia" w:hint="eastAsia"/>
          <w:sz w:val="18"/>
          <w:szCs w:val="18"/>
        </w:rPr>
        <w:t>华孚时尚股份有限公司（以下简称“公司”）于</w:t>
      </w:r>
      <w:r w:rsidRPr="006742FE">
        <w:rPr>
          <w:rFonts w:asciiTheme="minorEastAsia" w:eastAsiaTheme="minorEastAsia" w:hAnsiTheme="minorEastAsia" w:cs="Times New Roman"/>
          <w:sz w:val="18"/>
          <w:szCs w:val="18"/>
        </w:rPr>
        <w:t xml:space="preserve"> 2022 </w:t>
      </w:r>
      <w:r w:rsidRPr="006742FE">
        <w:rPr>
          <w:rFonts w:asciiTheme="minorEastAsia" w:eastAsiaTheme="minorEastAsia" w:hAnsiTheme="minorEastAsia" w:hint="eastAsia"/>
          <w:sz w:val="18"/>
          <w:szCs w:val="18"/>
        </w:rPr>
        <w:t>年</w:t>
      </w:r>
      <w:r w:rsidRPr="006742FE">
        <w:rPr>
          <w:rFonts w:asciiTheme="minorEastAsia" w:eastAsiaTheme="minorEastAsia" w:hAnsiTheme="minorEastAsia" w:cs="Times New Roman"/>
          <w:sz w:val="18"/>
          <w:szCs w:val="18"/>
        </w:rPr>
        <w:t xml:space="preserve"> 3 </w:t>
      </w:r>
      <w:r w:rsidRPr="006742FE">
        <w:rPr>
          <w:rFonts w:asciiTheme="minorEastAsia" w:eastAsiaTheme="minorEastAsia" w:hAnsiTheme="minorEastAsia" w:hint="eastAsia"/>
          <w:sz w:val="18"/>
          <w:szCs w:val="18"/>
        </w:rPr>
        <w:t>月</w:t>
      </w:r>
      <w:r w:rsidRPr="006742FE">
        <w:rPr>
          <w:rFonts w:asciiTheme="minorEastAsia" w:eastAsiaTheme="minorEastAsia" w:hAnsiTheme="minorEastAsia" w:cs="Times New Roman"/>
          <w:sz w:val="18"/>
          <w:szCs w:val="18"/>
        </w:rPr>
        <w:t xml:space="preserve"> 21 </w:t>
      </w:r>
      <w:r w:rsidRPr="006742FE">
        <w:rPr>
          <w:rFonts w:asciiTheme="minorEastAsia" w:eastAsiaTheme="minorEastAsia" w:hAnsiTheme="minorEastAsia" w:hint="eastAsia"/>
          <w:sz w:val="18"/>
          <w:szCs w:val="18"/>
        </w:rPr>
        <w:t>日召开第八届董事会</w:t>
      </w:r>
      <w:r w:rsidRPr="006742FE">
        <w:rPr>
          <w:rFonts w:asciiTheme="minorEastAsia" w:eastAsiaTheme="minorEastAsia" w:hAnsiTheme="minorEastAsia" w:cs="Times New Roman"/>
          <w:sz w:val="18"/>
          <w:szCs w:val="18"/>
        </w:rPr>
        <w:t xml:space="preserve"> 2022 </w:t>
      </w:r>
      <w:r w:rsidRPr="006742FE">
        <w:rPr>
          <w:rFonts w:asciiTheme="minorEastAsia" w:eastAsiaTheme="minorEastAsia" w:hAnsiTheme="minorEastAsia" w:hint="eastAsia"/>
          <w:sz w:val="18"/>
          <w:szCs w:val="18"/>
        </w:rPr>
        <w:t>年第二次临时会议审议通过《关于回购公司股份方案的议案》，公司拟使用自有资金以集中竞价交易方式回购已发行的人民币普通股（</w:t>
      </w:r>
      <w:r w:rsidRPr="006742FE">
        <w:rPr>
          <w:rFonts w:asciiTheme="minorEastAsia" w:eastAsiaTheme="minorEastAsia" w:hAnsiTheme="minorEastAsia" w:cs="Times New Roman"/>
          <w:sz w:val="18"/>
          <w:szCs w:val="18"/>
        </w:rPr>
        <w:t xml:space="preserve">A </w:t>
      </w:r>
      <w:r w:rsidRPr="006742FE">
        <w:rPr>
          <w:rFonts w:asciiTheme="minorEastAsia" w:eastAsiaTheme="minorEastAsia" w:hAnsiTheme="minorEastAsia" w:hint="eastAsia"/>
          <w:sz w:val="18"/>
          <w:szCs w:val="18"/>
        </w:rPr>
        <w:lastRenderedPageBreak/>
        <w:t>股）股份，回购股</w:t>
      </w:r>
      <w:proofErr w:type="gramStart"/>
      <w:r w:rsidRPr="006742FE">
        <w:rPr>
          <w:rFonts w:asciiTheme="minorEastAsia" w:eastAsiaTheme="minorEastAsia" w:hAnsiTheme="minorEastAsia" w:hint="eastAsia"/>
          <w:sz w:val="18"/>
          <w:szCs w:val="18"/>
        </w:rPr>
        <w:t>份用于</w:t>
      </w:r>
      <w:proofErr w:type="gramEnd"/>
      <w:r w:rsidRPr="006742FE">
        <w:rPr>
          <w:rFonts w:asciiTheme="minorEastAsia" w:eastAsiaTheme="minorEastAsia" w:hAnsiTheme="minorEastAsia" w:hint="eastAsia"/>
          <w:sz w:val="18"/>
          <w:szCs w:val="18"/>
        </w:rPr>
        <w:t>公司后续员工持股计划或者股权激励。回购总金额为不低于人民币</w:t>
      </w:r>
      <w:r w:rsidRPr="006742FE">
        <w:rPr>
          <w:rFonts w:asciiTheme="minorEastAsia" w:eastAsiaTheme="minorEastAsia" w:hAnsiTheme="minorEastAsia" w:cs="Times New Roman"/>
          <w:sz w:val="18"/>
          <w:szCs w:val="18"/>
        </w:rPr>
        <w:t xml:space="preserve"> 5,000 </w:t>
      </w:r>
      <w:r w:rsidRPr="006742FE">
        <w:rPr>
          <w:rFonts w:asciiTheme="minorEastAsia" w:eastAsiaTheme="minorEastAsia" w:hAnsiTheme="minorEastAsia" w:hint="eastAsia"/>
          <w:sz w:val="18"/>
          <w:szCs w:val="18"/>
        </w:rPr>
        <w:t>万元</w:t>
      </w:r>
      <w:r w:rsidRPr="006742FE">
        <w:rPr>
          <w:rFonts w:asciiTheme="minorEastAsia" w:eastAsiaTheme="minorEastAsia" w:hAnsiTheme="minorEastAsia" w:cs="Times New Roman"/>
          <w:sz w:val="18"/>
          <w:szCs w:val="18"/>
        </w:rPr>
        <w:t>,</w:t>
      </w:r>
      <w:r w:rsidRPr="006742FE">
        <w:rPr>
          <w:rFonts w:asciiTheme="minorEastAsia" w:eastAsiaTheme="minorEastAsia" w:hAnsiTheme="minorEastAsia" w:hint="eastAsia"/>
          <w:sz w:val="18"/>
          <w:szCs w:val="18"/>
        </w:rPr>
        <w:t>不超过人民币</w:t>
      </w:r>
      <w:r w:rsidRPr="006742FE">
        <w:rPr>
          <w:rFonts w:asciiTheme="minorEastAsia" w:eastAsiaTheme="minorEastAsia" w:hAnsiTheme="minorEastAsia" w:cs="Times New Roman"/>
          <w:sz w:val="18"/>
          <w:szCs w:val="18"/>
        </w:rPr>
        <w:t xml:space="preserve"> 10,000 </w:t>
      </w:r>
      <w:r w:rsidRPr="006742FE">
        <w:rPr>
          <w:rFonts w:asciiTheme="minorEastAsia" w:eastAsiaTheme="minorEastAsia" w:hAnsiTheme="minorEastAsia" w:hint="eastAsia"/>
          <w:sz w:val="18"/>
          <w:szCs w:val="18"/>
        </w:rPr>
        <w:t>万元，回购价格不超过</w:t>
      </w:r>
      <w:r w:rsidRPr="006742FE">
        <w:rPr>
          <w:rFonts w:asciiTheme="minorEastAsia" w:eastAsiaTheme="minorEastAsia" w:hAnsiTheme="minorEastAsia" w:cs="Times New Roman"/>
          <w:sz w:val="18"/>
          <w:szCs w:val="18"/>
        </w:rPr>
        <w:t xml:space="preserve"> 6.50 </w:t>
      </w:r>
      <w:r w:rsidRPr="006742FE">
        <w:rPr>
          <w:rFonts w:asciiTheme="minorEastAsia" w:eastAsiaTheme="minorEastAsia" w:hAnsiTheme="minorEastAsia" w:hint="eastAsia"/>
          <w:sz w:val="18"/>
          <w:szCs w:val="18"/>
        </w:rPr>
        <w:t>元</w:t>
      </w:r>
      <w:r w:rsidRPr="006742FE">
        <w:rPr>
          <w:rFonts w:asciiTheme="minorEastAsia" w:eastAsiaTheme="minorEastAsia" w:hAnsiTheme="minorEastAsia" w:cs="Times New Roman"/>
          <w:sz w:val="18"/>
          <w:szCs w:val="18"/>
        </w:rPr>
        <w:t>/</w:t>
      </w:r>
      <w:r w:rsidRPr="006742FE">
        <w:rPr>
          <w:rFonts w:asciiTheme="minorEastAsia" w:eastAsiaTheme="minorEastAsia" w:hAnsiTheme="minorEastAsia" w:hint="eastAsia"/>
          <w:sz w:val="18"/>
          <w:szCs w:val="18"/>
        </w:rPr>
        <w:t>股。</w:t>
      </w:r>
    </w:p>
    <w:p w:rsidR="000F627F" w:rsidRPr="006742FE" w:rsidRDefault="000F627F" w:rsidP="006742FE">
      <w:pPr>
        <w:pStyle w:val="a3"/>
        <w:spacing w:before="0" w:beforeAutospacing="0" w:after="0" w:afterAutospacing="0" w:line="240" w:lineRule="exact"/>
        <w:ind w:firstLine="480"/>
        <w:jc w:val="both"/>
        <w:divId w:val="812916471"/>
        <w:rPr>
          <w:rFonts w:asciiTheme="minorEastAsia" w:eastAsiaTheme="minorEastAsia" w:hAnsiTheme="minorEastAsia"/>
          <w:sz w:val="21"/>
          <w:szCs w:val="21"/>
        </w:rPr>
      </w:pPr>
      <w:r w:rsidRPr="006742FE">
        <w:rPr>
          <w:rFonts w:asciiTheme="minorEastAsia" w:eastAsiaTheme="minorEastAsia" w:hAnsiTheme="minorEastAsia" w:hint="eastAsia"/>
          <w:color w:val="000000"/>
          <w:sz w:val="18"/>
          <w:szCs w:val="18"/>
        </w:rPr>
        <w:t>华孚时尚股份有限公司（以下简称</w:t>
      </w:r>
      <w:r w:rsidRPr="006742FE">
        <w:rPr>
          <w:rFonts w:asciiTheme="minorEastAsia" w:eastAsiaTheme="minorEastAsia" w:hAnsiTheme="minorEastAsia" w:cs="Times New Roman"/>
          <w:color w:val="000000"/>
          <w:sz w:val="18"/>
          <w:szCs w:val="18"/>
        </w:rPr>
        <w:t>“</w:t>
      </w:r>
      <w:r w:rsidRPr="006742FE">
        <w:rPr>
          <w:rFonts w:asciiTheme="minorEastAsia" w:eastAsiaTheme="minorEastAsia" w:hAnsiTheme="minorEastAsia" w:hint="eastAsia"/>
          <w:color w:val="000000"/>
          <w:sz w:val="18"/>
          <w:szCs w:val="18"/>
        </w:rPr>
        <w:t>公司</w:t>
      </w:r>
      <w:r w:rsidRPr="006742FE">
        <w:rPr>
          <w:rFonts w:asciiTheme="minorEastAsia" w:eastAsiaTheme="minorEastAsia" w:hAnsiTheme="minorEastAsia" w:cs="Times New Roman"/>
          <w:color w:val="000000"/>
          <w:sz w:val="18"/>
          <w:szCs w:val="18"/>
        </w:rPr>
        <w:t>”</w:t>
      </w:r>
      <w:r w:rsidRPr="006742FE">
        <w:rPr>
          <w:rFonts w:asciiTheme="minorEastAsia" w:eastAsiaTheme="minorEastAsia" w:hAnsiTheme="minorEastAsia" w:hint="eastAsia"/>
          <w:color w:val="000000"/>
          <w:sz w:val="18"/>
          <w:szCs w:val="18"/>
        </w:rPr>
        <w:t>）于</w:t>
      </w:r>
      <w:r w:rsidRPr="006742FE">
        <w:rPr>
          <w:rFonts w:asciiTheme="minorEastAsia" w:eastAsiaTheme="minorEastAsia" w:hAnsiTheme="minorEastAsia" w:cs="Times New Roman"/>
          <w:color w:val="000000"/>
          <w:sz w:val="18"/>
          <w:szCs w:val="18"/>
        </w:rPr>
        <w:t xml:space="preserve"> 2023 </w:t>
      </w:r>
      <w:r w:rsidRPr="006742FE">
        <w:rPr>
          <w:rFonts w:asciiTheme="minorEastAsia" w:eastAsiaTheme="minorEastAsia" w:hAnsiTheme="minorEastAsia" w:hint="eastAsia"/>
          <w:color w:val="000000"/>
          <w:sz w:val="18"/>
          <w:szCs w:val="18"/>
        </w:rPr>
        <w:t>年</w:t>
      </w:r>
      <w:r w:rsidRPr="006742FE">
        <w:rPr>
          <w:rFonts w:asciiTheme="minorEastAsia" w:eastAsiaTheme="minorEastAsia" w:hAnsiTheme="minorEastAsia" w:cs="Times New Roman"/>
          <w:color w:val="000000"/>
          <w:sz w:val="18"/>
          <w:szCs w:val="18"/>
        </w:rPr>
        <w:t xml:space="preserve"> 3 </w:t>
      </w:r>
      <w:r w:rsidRPr="006742FE">
        <w:rPr>
          <w:rFonts w:asciiTheme="minorEastAsia" w:eastAsiaTheme="minorEastAsia" w:hAnsiTheme="minorEastAsia" w:hint="eastAsia"/>
          <w:color w:val="000000"/>
          <w:sz w:val="18"/>
          <w:szCs w:val="18"/>
        </w:rPr>
        <w:t>月</w:t>
      </w:r>
      <w:r w:rsidRPr="006742FE">
        <w:rPr>
          <w:rFonts w:asciiTheme="minorEastAsia" w:eastAsiaTheme="minorEastAsia" w:hAnsiTheme="minorEastAsia" w:cs="Times New Roman"/>
          <w:color w:val="000000"/>
          <w:sz w:val="18"/>
          <w:szCs w:val="18"/>
        </w:rPr>
        <w:t xml:space="preserve"> 17 </w:t>
      </w:r>
      <w:r w:rsidRPr="006742FE">
        <w:rPr>
          <w:rFonts w:asciiTheme="minorEastAsia" w:eastAsiaTheme="minorEastAsia" w:hAnsiTheme="minorEastAsia" w:hint="eastAsia"/>
          <w:color w:val="000000"/>
          <w:sz w:val="18"/>
          <w:szCs w:val="18"/>
        </w:rPr>
        <w:t>日召开的第八届董事会</w:t>
      </w:r>
      <w:r w:rsidRPr="006742FE">
        <w:rPr>
          <w:rFonts w:asciiTheme="minorEastAsia" w:eastAsiaTheme="minorEastAsia" w:hAnsiTheme="minorEastAsia" w:cs="Times New Roman"/>
          <w:color w:val="000000"/>
          <w:sz w:val="18"/>
          <w:szCs w:val="18"/>
        </w:rPr>
        <w:t xml:space="preserve"> 2023 </w:t>
      </w:r>
      <w:r w:rsidRPr="006742FE">
        <w:rPr>
          <w:rFonts w:asciiTheme="minorEastAsia" w:eastAsiaTheme="minorEastAsia" w:hAnsiTheme="minorEastAsia" w:hint="eastAsia"/>
          <w:color w:val="000000"/>
          <w:sz w:val="18"/>
          <w:szCs w:val="18"/>
        </w:rPr>
        <w:t>年第一次临时会议、第八届监事会第十一次会议审议通过次回购公司股份的方案。拟使用自有资金以集中竞</w:t>
      </w:r>
      <w:r w:rsidRPr="006742FE">
        <w:rPr>
          <w:rFonts w:asciiTheme="minorEastAsia" w:eastAsiaTheme="minorEastAsia" w:hAnsiTheme="minorEastAsia" w:cs="Times New Roman"/>
          <w:color w:val="000000"/>
          <w:sz w:val="18"/>
          <w:szCs w:val="18"/>
        </w:rPr>
        <w:t xml:space="preserve"> </w:t>
      </w:r>
      <w:r w:rsidRPr="006742FE">
        <w:rPr>
          <w:rFonts w:asciiTheme="minorEastAsia" w:eastAsiaTheme="minorEastAsia" w:hAnsiTheme="minorEastAsia" w:hint="eastAsia"/>
          <w:color w:val="000000"/>
          <w:sz w:val="18"/>
          <w:szCs w:val="18"/>
        </w:rPr>
        <w:t>价交易方式回购已发行的人民币普通股（</w:t>
      </w:r>
      <w:r w:rsidRPr="006742FE">
        <w:rPr>
          <w:rFonts w:asciiTheme="minorEastAsia" w:eastAsiaTheme="minorEastAsia" w:hAnsiTheme="minorEastAsia" w:cs="Times New Roman"/>
          <w:color w:val="000000"/>
          <w:sz w:val="18"/>
          <w:szCs w:val="18"/>
        </w:rPr>
        <w:t xml:space="preserve">A </w:t>
      </w:r>
      <w:r w:rsidRPr="006742FE">
        <w:rPr>
          <w:rFonts w:asciiTheme="minorEastAsia" w:eastAsiaTheme="minorEastAsia" w:hAnsiTheme="minorEastAsia" w:hint="eastAsia"/>
          <w:color w:val="000000"/>
          <w:sz w:val="18"/>
          <w:szCs w:val="18"/>
        </w:rPr>
        <w:t>股）股份，回购股</w:t>
      </w:r>
      <w:proofErr w:type="gramStart"/>
      <w:r w:rsidRPr="006742FE">
        <w:rPr>
          <w:rFonts w:asciiTheme="minorEastAsia" w:eastAsiaTheme="minorEastAsia" w:hAnsiTheme="minorEastAsia" w:hint="eastAsia"/>
          <w:color w:val="000000"/>
          <w:sz w:val="18"/>
          <w:szCs w:val="18"/>
        </w:rPr>
        <w:t>份用于维护公司价</w:t>
      </w:r>
      <w:proofErr w:type="gramEnd"/>
      <w:r w:rsidRPr="006742FE">
        <w:rPr>
          <w:rFonts w:asciiTheme="minorEastAsia" w:eastAsiaTheme="minorEastAsia" w:hAnsiTheme="minorEastAsia" w:cs="Times New Roman"/>
          <w:color w:val="000000"/>
          <w:sz w:val="18"/>
          <w:szCs w:val="18"/>
        </w:rPr>
        <w:t xml:space="preserve"> </w:t>
      </w:r>
      <w:r w:rsidRPr="006742FE">
        <w:rPr>
          <w:rFonts w:asciiTheme="minorEastAsia" w:eastAsiaTheme="minorEastAsia" w:hAnsiTheme="minorEastAsia" w:hint="eastAsia"/>
          <w:color w:val="000000"/>
          <w:sz w:val="18"/>
          <w:szCs w:val="18"/>
        </w:rPr>
        <w:t>值及股东权益所必需，公司本次回购的股份后续将按有关规定予以全部出售。回购总金额为不低于人民币</w:t>
      </w:r>
      <w:r w:rsidRPr="006742FE">
        <w:rPr>
          <w:rFonts w:asciiTheme="minorEastAsia" w:eastAsiaTheme="minorEastAsia" w:hAnsiTheme="minorEastAsia" w:cs="Times New Roman"/>
          <w:color w:val="000000"/>
          <w:sz w:val="18"/>
          <w:szCs w:val="18"/>
        </w:rPr>
        <w:t xml:space="preserve"> 10,000 </w:t>
      </w:r>
      <w:r w:rsidRPr="006742FE">
        <w:rPr>
          <w:rFonts w:asciiTheme="minorEastAsia" w:eastAsiaTheme="minorEastAsia" w:hAnsiTheme="minorEastAsia" w:hint="eastAsia"/>
          <w:color w:val="000000"/>
          <w:sz w:val="18"/>
          <w:szCs w:val="18"/>
        </w:rPr>
        <w:t>万元，不超过人民币</w:t>
      </w:r>
      <w:r w:rsidRPr="006742FE">
        <w:rPr>
          <w:rFonts w:asciiTheme="minorEastAsia" w:eastAsiaTheme="minorEastAsia" w:hAnsiTheme="minorEastAsia" w:cs="Times New Roman"/>
          <w:color w:val="000000"/>
          <w:sz w:val="18"/>
          <w:szCs w:val="18"/>
        </w:rPr>
        <w:t xml:space="preserve"> 20,000 </w:t>
      </w:r>
      <w:r w:rsidRPr="006742FE">
        <w:rPr>
          <w:rFonts w:asciiTheme="minorEastAsia" w:eastAsiaTheme="minorEastAsia" w:hAnsiTheme="minorEastAsia" w:hint="eastAsia"/>
          <w:color w:val="000000"/>
          <w:sz w:val="18"/>
          <w:szCs w:val="18"/>
        </w:rPr>
        <w:t>万元，回购价格不</w:t>
      </w:r>
      <w:r w:rsidRPr="006742FE">
        <w:rPr>
          <w:rFonts w:asciiTheme="minorEastAsia" w:eastAsiaTheme="minorEastAsia" w:hAnsiTheme="minorEastAsia" w:cs="Times New Roman"/>
          <w:color w:val="000000"/>
          <w:sz w:val="18"/>
          <w:szCs w:val="18"/>
        </w:rPr>
        <w:t xml:space="preserve"> </w:t>
      </w:r>
      <w:r w:rsidRPr="006742FE">
        <w:rPr>
          <w:rFonts w:asciiTheme="minorEastAsia" w:eastAsiaTheme="minorEastAsia" w:hAnsiTheme="minorEastAsia" w:hint="eastAsia"/>
          <w:color w:val="000000"/>
          <w:sz w:val="18"/>
          <w:szCs w:val="18"/>
        </w:rPr>
        <w:t>超过</w:t>
      </w:r>
      <w:r w:rsidRPr="006742FE">
        <w:rPr>
          <w:rFonts w:asciiTheme="minorEastAsia" w:eastAsiaTheme="minorEastAsia" w:hAnsiTheme="minorEastAsia" w:cs="Times New Roman"/>
          <w:color w:val="000000"/>
          <w:sz w:val="18"/>
          <w:szCs w:val="18"/>
        </w:rPr>
        <w:t xml:space="preserve"> 4.60 </w:t>
      </w:r>
      <w:r w:rsidRPr="006742FE">
        <w:rPr>
          <w:rFonts w:asciiTheme="minorEastAsia" w:eastAsiaTheme="minorEastAsia" w:hAnsiTheme="minorEastAsia" w:hint="eastAsia"/>
          <w:color w:val="000000"/>
          <w:sz w:val="18"/>
          <w:szCs w:val="18"/>
        </w:rPr>
        <w:t>元</w:t>
      </w:r>
      <w:r w:rsidRPr="006742FE">
        <w:rPr>
          <w:rFonts w:asciiTheme="minorEastAsia" w:eastAsiaTheme="minorEastAsia" w:hAnsiTheme="minorEastAsia" w:cs="Times New Roman"/>
          <w:color w:val="000000"/>
          <w:sz w:val="18"/>
          <w:szCs w:val="18"/>
        </w:rPr>
        <w:t>/</w:t>
      </w:r>
      <w:r w:rsidRPr="006742FE">
        <w:rPr>
          <w:rFonts w:asciiTheme="minorEastAsia" w:eastAsiaTheme="minorEastAsia" w:hAnsiTheme="minorEastAsia" w:hint="eastAsia"/>
          <w:color w:val="000000"/>
          <w:sz w:val="18"/>
          <w:szCs w:val="18"/>
        </w:rPr>
        <w:t>股，</w:t>
      </w:r>
      <w:r w:rsidRPr="006742FE">
        <w:rPr>
          <w:rFonts w:asciiTheme="minorEastAsia" w:eastAsiaTheme="minorEastAsia" w:hAnsiTheme="minorEastAsia" w:cs="Times New Roman"/>
          <w:color w:val="000000"/>
          <w:sz w:val="18"/>
          <w:szCs w:val="18"/>
        </w:rPr>
        <w:t xml:space="preserve"> </w:t>
      </w:r>
    </w:p>
    <w:p w:rsidR="000F627F" w:rsidRPr="006742FE" w:rsidRDefault="000F627F" w:rsidP="006742FE">
      <w:pPr>
        <w:pStyle w:val="a3"/>
        <w:spacing w:before="0" w:beforeAutospacing="0" w:after="0" w:afterAutospacing="0" w:line="240" w:lineRule="exact"/>
        <w:ind w:firstLine="420"/>
        <w:jc w:val="both"/>
        <w:divId w:val="812916471"/>
        <w:rPr>
          <w:rFonts w:asciiTheme="minorEastAsia" w:eastAsiaTheme="minorEastAsia" w:hAnsiTheme="minorEastAsia"/>
          <w:sz w:val="21"/>
          <w:szCs w:val="21"/>
        </w:rPr>
      </w:pPr>
      <w:r w:rsidRPr="006742FE">
        <w:rPr>
          <w:rFonts w:asciiTheme="minorEastAsia" w:eastAsiaTheme="minorEastAsia" w:hAnsiTheme="minorEastAsia" w:hint="eastAsia"/>
          <w:sz w:val="18"/>
          <w:szCs w:val="18"/>
        </w:rPr>
        <w:t>截止</w:t>
      </w:r>
      <w:r w:rsidRPr="006742FE">
        <w:rPr>
          <w:rFonts w:asciiTheme="minorEastAsia" w:eastAsiaTheme="minorEastAsia" w:hAnsiTheme="minorEastAsia" w:cs="Times New Roman"/>
          <w:sz w:val="18"/>
          <w:szCs w:val="18"/>
        </w:rPr>
        <w:t>2023</w:t>
      </w:r>
      <w:r w:rsidRPr="006742FE">
        <w:rPr>
          <w:rFonts w:asciiTheme="minorEastAsia" w:eastAsiaTheme="minorEastAsia" w:hAnsiTheme="minorEastAsia" w:hint="eastAsia"/>
          <w:sz w:val="18"/>
          <w:szCs w:val="18"/>
        </w:rPr>
        <w:t>年</w:t>
      </w:r>
      <w:r w:rsidRPr="006742FE">
        <w:rPr>
          <w:rFonts w:asciiTheme="minorEastAsia" w:eastAsiaTheme="minorEastAsia" w:hAnsiTheme="minorEastAsia" w:cs="Times New Roman"/>
          <w:sz w:val="18"/>
          <w:szCs w:val="18"/>
        </w:rPr>
        <w:t>12</w:t>
      </w:r>
      <w:r w:rsidRPr="006742FE">
        <w:rPr>
          <w:rFonts w:asciiTheme="minorEastAsia" w:eastAsiaTheme="minorEastAsia" w:hAnsiTheme="minorEastAsia" w:hint="eastAsia"/>
          <w:sz w:val="18"/>
          <w:szCs w:val="18"/>
        </w:rPr>
        <w:t>月</w:t>
      </w:r>
      <w:r w:rsidRPr="006742FE">
        <w:rPr>
          <w:rFonts w:asciiTheme="minorEastAsia" w:eastAsiaTheme="minorEastAsia" w:hAnsiTheme="minorEastAsia" w:cs="Times New Roman"/>
          <w:sz w:val="18"/>
          <w:szCs w:val="18"/>
        </w:rPr>
        <w:t>31</w:t>
      </w:r>
      <w:r w:rsidRPr="006742FE">
        <w:rPr>
          <w:rFonts w:asciiTheme="minorEastAsia" w:eastAsiaTheme="minorEastAsia" w:hAnsiTheme="minorEastAsia" w:hint="eastAsia"/>
          <w:sz w:val="18"/>
          <w:szCs w:val="18"/>
        </w:rPr>
        <w:t>日，通过股份回购专用证券账户以集中竞价方式回购股份数量</w:t>
      </w:r>
      <w:r w:rsidRPr="006742FE">
        <w:rPr>
          <w:rFonts w:asciiTheme="minorEastAsia" w:eastAsiaTheme="minorEastAsia" w:hAnsiTheme="minorEastAsia" w:cs="Times New Roman"/>
          <w:sz w:val="18"/>
          <w:szCs w:val="18"/>
        </w:rPr>
        <w:t>61,075,314</w:t>
      </w:r>
      <w:r w:rsidRPr="006742FE">
        <w:rPr>
          <w:rFonts w:asciiTheme="minorEastAsia" w:eastAsiaTheme="minorEastAsia" w:hAnsiTheme="minorEastAsia" w:hint="eastAsia"/>
          <w:sz w:val="18"/>
          <w:szCs w:val="18"/>
        </w:rPr>
        <w:t>股，占公司目前总股本的</w:t>
      </w:r>
      <w:r w:rsidRPr="006742FE">
        <w:rPr>
          <w:rFonts w:asciiTheme="minorEastAsia" w:eastAsiaTheme="minorEastAsia" w:hAnsiTheme="minorEastAsia" w:cs="Times New Roman"/>
          <w:sz w:val="18"/>
          <w:szCs w:val="18"/>
        </w:rPr>
        <w:t>3.59%</w:t>
      </w:r>
      <w:r w:rsidRPr="006742FE">
        <w:rPr>
          <w:rFonts w:asciiTheme="minorEastAsia" w:eastAsiaTheme="minorEastAsia" w:hAnsiTheme="minorEastAsia" w:hint="eastAsia"/>
          <w:sz w:val="18"/>
          <w:szCs w:val="18"/>
        </w:rPr>
        <w:t>。最高成交价格</w:t>
      </w:r>
      <w:r w:rsidRPr="006742FE">
        <w:rPr>
          <w:rFonts w:asciiTheme="minorEastAsia" w:eastAsiaTheme="minorEastAsia" w:hAnsiTheme="minorEastAsia" w:cs="Times New Roman"/>
          <w:sz w:val="18"/>
          <w:szCs w:val="18"/>
        </w:rPr>
        <w:t>3.67</w:t>
      </w:r>
      <w:r w:rsidRPr="006742FE">
        <w:rPr>
          <w:rFonts w:asciiTheme="minorEastAsia" w:eastAsiaTheme="minorEastAsia" w:hAnsiTheme="minorEastAsia" w:hint="eastAsia"/>
          <w:sz w:val="18"/>
          <w:szCs w:val="18"/>
        </w:rPr>
        <w:t>元</w:t>
      </w:r>
      <w:r w:rsidRPr="006742FE">
        <w:rPr>
          <w:rFonts w:asciiTheme="minorEastAsia" w:eastAsiaTheme="minorEastAsia" w:hAnsiTheme="minorEastAsia" w:cs="Times New Roman"/>
          <w:sz w:val="18"/>
          <w:szCs w:val="18"/>
        </w:rPr>
        <w:t>/</w:t>
      </w:r>
      <w:r w:rsidRPr="006742FE">
        <w:rPr>
          <w:rFonts w:asciiTheme="minorEastAsia" w:eastAsiaTheme="minorEastAsia" w:hAnsiTheme="minorEastAsia" w:hint="eastAsia"/>
          <w:sz w:val="18"/>
          <w:szCs w:val="18"/>
        </w:rPr>
        <w:t>股，最低成交价格</w:t>
      </w:r>
      <w:r w:rsidRPr="006742FE">
        <w:rPr>
          <w:rFonts w:asciiTheme="minorEastAsia" w:eastAsiaTheme="minorEastAsia" w:hAnsiTheme="minorEastAsia" w:cs="Times New Roman"/>
          <w:sz w:val="18"/>
          <w:szCs w:val="18"/>
        </w:rPr>
        <w:t>3.04</w:t>
      </w:r>
      <w:r w:rsidRPr="006742FE">
        <w:rPr>
          <w:rFonts w:asciiTheme="minorEastAsia" w:eastAsiaTheme="minorEastAsia" w:hAnsiTheme="minorEastAsia" w:hint="eastAsia"/>
          <w:sz w:val="18"/>
          <w:szCs w:val="18"/>
        </w:rPr>
        <w:t>元</w:t>
      </w:r>
      <w:r w:rsidRPr="006742FE">
        <w:rPr>
          <w:rFonts w:asciiTheme="minorEastAsia" w:eastAsiaTheme="minorEastAsia" w:hAnsiTheme="minorEastAsia" w:cs="Times New Roman"/>
          <w:sz w:val="18"/>
          <w:szCs w:val="18"/>
        </w:rPr>
        <w:t>/</w:t>
      </w:r>
      <w:r w:rsidRPr="006742FE">
        <w:rPr>
          <w:rFonts w:asciiTheme="minorEastAsia" w:eastAsiaTheme="minorEastAsia" w:hAnsiTheme="minorEastAsia" w:hint="eastAsia"/>
          <w:sz w:val="18"/>
          <w:szCs w:val="18"/>
        </w:rPr>
        <w:t>股，成交总金额为</w:t>
      </w:r>
      <w:r w:rsidRPr="006742FE">
        <w:rPr>
          <w:rFonts w:asciiTheme="minorEastAsia" w:eastAsiaTheme="minorEastAsia" w:hAnsiTheme="minorEastAsia" w:cs="Times New Roman"/>
          <w:sz w:val="18"/>
          <w:szCs w:val="18"/>
        </w:rPr>
        <w:t>200,071,093.36</w:t>
      </w:r>
      <w:r w:rsidRPr="006742FE">
        <w:rPr>
          <w:rFonts w:asciiTheme="minorEastAsia" w:eastAsiaTheme="minorEastAsia" w:hAnsiTheme="minorEastAsia" w:hint="eastAsia"/>
          <w:sz w:val="18"/>
          <w:szCs w:val="18"/>
        </w:rPr>
        <w:t>元（包含手续费）。</w:t>
      </w:r>
    </w:p>
    <w:p w:rsidR="000F627F" w:rsidRPr="006742FE" w:rsidRDefault="000F627F" w:rsidP="006742FE">
      <w:pPr>
        <w:pStyle w:val="a3"/>
        <w:spacing w:before="0" w:beforeAutospacing="0" w:after="0" w:afterAutospacing="0" w:line="240" w:lineRule="exact"/>
        <w:ind w:firstLine="420"/>
        <w:jc w:val="both"/>
        <w:divId w:val="812916471"/>
        <w:rPr>
          <w:rFonts w:asciiTheme="minorEastAsia" w:eastAsiaTheme="minorEastAsia" w:hAnsiTheme="minorEastAsia"/>
          <w:sz w:val="21"/>
          <w:szCs w:val="21"/>
        </w:rPr>
      </w:pPr>
      <w:r w:rsidRPr="006742FE">
        <w:rPr>
          <w:rFonts w:asciiTheme="minorEastAsia" w:eastAsiaTheme="minorEastAsia" w:hAnsiTheme="minorEastAsia" w:hint="eastAsia"/>
          <w:sz w:val="18"/>
          <w:szCs w:val="18"/>
        </w:rPr>
        <w:t>本公司依据《企业会计准则第</w:t>
      </w:r>
      <w:r w:rsidRPr="006742FE">
        <w:rPr>
          <w:rFonts w:asciiTheme="minorEastAsia" w:eastAsiaTheme="minorEastAsia" w:hAnsiTheme="minorEastAsia" w:cs="Times New Roman"/>
          <w:sz w:val="18"/>
          <w:szCs w:val="18"/>
        </w:rPr>
        <w:t>37</w:t>
      </w:r>
      <w:r w:rsidRPr="006742FE">
        <w:rPr>
          <w:rFonts w:asciiTheme="minorEastAsia" w:eastAsiaTheme="minorEastAsia" w:hAnsiTheme="minorEastAsia" w:hint="eastAsia"/>
          <w:sz w:val="18"/>
          <w:szCs w:val="18"/>
        </w:rPr>
        <w:t>号——金融工具列报（财会</w:t>
      </w:r>
      <w:r w:rsidRPr="006742FE">
        <w:rPr>
          <w:rFonts w:asciiTheme="minorEastAsia" w:eastAsiaTheme="minorEastAsia" w:hAnsiTheme="minorEastAsia" w:cs="Times New Roman"/>
          <w:sz w:val="18"/>
          <w:szCs w:val="18"/>
        </w:rPr>
        <w:t>[2017]14</w:t>
      </w:r>
      <w:r w:rsidRPr="006742FE">
        <w:rPr>
          <w:rFonts w:asciiTheme="minorEastAsia" w:eastAsiaTheme="minorEastAsia" w:hAnsiTheme="minorEastAsia" w:hint="eastAsia"/>
          <w:sz w:val="18"/>
          <w:szCs w:val="18"/>
        </w:rPr>
        <w:t>号）》，第二十六条</w:t>
      </w:r>
      <w:r w:rsidRPr="006742FE">
        <w:rPr>
          <w:rFonts w:asciiTheme="minorEastAsia" w:eastAsiaTheme="minorEastAsia" w:hAnsiTheme="minorEastAsia" w:cs="Times New Roman"/>
          <w:sz w:val="18"/>
          <w:szCs w:val="18"/>
        </w:rPr>
        <w:t xml:space="preserve"> </w:t>
      </w:r>
      <w:r w:rsidRPr="006742FE">
        <w:rPr>
          <w:rFonts w:asciiTheme="minorEastAsia" w:eastAsiaTheme="minorEastAsia" w:hAnsiTheme="minorEastAsia" w:hint="eastAsia"/>
          <w:sz w:val="18"/>
          <w:szCs w:val="18"/>
        </w:rPr>
        <w:t>回购自身权益工具（库存股）支付的对价和交易费用，计入库存股进行处理。</w:t>
      </w:r>
    </w:p>
    <w:p w:rsidR="000D58D8" w:rsidRDefault="000F627F">
      <w:pPr>
        <w:pStyle w:val="3"/>
        <w:spacing w:line="280" w:lineRule="exact"/>
        <w:jc w:val="left"/>
        <w:rPr>
          <w:rFonts w:ascii="宋体" w:hAnsi="宋体" w:cs="宋体"/>
          <w:b/>
          <w:bCs/>
        </w:rPr>
      </w:pPr>
      <w:bookmarkStart w:id="419" w:name="_Toc989306"/>
      <w:r>
        <w:rPr>
          <w:rFonts w:ascii="宋体" w:hAnsi="宋体" w:cs="宋体"/>
          <w:b/>
          <w:bCs/>
        </w:rPr>
        <w:t>57、其他综合收益</w:t>
      </w:r>
      <w:bookmarkEnd w:id="419"/>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0D58D8">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426"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本期所得税前发生额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减：前期计入其他综合收益当期转入损益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减：前期计入其他综合收益当期转入留存收益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减：所得税费用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税后归属于母公司</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税后归属于少数股东</w:t>
            </w:r>
          </w:p>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一、不能重分类进损益的其他综合收益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15,469,238.85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-12,033,970.92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-12,033,970.92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3,435,267.93</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权益法下不能转损益的其他综合收益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-568,156.44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-568,156.44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-568,156.44</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其他权益工具投资公允价值变动</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15,469,238.85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-11,465,814.48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-11,465,814.48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4,003,424.37</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二、将重分类进损益的其他综合收益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-63,644,775.19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-35,943,998.74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-35,943,998.74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-99,588,773.93</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其中：权益法下可转损益的其他综合收益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18,999,980.01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-18,999,980.01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-18,999,980.01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外币财务报表折算差额</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-82,644,755.20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-16,944,018.73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-16,944,018.73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-99,588,773.93</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其他综合收益合计</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-48,175,536.34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-47,977,969.66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-47,977,969.66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-96,153,506.00</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其他说明，包括对现金流量套期损益的有效部分转为被套</w:t>
      </w:r>
      <w:proofErr w:type="gramStart"/>
      <w:r>
        <w:rPr>
          <w:rFonts w:ascii="宋体" w:eastAsia="宋体" w:hAnsi="宋体" w:cs="宋体"/>
          <w:sz w:val="18"/>
          <w:szCs w:val="18"/>
        </w:rPr>
        <w:t>期项目</w:t>
      </w:r>
      <w:proofErr w:type="gramEnd"/>
      <w:r>
        <w:rPr>
          <w:rFonts w:ascii="宋体" w:eastAsia="宋体" w:hAnsi="宋体" w:cs="宋体"/>
          <w:sz w:val="18"/>
          <w:szCs w:val="18"/>
        </w:rPr>
        <w:t>初始确认金额调整：</w:t>
      </w:r>
      <w:r>
        <w:rPr>
          <w:rFonts w:hint="eastAsia"/>
          <w:sz w:val="18"/>
          <w:szCs w:val="18"/>
        </w:rPr>
        <w:t>无。</w:t>
      </w:r>
    </w:p>
    <w:p w:rsidR="000D58D8" w:rsidRDefault="000F627F">
      <w:pPr>
        <w:pStyle w:val="3"/>
        <w:spacing w:line="280" w:lineRule="exact"/>
        <w:jc w:val="left"/>
        <w:rPr>
          <w:rFonts w:ascii="宋体" w:hAnsi="宋体" w:cs="宋体"/>
          <w:b/>
          <w:bCs/>
        </w:rPr>
      </w:pPr>
      <w:bookmarkStart w:id="420" w:name="_Toc989307"/>
      <w:r>
        <w:rPr>
          <w:rFonts w:ascii="宋体" w:hAnsi="宋体" w:cs="宋体"/>
          <w:b/>
          <w:bCs/>
        </w:rPr>
        <w:lastRenderedPageBreak/>
        <w:t>58、专项储备</w:t>
      </w:r>
      <w:bookmarkEnd w:id="420"/>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其他说明，包括本期增减变动情况、变动原因说明：</w:t>
      </w:r>
      <w:r>
        <w:rPr>
          <w:rFonts w:hint="eastAsia"/>
          <w:sz w:val="18"/>
          <w:szCs w:val="18"/>
        </w:rPr>
        <w:t>无。</w:t>
      </w:r>
    </w:p>
    <w:p w:rsidR="000D58D8" w:rsidRDefault="000F627F">
      <w:pPr>
        <w:pStyle w:val="3"/>
        <w:spacing w:line="280" w:lineRule="exact"/>
        <w:jc w:val="left"/>
        <w:rPr>
          <w:rFonts w:ascii="宋体" w:hAnsi="宋体" w:cs="宋体"/>
          <w:b/>
          <w:bCs/>
        </w:rPr>
      </w:pPr>
      <w:bookmarkStart w:id="421" w:name="_Toc989308"/>
      <w:r>
        <w:rPr>
          <w:rFonts w:ascii="宋体" w:hAnsi="宋体" w:cs="宋体"/>
          <w:b/>
          <w:bCs/>
        </w:rPr>
        <w:t>59、盈余公积</w:t>
      </w:r>
      <w:bookmarkEnd w:id="421"/>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法定盈余公积</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300,959,133.88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36,729,849.93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337,688,983.81</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任意盈余公积</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1,778,753.91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1,778,753.91</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302,737,887.79</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36,729,849.93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339,467,737.72</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盈余公积说明，包括本期增减变动情况、变动原因说明：</w:t>
      </w:r>
      <w:r>
        <w:rPr>
          <w:rFonts w:hint="eastAsia"/>
          <w:sz w:val="18"/>
          <w:szCs w:val="18"/>
        </w:rPr>
        <w:t>无。</w:t>
      </w:r>
    </w:p>
    <w:p w:rsidR="000D58D8" w:rsidRDefault="000F627F">
      <w:pPr>
        <w:pStyle w:val="3"/>
        <w:spacing w:line="280" w:lineRule="exact"/>
        <w:jc w:val="left"/>
        <w:rPr>
          <w:rFonts w:ascii="宋体" w:hAnsi="宋体" w:cs="宋体"/>
          <w:b/>
          <w:bCs/>
        </w:rPr>
      </w:pPr>
      <w:bookmarkStart w:id="422" w:name="_Toc989309"/>
      <w:r>
        <w:rPr>
          <w:rFonts w:ascii="宋体" w:hAnsi="宋体" w:cs="宋体"/>
          <w:b/>
          <w:bCs/>
        </w:rPr>
        <w:t>60、未分配利润</w:t>
      </w:r>
      <w:bookmarkEnd w:id="422"/>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503"/>
        <w:gridCol w:w="2568"/>
        <w:gridCol w:w="2568"/>
      </w:tblGrid>
      <w:tr w:rsidR="000D58D8" w:rsidTr="006742FE">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56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w:t>
            </w:r>
          </w:p>
        </w:tc>
        <w:tc>
          <w:tcPr>
            <w:tcW w:w="256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w:t>
            </w:r>
          </w:p>
        </w:tc>
      </w:tr>
      <w:tr w:rsidR="000D58D8" w:rsidTr="006742FE">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调整前上期末未分配利润</w:t>
            </w:r>
          </w:p>
        </w:tc>
        <w:tc>
          <w:tcPr>
            <w:tcW w:w="256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1,643,586,800.21</w:t>
            </w:r>
          </w:p>
        </w:tc>
        <w:tc>
          <w:tcPr>
            <w:tcW w:w="256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2,334,373,314.01</w:t>
            </w:r>
          </w:p>
        </w:tc>
      </w:tr>
      <w:tr w:rsidR="000D58D8" w:rsidTr="006742FE">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调整期初未分配利润合计数（调增+，调减-）</w:t>
            </w:r>
          </w:p>
        </w:tc>
        <w:tc>
          <w:tcPr>
            <w:tcW w:w="256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653,061.97</w:t>
            </w:r>
          </w:p>
        </w:tc>
        <w:tc>
          <w:tcPr>
            <w:tcW w:w="256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调整后期初未分配利润</w:t>
            </w:r>
          </w:p>
        </w:tc>
        <w:tc>
          <w:tcPr>
            <w:tcW w:w="256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1,644,239,862.18</w:t>
            </w:r>
          </w:p>
        </w:tc>
        <w:tc>
          <w:tcPr>
            <w:tcW w:w="256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2,334,373,314.01</w:t>
            </w:r>
          </w:p>
        </w:tc>
      </w:tr>
      <w:tr w:rsidR="000D58D8" w:rsidTr="006742FE">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加：本期归属于母公司所有者的净利润</w:t>
            </w:r>
          </w:p>
        </w:tc>
        <w:tc>
          <w:tcPr>
            <w:tcW w:w="256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66,782,080.49</w:t>
            </w:r>
          </w:p>
        </w:tc>
        <w:tc>
          <w:tcPr>
            <w:tcW w:w="256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-350,966,956.53</w:t>
            </w:r>
          </w:p>
        </w:tc>
      </w:tr>
      <w:tr w:rsidR="000D58D8" w:rsidTr="006742FE">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减：提取法定盈余公积</w:t>
            </w:r>
          </w:p>
        </w:tc>
        <w:tc>
          <w:tcPr>
            <w:tcW w:w="256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36,729,849.93</w:t>
            </w:r>
          </w:p>
        </w:tc>
        <w:tc>
          <w:tcPr>
            <w:tcW w:w="256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47,113,217.13</w:t>
            </w:r>
          </w:p>
        </w:tc>
      </w:tr>
      <w:tr w:rsidR="000D58D8" w:rsidTr="006742FE">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应付普通股股利</w:t>
            </w:r>
          </w:p>
        </w:tc>
        <w:tc>
          <w:tcPr>
            <w:tcW w:w="256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56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303,778,215.90</w:t>
            </w:r>
          </w:p>
        </w:tc>
      </w:tr>
      <w:tr w:rsidR="000D58D8" w:rsidTr="006742FE">
        <w:trPr>
          <w:trHeight w:val="240"/>
        </w:trPr>
        <w:tc>
          <w:tcPr>
            <w:tcW w:w="450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所有者权益其他内部结转</w:t>
            </w:r>
          </w:p>
        </w:tc>
        <w:tc>
          <w:tcPr>
            <w:tcW w:w="256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56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11,071,875.76</w:t>
            </w:r>
          </w:p>
        </w:tc>
      </w:tr>
      <w:tr w:rsidR="000D58D8" w:rsidTr="006742FE">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期末未分配利润</w:t>
            </w:r>
          </w:p>
        </w:tc>
        <w:tc>
          <w:tcPr>
            <w:tcW w:w="256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1,674,292,092.74</w:t>
            </w:r>
          </w:p>
        </w:tc>
        <w:tc>
          <w:tcPr>
            <w:tcW w:w="256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1,643,586,800.21</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调整期初未分配利润明细：</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1）、由于《企业会计准则》及其相关新规定进行追溯调整，影响期初未分配利润653,061.97元。</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2）、由于会计政策变更，影响期初未分配利润0.00元。</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3）、由于重大会计差错更正，影响期初未分配利润0.00元。</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4）、由于同</w:t>
      </w:r>
      <w:proofErr w:type="gramStart"/>
      <w:r>
        <w:rPr>
          <w:rFonts w:ascii="宋体" w:eastAsia="宋体" w:hAnsi="宋体" w:cs="宋体"/>
          <w:sz w:val="18"/>
          <w:szCs w:val="18"/>
        </w:rPr>
        <w:t>一控制</w:t>
      </w:r>
      <w:proofErr w:type="gramEnd"/>
      <w:r>
        <w:rPr>
          <w:rFonts w:ascii="宋体" w:eastAsia="宋体" w:hAnsi="宋体" w:cs="宋体"/>
          <w:sz w:val="18"/>
          <w:szCs w:val="18"/>
        </w:rPr>
        <w:t>导致的合并范围变更，影响期初未分配利润0.00元。</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5）、其他调整合计影响期初未分配利润0.00元。</w:t>
      </w:r>
    </w:p>
    <w:p w:rsidR="000D58D8" w:rsidRDefault="000F627F">
      <w:pPr>
        <w:pStyle w:val="3"/>
        <w:spacing w:line="280" w:lineRule="exact"/>
        <w:jc w:val="left"/>
        <w:rPr>
          <w:rFonts w:ascii="宋体" w:hAnsi="宋体" w:cs="宋体"/>
          <w:b/>
          <w:bCs/>
        </w:rPr>
      </w:pPr>
      <w:bookmarkStart w:id="423" w:name="_Toc989310"/>
      <w:r>
        <w:rPr>
          <w:rFonts w:ascii="宋体" w:hAnsi="宋体" w:cs="宋体"/>
          <w:b/>
          <w:bCs/>
        </w:rPr>
        <w:t>61、营业收入和营业成本</w:t>
      </w:r>
      <w:bookmarkEnd w:id="423"/>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13,619,437,001.24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13,064,669,025.81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14,356,095,161.98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13,664,905,789.35</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44,032,324.44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19,147,058.82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103,545,065.90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41,909,365.33</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13,663,469,325.68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13,083,816,084.63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14,459,640,227.88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13,706,815,154.68</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经审计扣除非经常损益</w:t>
      </w:r>
      <w:proofErr w:type="gramStart"/>
      <w:r>
        <w:rPr>
          <w:rFonts w:ascii="宋体" w:eastAsia="宋体" w:hAnsi="宋体" w:cs="宋体"/>
          <w:sz w:val="18"/>
          <w:szCs w:val="18"/>
        </w:rPr>
        <w:t>前后净</w:t>
      </w:r>
      <w:proofErr w:type="gramEnd"/>
      <w:r>
        <w:rPr>
          <w:rFonts w:ascii="宋体" w:eastAsia="宋体" w:hAnsi="宋体" w:cs="宋体"/>
          <w:sz w:val="18"/>
          <w:szCs w:val="18"/>
        </w:rPr>
        <w:t>利润孰</w:t>
      </w:r>
      <w:proofErr w:type="gramStart"/>
      <w:r>
        <w:rPr>
          <w:rFonts w:ascii="宋体" w:eastAsia="宋体" w:hAnsi="宋体" w:cs="宋体"/>
          <w:sz w:val="18"/>
          <w:szCs w:val="18"/>
        </w:rPr>
        <w:t>低是否</w:t>
      </w:r>
      <w:proofErr w:type="gramEnd"/>
      <w:r>
        <w:rPr>
          <w:rFonts w:ascii="宋体" w:eastAsia="宋体" w:hAnsi="宋体" w:cs="宋体"/>
          <w:sz w:val="18"/>
          <w:szCs w:val="18"/>
        </w:rPr>
        <w:t>为负值</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本年度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具体扣除情况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上年度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具体扣除情况</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营业收入金额</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13,663,469,325.68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营业收入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14,459,640,227.88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营业收入</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营业收入扣除项目合计金额</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44,032,324.44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其他业务收入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103,545,065.90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其他业务收入</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营业收入扣除项目合计金额占营业收入的比重</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0.32%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0.72%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一、与主营业务无关的业务收入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1．正常经营之外的其他业务收入。如出租固定资产、无形资产、包装物，销售材料，用材料进行非货币性资产交换，经营受托管理业务等实现的收入，</w:t>
            </w:r>
            <w:proofErr w:type="gramStart"/>
            <w:r>
              <w:rPr>
                <w:rFonts w:ascii="宋体" w:eastAsia="宋体" w:hAnsi="宋体" w:cs="宋体"/>
                <w:sz w:val="18"/>
                <w:szCs w:val="18"/>
              </w:rPr>
              <w:t>以及虽计入主</w:t>
            </w:r>
            <w:proofErr w:type="gramEnd"/>
            <w:r>
              <w:rPr>
                <w:rFonts w:ascii="宋体" w:eastAsia="宋体" w:hAnsi="宋体" w:cs="宋体"/>
                <w:sz w:val="18"/>
                <w:szCs w:val="18"/>
              </w:rPr>
              <w:t>营业务收入，但属于上市公司正常经营之外的收入。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44,032,324.44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其他业务收入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103,545,065.90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其他业务收入</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与主营业务无关的业务收入小计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44,032,324.44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其他业务收入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103,545,065.90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其他业务收入</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二、不具备商业实质的收入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不具备商业实质的收入小计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营业收入扣除后金额</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13,619,437,001.24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主营收入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14,356,095,161.98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主营收入</w:t>
            </w:r>
          </w:p>
        </w:tc>
      </w:tr>
    </w:tbl>
    <w:p w:rsidR="000D58D8" w:rsidRDefault="000F627F">
      <w:pPr>
        <w:spacing w:line="240" w:lineRule="exact"/>
        <w:rPr>
          <w:rFonts w:ascii="宋体" w:eastAsia="宋体" w:hAnsi="宋体" w:cs="宋体"/>
          <w:sz w:val="18"/>
          <w:szCs w:val="18"/>
        </w:rPr>
      </w:pPr>
      <w:r>
        <w:rPr>
          <w:rFonts w:ascii="宋体" w:eastAsia="宋体" w:hAnsi="宋体" w:cs="宋体"/>
          <w:sz w:val="18"/>
          <w:szCs w:val="18"/>
        </w:rPr>
        <w:t>营业收入、营业成本的分解信息：</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0D58D8">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分部1</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分部2</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0D58D8">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业务类型</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rsidTr="006742F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纱线</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5,843,973,572.11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5,491,759,009.22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5,843,973,572.11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5,491,759,009.22</w:t>
            </w:r>
          </w:p>
        </w:tc>
      </w:tr>
      <w:tr w:rsidR="000D58D8" w:rsidTr="006742F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原、色棉纤</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7,399,980,444.24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7,277,834,651.78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7,399,980,444.24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7,277,834,651.78</w:t>
            </w:r>
          </w:p>
        </w:tc>
      </w:tr>
      <w:tr w:rsidR="000D58D8" w:rsidTr="006742F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祙制品服饰类</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375,482,984.89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295,075,364.81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375,482,984.89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295,075,364.81</w:t>
            </w:r>
          </w:p>
        </w:tc>
      </w:tr>
      <w:tr w:rsidR="000D58D8" w:rsidTr="006742F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44,032,324.44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19,147,058.82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44,032,324.44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19,147,058.82</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742F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rsidTr="006742F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境外销售</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1,639,315,790.08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1,474,329,355.54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1,639,315,790.08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1,474,329,355.54</w:t>
            </w:r>
          </w:p>
        </w:tc>
      </w:tr>
      <w:tr w:rsidR="000D58D8" w:rsidTr="006742F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境内销售</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12,024,153,535.60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11,609,486,729.09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12,024,153,535.60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11,609,486,729.09</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合同类型</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rsidTr="006742F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在某一时点转让</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13,635,227,351.90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13,072,984,125.02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13,635,227,351.90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13,072,984,125.02</w:t>
            </w:r>
          </w:p>
        </w:tc>
      </w:tr>
      <w:tr w:rsidR="000D58D8" w:rsidTr="006742F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在某一时段内转让</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28,241,973.78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10,831,959.61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28,241,973.78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10,831,959.61</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按合同期限分类</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按销售渠道分类</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13,663,469,325.68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13,083,816,084.63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13,663,469,325.68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13,083,816,084.63</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与履约义务相关的信息：</w:t>
      </w:r>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6742FE">
        <w:rPr>
          <w:rFonts w:ascii="宋体" w:eastAsia="宋体" w:hAnsi="宋体" w:cs="宋体" w:hint="eastAsia"/>
          <w:sz w:val="18"/>
          <w:szCs w:val="18"/>
        </w:rPr>
        <w:t>：</w:t>
      </w: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与分摊至剩余履约义务的交易价格相关的信息：</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本报告</w:t>
      </w:r>
      <w:proofErr w:type="gramStart"/>
      <w:r>
        <w:rPr>
          <w:rFonts w:ascii="宋体" w:eastAsia="宋体" w:hAnsi="宋体" w:cs="宋体"/>
          <w:sz w:val="18"/>
          <w:szCs w:val="18"/>
        </w:rPr>
        <w:t>期末已</w:t>
      </w:r>
      <w:proofErr w:type="gramEnd"/>
      <w:r>
        <w:rPr>
          <w:rFonts w:ascii="宋体" w:eastAsia="宋体" w:hAnsi="宋体" w:cs="宋体"/>
          <w:sz w:val="18"/>
          <w:szCs w:val="18"/>
        </w:rPr>
        <w:t>签订合同、但尚未履行或尚未履行完毕的履约义务所对应的收入金额为0.00元，其中，元预计将于年度确认收入，元预计将于年度确认收入，元预计将于年度确认收入。</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合同中可变对</w:t>
      </w:r>
      <w:proofErr w:type="gramStart"/>
      <w:r>
        <w:rPr>
          <w:rFonts w:ascii="宋体" w:eastAsia="宋体" w:hAnsi="宋体" w:cs="宋体"/>
          <w:sz w:val="18"/>
          <w:szCs w:val="18"/>
        </w:rPr>
        <w:t>价相关</w:t>
      </w:r>
      <w:proofErr w:type="gramEnd"/>
      <w:r>
        <w:rPr>
          <w:rFonts w:ascii="宋体" w:eastAsia="宋体" w:hAnsi="宋体" w:cs="宋体"/>
          <w:sz w:val="18"/>
          <w:szCs w:val="18"/>
        </w:rPr>
        <w:t>信息：</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6742FE">
        <w:rPr>
          <w:rFonts w:ascii="宋体" w:eastAsia="宋体" w:hAnsi="宋体" w:cs="宋体"/>
          <w:sz w:val="18"/>
          <w:szCs w:val="18"/>
        </w:rPr>
        <w:t>无</w:t>
      </w:r>
    </w:p>
    <w:p w:rsidR="000D58D8" w:rsidRDefault="000F627F">
      <w:pPr>
        <w:pStyle w:val="3"/>
        <w:spacing w:line="280" w:lineRule="exact"/>
        <w:jc w:val="left"/>
        <w:rPr>
          <w:rFonts w:ascii="宋体" w:hAnsi="宋体" w:cs="宋体"/>
          <w:b/>
          <w:bCs/>
        </w:rPr>
      </w:pPr>
      <w:bookmarkStart w:id="424" w:name="_Toc989311"/>
      <w:r>
        <w:rPr>
          <w:rFonts w:ascii="宋体" w:hAnsi="宋体" w:cs="宋体"/>
          <w:b/>
          <w:bCs/>
        </w:rPr>
        <w:t>62、税金及附加</w:t>
      </w:r>
      <w:bookmarkEnd w:id="424"/>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9,387,888.82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6,858,447.61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6,740,351.34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5,143,677.33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25,466,924.58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19,125,062.51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22,711,382.77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17,096,435.56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车船使用税</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59,243.04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90,978.51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印花税</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15,156,721.48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12,590,857.85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895,512.79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1,420,784.40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80,418,024.82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62,326,243.77</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25" w:name="_Toc989312"/>
      <w:r>
        <w:rPr>
          <w:rFonts w:ascii="宋体" w:hAnsi="宋体" w:cs="宋体"/>
          <w:b/>
          <w:bCs/>
        </w:rPr>
        <w:t>63、管理费用</w:t>
      </w:r>
      <w:bookmarkEnd w:id="425"/>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工资及相关费用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181,315,250.15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213,089,411.73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办公费用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23,994,684.01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18,706,147.20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低值易耗品</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4,806,654.97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5,288,472.45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修理费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4,394,941.94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3,242,727.52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折旧费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78,500,815.61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89,247,834.77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费用摊销</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8,854,865.21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9,356,814.96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差旅费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4,292,311.61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2,763,503.46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4,970,944.99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4,107,272.79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保险费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2,018,684.49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2,322,779.28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12,692,076.90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11,988,969.39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长期待摊费用摊销</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1,750,209.98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3,733,173.79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租赁费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4,904,214.61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5,427,017.62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中介机构费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20,296,195.53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10,782,751.72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352,791,850.00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380,056,876.68</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26" w:name="_Toc989313"/>
      <w:r>
        <w:rPr>
          <w:rFonts w:ascii="宋体" w:hAnsi="宋体" w:cs="宋体"/>
          <w:b/>
          <w:bCs/>
        </w:rPr>
        <w:t>64、销售费用</w:t>
      </w:r>
      <w:bookmarkEnd w:id="426"/>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工资及相关费用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36,579,737.02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42,468,429.28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办公费用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1,267,863.65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3,033,225.71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租赁费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29,512,278.89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31,043,710.91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开发费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653,604.50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单证费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571.53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6,315.71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低值易耗品</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1,944,800.80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1,350,251.61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修理费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582,725.83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534,222.13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折旧费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6,664,881.15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4,669,566.54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差旅费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1,486,525.08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990,940.90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1,060,527.59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317,336.82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电商平台服务费</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31,585,723.69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37,228,023.03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4,174,385.94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3,047,141.34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114,860,021.17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125,342,768.48</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27" w:name="_Toc989314"/>
      <w:r>
        <w:rPr>
          <w:rFonts w:ascii="宋体" w:hAnsi="宋体" w:cs="宋体"/>
          <w:b/>
          <w:bCs/>
        </w:rPr>
        <w:t>65、研发费用</w:t>
      </w:r>
      <w:bookmarkEnd w:id="42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工资及奖金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20,558,132.59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20,663,804.48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燃料及动力</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12,110,143.71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12,471,541.04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原材料</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65,452,630.06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67,833,204.27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折旧及摊销</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7,418,176.16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6,954,269.49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7,674,286.07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2,454,292.24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113,213,368.59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110,377,111.52</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pStyle w:val="a3"/>
        <w:divId w:val="1870333477"/>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428" w:name="_Toc989315"/>
      <w:r>
        <w:rPr>
          <w:rFonts w:ascii="宋体" w:hAnsi="宋体" w:cs="宋体"/>
          <w:b/>
          <w:bCs/>
        </w:rPr>
        <w:t>66、财务费用</w:t>
      </w:r>
      <w:bookmarkEnd w:id="428"/>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297,635,396.87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302,602,665.36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减：利息收入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-86,056,151.87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-52,635,273.79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汇兑损益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-35,563,027.92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-22,261,282.55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未确认融资费用摊销</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205,233.03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1,457,136.07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4,501,617.95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22,316,902.53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180,723,068.06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251,480,147.62</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29" w:name="_Toc989316"/>
      <w:r>
        <w:rPr>
          <w:rFonts w:ascii="宋体" w:hAnsi="宋体" w:cs="宋体"/>
          <w:b/>
          <w:bCs/>
        </w:rPr>
        <w:t>67、其他收益</w:t>
      </w:r>
      <w:bookmarkEnd w:id="429"/>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产生其他收益的来源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163,566,708.82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36,812,760.16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增值税减免</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33,745,256.13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5,739,864.91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个人所得税手续费返还</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429,231.77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235,347.44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197,741,196.72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42,787,972.51</w:t>
            </w:r>
          </w:p>
        </w:tc>
      </w:tr>
    </w:tbl>
    <w:p w:rsidR="000D58D8" w:rsidRDefault="000F627F">
      <w:pPr>
        <w:pStyle w:val="3"/>
        <w:spacing w:line="280" w:lineRule="exact"/>
        <w:jc w:val="left"/>
        <w:rPr>
          <w:rFonts w:ascii="宋体" w:hAnsi="宋体" w:cs="宋体"/>
          <w:b/>
          <w:bCs/>
        </w:rPr>
      </w:pPr>
      <w:bookmarkStart w:id="430" w:name="_Toc989317"/>
      <w:r>
        <w:rPr>
          <w:rFonts w:ascii="宋体" w:hAnsi="宋体" w:cs="宋体"/>
          <w:b/>
          <w:bCs/>
        </w:rPr>
        <w:t>68、净敞口套期收益</w:t>
      </w:r>
      <w:bookmarkEnd w:id="430"/>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31" w:name="_Toc989318"/>
      <w:r>
        <w:rPr>
          <w:rFonts w:ascii="宋体" w:hAnsi="宋体" w:cs="宋体"/>
          <w:b/>
          <w:bCs/>
        </w:rPr>
        <w:t>69、公允价值变动收益</w:t>
      </w:r>
      <w:bookmarkEnd w:id="431"/>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产生公允价值变动收益的来源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-13,329,546.28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-6,381,934.06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-3,095,551.47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-1,902,600.00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-16,425,097.75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-8,284,534.06</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32" w:name="_Toc989319"/>
      <w:r>
        <w:rPr>
          <w:rFonts w:ascii="宋体" w:hAnsi="宋体" w:cs="宋体"/>
          <w:b/>
          <w:bCs/>
        </w:rPr>
        <w:t>70、投资收益</w:t>
      </w:r>
      <w:bookmarkEnd w:id="432"/>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权益法核算的长期股权投资收益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7,932,426.95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-17,611,972.80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处置长期股权投资产生的投资收益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21,554,648.12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14,892,573.69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处置交易性金融资产取得的投资收益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-134,216.33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-160,806,594.44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其他权益工具投资在持有期间取得的股利收入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6,896,343.59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18,268,975.43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委托理财收益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7,232,674.31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15,969,679.54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43,481,876.64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-129,287,338.58</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pStyle w:val="a3"/>
        <w:divId w:val="1480875639"/>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433" w:name="_Toc989320"/>
      <w:r>
        <w:rPr>
          <w:rFonts w:ascii="宋体" w:hAnsi="宋体" w:cs="宋体"/>
          <w:b/>
          <w:bCs/>
        </w:rPr>
        <w:t>71、信用减值损失</w:t>
      </w:r>
      <w:bookmarkEnd w:id="433"/>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应收票据坏账损失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282,860.80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48,033.95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应收账款坏账损失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-10,737,427.38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-14,968,783.69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其他应收款坏账损失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-25,576,766.14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-29,085,180.68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长期应收款坏账损失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1,930,180.14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-1,217,394.41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-34,101,152.58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-45,223,324.83</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34" w:name="_Toc989321"/>
      <w:r>
        <w:rPr>
          <w:rFonts w:ascii="宋体" w:hAnsi="宋体" w:cs="宋体"/>
          <w:b/>
          <w:bCs/>
        </w:rPr>
        <w:t>72、资产减值损失</w:t>
      </w:r>
      <w:bookmarkEnd w:id="434"/>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一、存货跌价损失及合同履约成本减值损失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26,310,983.35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-201,119,760.42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26,310,983.35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-201,119,760.42</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35" w:name="_Toc989322"/>
      <w:r>
        <w:rPr>
          <w:rFonts w:ascii="宋体" w:hAnsi="宋体" w:cs="宋体"/>
          <w:b/>
          <w:bCs/>
        </w:rPr>
        <w:t>73、资产处置收益</w:t>
      </w:r>
      <w:bookmarkEnd w:id="435"/>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资产处置收益的来源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固定资产处置利得或损失</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110,597,846.63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66,926,182.80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在建工程处置利得或损失</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35,863,782.42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无形资产处置利得或损失</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6,467,411.18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53,719,783.68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152,929,040.23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120,645,966.48</w:t>
            </w:r>
          </w:p>
        </w:tc>
      </w:tr>
    </w:tbl>
    <w:p w:rsidR="000D58D8" w:rsidRDefault="000F627F">
      <w:pPr>
        <w:pStyle w:val="3"/>
        <w:spacing w:line="280" w:lineRule="exact"/>
        <w:jc w:val="left"/>
        <w:rPr>
          <w:rFonts w:ascii="宋体" w:hAnsi="宋体" w:cs="宋体"/>
          <w:b/>
          <w:bCs/>
        </w:rPr>
      </w:pPr>
      <w:bookmarkStart w:id="436" w:name="_Toc989323"/>
      <w:r>
        <w:rPr>
          <w:rFonts w:ascii="宋体" w:hAnsi="宋体" w:cs="宋体"/>
          <w:b/>
          <w:bCs/>
        </w:rPr>
        <w:t>74、营业外收入</w:t>
      </w:r>
      <w:bookmarkEnd w:id="436"/>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无法支付的债务</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6,082,763.60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9,175,972.01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6,082,763.60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赔偿金</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2,760,294.40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3,108,222.00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2,760,294.40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7,269,626.70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1,454,785.12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7,269,626.70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16,112,684.70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13,738,979.13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16,112,684.70</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37" w:name="_Toc989324"/>
      <w:r>
        <w:rPr>
          <w:rFonts w:ascii="宋体" w:hAnsi="宋体" w:cs="宋体"/>
          <w:b/>
          <w:bCs/>
        </w:rPr>
        <w:t>75、营业外支出</w:t>
      </w:r>
      <w:bookmarkEnd w:id="43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对外捐赠</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934,540.22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754,870.34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934,540.22</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固定资产报废损失</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594,587.71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61,262.05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594,587.71</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罚款滞纳金支出</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907,152.04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1,409,713.92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907,152.04</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赔偿支出</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394,382.04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253,934.56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394,382.04</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2,231,557.80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1,219,388.91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2,231,557.80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5,062,219.81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3,699,169.78</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5,062,219.81</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38" w:name="_Toc989325"/>
      <w:r>
        <w:rPr>
          <w:rFonts w:ascii="宋体" w:hAnsi="宋体" w:cs="宋体"/>
          <w:b/>
          <w:bCs/>
        </w:rPr>
        <w:t>76、所得税费用</w:t>
      </w:r>
      <w:bookmarkEnd w:id="438"/>
    </w:p>
    <w:p w:rsidR="000D58D8" w:rsidRDefault="000F627F">
      <w:pPr>
        <w:keepNext/>
        <w:keepLines/>
        <w:spacing w:before="300" w:after="300" w:line="280" w:lineRule="exact"/>
        <w:outlineLvl w:val="3"/>
        <w:rPr>
          <w:rFonts w:ascii="宋体" w:eastAsia="宋体" w:hAnsi="宋体" w:cs="宋体"/>
          <w:b/>
          <w:bCs/>
          <w:szCs w:val="21"/>
        </w:rPr>
      </w:pPr>
      <w:bookmarkStart w:id="439" w:name="_Toc989326"/>
      <w:r>
        <w:rPr>
          <w:rFonts w:ascii="宋体" w:eastAsia="宋体" w:hAnsi="宋体" w:cs="宋体"/>
          <w:b/>
          <w:bCs/>
          <w:szCs w:val="21"/>
        </w:rPr>
        <w:t>（1） 所得税费用表</w:t>
      </w:r>
      <w:bookmarkEnd w:id="439"/>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当期所得税费用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35,648,805.34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44,072,887.76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递延所得税费用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13,881,854.59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-66,809,908.75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49,530,659.93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-22,737,020.99</w:t>
            </w:r>
          </w:p>
        </w:tc>
      </w:tr>
    </w:tbl>
    <w:p w:rsidR="000D58D8" w:rsidRDefault="000F627F">
      <w:pPr>
        <w:keepNext/>
        <w:keepLines/>
        <w:spacing w:before="300" w:after="300" w:line="280" w:lineRule="exact"/>
        <w:outlineLvl w:val="3"/>
        <w:rPr>
          <w:rFonts w:ascii="宋体" w:eastAsia="宋体" w:hAnsi="宋体" w:cs="宋体"/>
          <w:b/>
          <w:bCs/>
          <w:szCs w:val="21"/>
        </w:rPr>
      </w:pPr>
      <w:bookmarkStart w:id="440" w:name="_Toc989327"/>
      <w:r>
        <w:rPr>
          <w:rFonts w:ascii="宋体" w:eastAsia="宋体" w:hAnsi="宋体" w:cs="宋体"/>
          <w:b/>
          <w:bCs/>
          <w:szCs w:val="21"/>
        </w:rPr>
        <w:t>（2） 会计利润与所得税费用调整过程</w:t>
      </w:r>
      <w:bookmarkEnd w:id="440"/>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利润总额</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118,634,219.91</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按法定/适用税率计算的所得税费用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17,795,132.99</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子公司适用不同税率的影响</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-15,093,574.92</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调整以前期间所得税的影响</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-1,716,925.00</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不可抵扣的成本、费用和损失的影响</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-14,388,418.26</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使用前期未确认递延所得税资产的可抵扣亏损的影响</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-9,665,219.78</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proofErr w:type="gramStart"/>
            <w:r>
              <w:rPr>
                <w:rFonts w:ascii="宋体" w:eastAsia="宋体" w:hAnsi="宋体" w:cs="宋体"/>
                <w:sz w:val="18"/>
                <w:szCs w:val="18"/>
              </w:rPr>
              <w:t>本期未</w:t>
            </w:r>
            <w:proofErr w:type="gramEnd"/>
            <w:r>
              <w:rPr>
                <w:rFonts w:ascii="宋体" w:eastAsia="宋体" w:hAnsi="宋体" w:cs="宋体"/>
                <w:sz w:val="18"/>
                <w:szCs w:val="18"/>
              </w:rPr>
              <w:t>确认递延所得税资产的可抵扣暂时性差异或可抵扣亏损的影响</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90,542,178.69</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本公司税收优惠的影响</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-1,481,033.90</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归属于合营企业和联营企业的损益（非应税收入）</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-2,307,985.07</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税率变动对</w:t>
            </w:r>
            <w:proofErr w:type="gramStart"/>
            <w:r>
              <w:rPr>
                <w:rFonts w:ascii="宋体" w:eastAsia="宋体" w:hAnsi="宋体" w:cs="宋体"/>
                <w:sz w:val="18"/>
                <w:szCs w:val="18"/>
              </w:rPr>
              <w:t>期初递延</w:t>
            </w:r>
            <w:proofErr w:type="gramEnd"/>
            <w:r>
              <w:rPr>
                <w:rFonts w:ascii="宋体" w:eastAsia="宋体" w:hAnsi="宋体" w:cs="宋体"/>
                <w:sz w:val="18"/>
                <w:szCs w:val="18"/>
              </w:rPr>
              <w:t>所得税余额的影响</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834,133.15</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研发费用加计扣除</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-14,987,627.97</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49,530,659.93</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41" w:name="_Toc989328"/>
      <w:r>
        <w:rPr>
          <w:rFonts w:ascii="宋体" w:hAnsi="宋体" w:cs="宋体"/>
          <w:b/>
          <w:bCs/>
        </w:rPr>
        <w:t>77、其他综合收益</w:t>
      </w:r>
      <w:bookmarkEnd w:id="441"/>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详见附注。</w:t>
      </w:r>
    </w:p>
    <w:p w:rsidR="000D58D8" w:rsidRDefault="000F627F">
      <w:pPr>
        <w:pStyle w:val="3"/>
        <w:spacing w:line="280" w:lineRule="exact"/>
        <w:jc w:val="left"/>
        <w:rPr>
          <w:rFonts w:ascii="宋体" w:hAnsi="宋体" w:cs="宋体"/>
          <w:b/>
          <w:bCs/>
        </w:rPr>
      </w:pPr>
      <w:bookmarkStart w:id="442" w:name="_Toc989329"/>
      <w:r>
        <w:rPr>
          <w:rFonts w:ascii="宋体" w:hAnsi="宋体" w:cs="宋体"/>
          <w:b/>
          <w:bCs/>
        </w:rPr>
        <w:t>78、现金流量表项目</w:t>
      </w:r>
      <w:bookmarkEnd w:id="442"/>
    </w:p>
    <w:p w:rsidR="000D58D8" w:rsidRDefault="000F627F">
      <w:pPr>
        <w:keepNext/>
        <w:keepLines/>
        <w:spacing w:before="300" w:after="300" w:line="280" w:lineRule="exact"/>
        <w:outlineLvl w:val="3"/>
        <w:rPr>
          <w:rFonts w:ascii="宋体" w:eastAsia="宋体" w:hAnsi="宋体" w:cs="宋体"/>
          <w:b/>
          <w:bCs/>
          <w:szCs w:val="21"/>
        </w:rPr>
      </w:pPr>
      <w:bookmarkStart w:id="443" w:name="_Toc989330"/>
      <w:r>
        <w:rPr>
          <w:rFonts w:ascii="宋体" w:eastAsia="宋体" w:hAnsi="宋体" w:cs="宋体"/>
          <w:b/>
          <w:bCs/>
          <w:szCs w:val="21"/>
        </w:rPr>
        <w:t>（1） 与经营活动有关的现金</w:t>
      </w:r>
      <w:bookmarkEnd w:id="44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收到的其他与经营活动有关的现金</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86,056,151.87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49,815,179.34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226,940,179.38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318,875,398.54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往来款及其他</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70,500,780.77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30,351,881.58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383,497,112.02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399,042,459.46</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收到的其他与经营活动有关的现金说明：</w:t>
      </w: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支付的其他与经营活动有关的现金</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费用类支出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175,793,783.74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217,158,710.49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往来款及其他</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49,682,720.88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50,200,014.85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225,476,504.62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267,358,725.34</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支付的其他与经营活动有关的现金说明：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444" w:name="_Toc989331"/>
      <w:r>
        <w:rPr>
          <w:rFonts w:ascii="宋体" w:eastAsia="宋体" w:hAnsi="宋体" w:cs="宋体"/>
          <w:b/>
          <w:bCs/>
          <w:szCs w:val="21"/>
        </w:rPr>
        <w:t>（2） 与投资活动有关的现金</w:t>
      </w:r>
      <w:bookmarkEnd w:id="444"/>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收到的其他与投资活动有关的现金说明：</w:t>
      </w:r>
      <w:r>
        <w:rPr>
          <w:rFonts w:hint="eastAsia"/>
          <w:sz w:val="18"/>
          <w:szCs w:val="18"/>
        </w:rPr>
        <w:t>无。</w:t>
      </w:r>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支付的其他与投资活动有关的现金说明：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445" w:name="_Toc989332"/>
      <w:r>
        <w:rPr>
          <w:rFonts w:ascii="宋体" w:eastAsia="宋体" w:hAnsi="宋体" w:cs="宋体"/>
          <w:b/>
          <w:bCs/>
          <w:szCs w:val="21"/>
        </w:rPr>
        <w:t>（3） 与筹资活动有关的现金</w:t>
      </w:r>
      <w:bookmarkEnd w:id="445"/>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收到的其他与筹资活动有关的现金</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关联方往来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受限的货币资金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421,199,728.41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97,007,641.00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附限制</w:t>
            </w:r>
            <w:proofErr w:type="gramEnd"/>
            <w:r>
              <w:rPr>
                <w:rFonts w:ascii="宋体" w:eastAsia="宋体" w:hAnsi="宋体" w:cs="宋体"/>
                <w:sz w:val="18"/>
                <w:szCs w:val="18"/>
              </w:rPr>
              <w:t>条件的吸收投资款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220,000,000.00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421,199,728.41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317,007,641.00</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收到的其他与筹资活动有关的现金说明：</w:t>
      </w: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支付的其他与筹资活动有关的现金</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关联往来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3,174,491.18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21,632,019.26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回购公司股票</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46,974,359.92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支付租赁负债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3,163,248.95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9,063,942.59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159,434,473.57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77,670,321.77</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支付的其他与筹资活动有关的现金说明：</w:t>
      </w: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筹资活动产生的各项负债变动情况</w:t>
      </w:r>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Cs w:val="21"/>
        </w:rPr>
      </w:pPr>
      <w:bookmarkStart w:id="446" w:name="_Toc989333"/>
      <w:r>
        <w:rPr>
          <w:rFonts w:ascii="宋体" w:eastAsia="宋体" w:hAnsi="宋体" w:cs="宋体"/>
          <w:b/>
          <w:bCs/>
          <w:szCs w:val="21"/>
        </w:rPr>
        <w:t>（4） 以净额列报现金流量的说明</w:t>
      </w:r>
      <w:bookmarkEnd w:id="446"/>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相关事实情况</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采用净额列报的依据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财务影响</w:t>
            </w:r>
          </w:p>
        </w:tc>
      </w:tr>
    </w:tbl>
    <w:p w:rsidR="000D58D8" w:rsidRDefault="000F627F">
      <w:pPr>
        <w:keepNext/>
        <w:keepLines/>
        <w:spacing w:before="300" w:after="300" w:line="280" w:lineRule="exact"/>
        <w:outlineLvl w:val="3"/>
        <w:rPr>
          <w:rFonts w:ascii="宋体" w:eastAsia="宋体" w:hAnsi="宋体" w:cs="宋体"/>
          <w:b/>
          <w:bCs/>
          <w:szCs w:val="21"/>
        </w:rPr>
      </w:pPr>
      <w:bookmarkStart w:id="447" w:name="_Toc989334"/>
      <w:r>
        <w:rPr>
          <w:rFonts w:ascii="宋体" w:eastAsia="宋体" w:hAnsi="宋体" w:cs="宋体"/>
          <w:b/>
          <w:bCs/>
          <w:szCs w:val="21"/>
        </w:rPr>
        <w:t>（5） 不涉及当期现金收支、但影响企业财务状况或在未来可能影响企业现金流量的重大活动及财务影响</w:t>
      </w:r>
      <w:bookmarkEnd w:id="447"/>
    </w:p>
    <w:p w:rsidR="000F627F" w:rsidRDefault="000F627F">
      <w:pPr>
        <w:pStyle w:val="a3"/>
        <w:divId w:val="2085838343"/>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448" w:name="_Toc989335"/>
      <w:r>
        <w:rPr>
          <w:rFonts w:ascii="宋体" w:hAnsi="宋体" w:cs="宋体"/>
          <w:b/>
          <w:bCs/>
        </w:rPr>
        <w:lastRenderedPageBreak/>
        <w:t>79、现金流量表补充资料</w:t>
      </w:r>
      <w:bookmarkEnd w:id="448"/>
    </w:p>
    <w:p w:rsidR="000D58D8" w:rsidRDefault="000F627F">
      <w:pPr>
        <w:keepNext/>
        <w:keepLines/>
        <w:spacing w:before="300" w:after="300" w:line="280" w:lineRule="exact"/>
        <w:outlineLvl w:val="3"/>
        <w:rPr>
          <w:rFonts w:ascii="宋体" w:eastAsia="宋体" w:hAnsi="宋体" w:cs="宋体"/>
          <w:b/>
          <w:bCs/>
          <w:szCs w:val="21"/>
        </w:rPr>
      </w:pPr>
      <w:bookmarkStart w:id="449" w:name="_Toc989336"/>
      <w:r>
        <w:rPr>
          <w:rFonts w:ascii="宋体" w:eastAsia="宋体" w:hAnsi="宋体" w:cs="宋体"/>
          <w:b/>
          <w:bCs/>
          <w:szCs w:val="21"/>
        </w:rPr>
        <w:t>（1） 现金流量表补充资料</w:t>
      </w:r>
      <w:bookmarkEnd w:id="449"/>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补充资料</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上期金额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1．将净利润调节为经营活动现金流量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净利润</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69,103,559.98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-364,462,263.43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加：资产减值准备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7,790,169.23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246,343,085.25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固定资产折旧、油气资产折耗、生产性生物资产折旧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521,060,248.62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519,229,590.42</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使用权资产折旧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9,037,555.53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9,599,686.07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无形资产摊销</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29,174,866.50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26,123,552.61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长期待摊费用摊销</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19,387,225.65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34,028,984.95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处置固定资产、无形资产和其他长期资产的损失（收益以“－”号填列）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-152,929,040.23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-120,645,966.48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固定资产报废损失（收益以“－”号填列）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594,587.71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61,262.05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16,425,097.75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8,284,534.06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215,178,392.07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324,066,479.09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-43,481,876.64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129,287,338.58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递延所得税资产减少（增加以“－”号填列）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18,899,969.65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-63,952,309.88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递延所得税负债增加（减少以“－”号填列）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-11,069,066.55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-4,525,308.20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存货的减少（增加以“－”号填列）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358,731,876.33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1,019,138,237.89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经营性应收项目的减少（增加以“－”号填列）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-452,692,465.13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-76,960,542.06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经营性应付项目的增加（减少以“－”号填列）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252,562,120.92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-786,337,746.13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-6,315,495.01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857,773,221.39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892,963,119.78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2．不涉及现金收支的重大投资和筹资活动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债务转为资本</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一年内到期的可转换公司债</w:t>
            </w:r>
            <w:proofErr w:type="gramStart"/>
            <w:r>
              <w:rPr>
                <w:rFonts w:ascii="宋体" w:eastAsia="宋体" w:hAnsi="宋体" w:cs="宋体"/>
                <w:sz w:val="18"/>
                <w:szCs w:val="18"/>
              </w:rPr>
              <w:t>券</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融资租入固定资产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3．现金及现金等价物净变动情况：</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现金的期末余额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2,183,880,557.50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1,841,818,553.58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减：现金的期初余额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1,841,818,553.58</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2,400,684,971.97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加：现金等价物的期末余额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减：现金等价物的期初余额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342,062,003.92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-558,866,418.39</w:t>
            </w:r>
          </w:p>
        </w:tc>
      </w:tr>
    </w:tbl>
    <w:p w:rsidR="000D58D8" w:rsidRDefault="000F627F">
      <w:pPr>
        <w:keepNext/>
        <w:keepLines/>
        <w:spacing w:before="300" w:after="300" w:line="280" w:lineRule="exact"/>
        <w:outlineLvl w:val="3"/>
        <w:rPr>
          <w:rFonts w:ascii="宋体" w:eastAsia="宋体" w:hAnsi="宋体" w:cs="宋体"/>
          <w:b/>
          <w:bCs/>
          <w:szCs w:val="21"/>
        </w:rPr>
      </w:pPr>
      <w:bookmarkStart w:id="450" w:name="_Toc989337"/>
      <w:r>
        <w:rPr>
          <w:rFonts w:ascii="宋体" w:eastAsia="宋体" w:hAnsi="宋体" w:cs="宋体"/>
          <w:b/>
          <w:bCs/>
          <w:szCs w:val="21"/>
        </w:rPr>
        <w:t>（2） 本期支付的取得子公司的现金净额</w:t>
      </w:r>
      <w:bookmarkEnd w:id="450"/>
    </w:p>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451" w:name="_Toc989338"/>
      <w:r>
        <w:rPr>
          <w:rFonts w:ascii="宋体" w:eastAsia="宋体" w:hAnsi="宋体" w:cs="宋体"/>
          <w:b/>
          <w:bCs/>
          <w:szCs w:val="21"/>
        </w:rPr>
        <w:t>（3） 本期收到的处置子公司的现金净额</w:t>
      </w:r>
      <w:bookmarkEnd w:id="451"/>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本期处置子公司于本期收到的现金或现金等价物</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175,617,708.66</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加：以前期间处置子公司于本期收到的现金或现金等价物</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处置子公司收到的现金净额</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175,617,708.66</w:t>
            </w:r>
          </w:p>
        </w:tc>
      </w:tr>
    </w:tbl>
    <w:p w:rsidR="000F627F" w:rsidRPr="006742FE" w:rsidRDefault="000F627F" w:rsidP="006742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452" w:name="_Toc989339"/>
      <w:r>
        <w:rPr>
          <w:rFonts w:ascii="宋体" w:eastAsia="宋体" w:hAnsi="宋体" w:cs="宋体"/>
          <w:b/>
          <w:bCs/>
          <w:szCs w:val="21"/>
        </w:rPr>
        <w:t>（4） 现金和现金等价物的构成</w:t>
      </w:r>
      <w:bookmarkEnd w:id="452"/>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2,183,880,557.50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1,841,818,553.58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其中：库存现金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70,994.31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325,552.70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可随时用于支付的银行存款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1,837,036,749.85</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1,498,354,671.03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346,772,813.34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343,138,329.85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三、期末现金及现金等价物余额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2,183,880,557.50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1,841,818,553.58</w:t>
            </w:r>
          </w:p>
        </w:tc>
      </w:tr>
    </w:tbl>
    <w:p w:rsidR="000D58D8" w:rsidRDefault="000F627F">
      <w:pPr>
        <w:keepNext/>
        <w:keepLines/>
        <w:spacing w:before="300" w:after="300" w:line="280" w:lineRule="exact"/>
        <w:outlineLvl w:val="3"/>
        <w:rPr>
          <w:rFonts w:ascii="宋体" w:eastAsia="宋体" w:hAnsi="宋体" w:cs="宋体"/>
          <w:b/>
          <w:bCs/>
          <w:szCs w:val="21"/>
        </w:rPr>
      </w:pPr>
      <w:bookmarkStart w:id="453" w:name="_Toc989340"/>
      <w:r>
        <w:rPr>
          <w:rFonts w:ascii="宋体" w:eastAsia="宋体" w:hAnsi="宋体" w:cs="宋体"/>
          <w:b/>
          <w:bCs/>
          <w:szCs w:val="21"/>
        </w:rPr>
        <w:t>（5） 使用范围受限但仍属于现金及现金等价物列示的情况</w:t>
      </w:r>
      <w:bookmarkEnd w:id="453"/>
    </w:p>
    <w:p w:rsidR="000D58D8" w:rsidRDefault="000F627F">
      <w:pPr>
        <w:keepNext/>
        <w:keepLines/>
        <w:spacing w:before="300" w:after="300" w:line="280" w:lineRule="exact"/>
        <w:outlineLvl w:val="3"/>
        <w:rPr>
          <w:rFonts w:ascii="宋体" w:eastAsia="宋体" w:hAnsi="宋体" w:cs="宋体"/>
          <w:b/>
          <w:bCs/>
          <w:szCs w:val="21"/>
        </w:rPr>
      </w:pPr>
      <w:bookmarkStart w:id="454" w:name="_Toc989341"/>
      <w:r>
        <w:rPr>
          <w:rFonts w:ascii="宋体" w:eastAsia="宋体" w:hAnsi="宋体" w:cs="宋体"/>
          <w:b/>
          <w:bCs/>
          <w:szCs w:val="21"/>
        </w:rPr>
        <w:t>（6） 不属于现金及现金等价物的货币资金</w:t>
      </w:r>
      <w:bookmarkEnd w:id="454"/>
    </w:p>
    <w:p w:rsidR="000F627F" w:rsidRPr="006B0AE1" w:rsidRDefault="000F627F" w:rsidP="006B0AE1">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455" w:name="_Toc989342"/>
      <w:r>
        <w:rPr>
          <w:rFonts w:ascii="宋体" w:eastAsia="宋体" w:hAnsi="宋体" w:cs="宋体"/>
          <w:b/>
          <w:bCs/>
          <w:szCs w:val="21"/>
        </w:rPr>
        <w:t>（7） 其他重大活动说明</w:t>
      </w:r>
      <w:bookmarkEnd w:id="455"/>
    </w:p>
    <w:p w:rsidR="000D58D8" w:rsidRDefault="000F627F">
      <w:pPr>
        <w:pStyle w:val="3"/>
        <w:spacing w:line="280" w:lineRule="exact"/>
        <w:jc w:val="left"/>
        <w:rPr>
          <w:rFonts w:ascii="宋体" w:hAnsi="宋体" w:cs="宋体"/>
          <w:b/>
          <w:bCs/>
        </w:rPr>
      </w:pPr>
      <w:bookmarkStart w:id="456" w:name="_Toc989343"/>
      <w:r>
        <w:rPr>
          <w:rFonts w:ascii="宋体" w:hAnsi="宋体" w:cs="宋体"/>
          <w:b/>
          <w:bCs/>
        </w:rPr>
        <w:t>80、所有者权益变动</w:t>
      </w:r>
      <w:proofErr w:type="gramStart"/>
      <w:r>
        <w:rPr>
          <w:rFonts w:ascii="宋体" w:hAnsi="宋体" w:cs="宋体"/>
          <w:b/>
          <w:bCs/>
        </w:rPr>
        <w:t>表项目</w:t>
      </w:r>
      <w:proofErr w:type="gramEnd"/>
      <w:r>
        <w:rPr>
          <w:rFonts w:ascii="宋体" w:hAnsi="宋体" w:cs="宋体"/>
          <w:b/>
          <w:bCs/>
        </w:rPr>
        <w:t>注释</w:t>
      </w:r>
      <w:bookmarkEnd w:id="45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说明对上年年末余额进行调整的“其他”项目名称及调整金额等事项：</w:t>
      </w:r>
    </w:p>
    <w:p w:rsidR="000F627F" w:rsidRDefault="000F627F">
      <w:pPr>
        <w:divId w:val="434443823"/>
        <w:rPr>
          <w:sz w:val="18"/>
          <w:szCs w:val="18"/>
        </w:rPr>
      </w:pPr>
    </w:p>
    <w:p w:rsidR="000D58D8" w:rsidRDefault="000F627F">
      <w:pPr>
        <w:pStyle w:val="3"/>
        <w:spacing w:line="280" w:lineRule="exact"/>
        <w:jc w:val="left"/>
        <w:rPr>
          <w:rFonts w:ascii="宋体" w:hAnsi="宋体" w:cs="宋体"/>
          <w:b/>
          <w:bCs/>
        </w:rPr>
      </w:pPr>
      <w:bookmarkStart w:id="457" w:name="_Toc989344"/>
      <w:r>
        <w:rPr>
          <w:rFonts w:ascii="宋体" w:hAnsi="宋体" w:cs="宋体"/>
          <w:b/>
          <w:bCs/>
        </w:rPr>
        <w:lastRenderedPageBreak/>
        <w:t>81、外币货币性项目</w:t>
      </w:r>
      <w:bookmarkEnd w:id="457"/>
    </w:p>
    <w:p w:rsidR="000D58D8" w:rsidRDefault="000F627F">
      <w:pPr>
        <w:keepNext/>
        <w:keepLines/>
        <w:spacing w:before="300" w:after="300" w:line="280" w:lineRule="exact"/>
        <w:outlineLvl w:val="3"/>
        <w:rPr>
          <w:rFonts w:ascii="宋体" w:eastAsia="宋体" w:hAnsi="宋体" w:cs="宋体"/>
          <w:b/>
          <w:bCs/>
          <w:szCs w:val="21"/>
        </w:rPr>
      </w:pPr>
      <w:bookmarkStart w:id="458" w:name="_Toc989345"/>
      <w:r>
        <w:rPr>
          <w:rFonts w:ascii="宋体" w:eastAsia="宋体" w:hAnsi="宋体" w:cs="宋体"/>
          <w:b/>
          <w:bCs/>
          <w:szCs w:val="21"/>
        </w:rPr>
        <w:t>（1） 外币货币性项目</w:t>
      </w:r>
      <w:bookmarkEnd w:id="458"/>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期末外币余额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折算汇率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期末折算人民币余额</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41,179,526.25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7.08270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291,662,230.03</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6,394.01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7.85920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50,251.80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5,997,013.74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0.90622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5,434,613.78</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801,777,360,232.00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0.00029</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232,515,434.49</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韩元</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140,970.00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0.00551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776.74</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泰铢</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87.50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0.20731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18.14</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印度尼西亚卢比</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0.00046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1.38</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埃及镑</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0.22900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11.45</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台币</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0.23000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0.46</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新加坡元</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40,151.61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5.37720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215,903.23</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巴基斯坦卢比</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14,200.00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0.02510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356.42</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应收账款</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1,231,949.93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7.08270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8,725,531.80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793,442.15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0.90622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719,033.14</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1,503,534,390,186.17</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0.00029</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436,024,973.15</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长期借款</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2,745.00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7.08270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19,442.01</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12,330.00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0.90622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11,173.69</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84,917,088,113.45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0.00029</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24,625,955.55</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短期借款</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14,429,810.11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7.08270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102,202,016.07</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383,731,126,241.38</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0.00029</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111,282,026.61</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应付账款</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2,729,513.87</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7.08270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19,332,327.88</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81,006,872,370.86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0.00029</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23,491,992.99</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2,621,444.43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7.08270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18,566,904.46</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港币</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7,486,017.08</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0.90622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6,783,978.40</w:t>
            </w:r>
          </w:p>
        </w:tc>
      </w:tr>
      <w:tr w:rsidR="000D58D8" w:rsidTr="006B0AE1">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越南盾</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57,753,424,046.66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0.00029</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16,748,492.97</w:t>
            </w:r>
          </w:p>
        </w:tc>
      </w:tr>
    </w:tbl>
    <w:p w:rsidR="000F627F" w:rsidRPr="006B0AE1" w:rsidRDefault="000F627F" w:rsidP="006B0AE1">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459" w:name="_Toc989346"/>
      <w:r>
        <w:rPr>
          <w:rFonts w:ascii="宋体" w:eastAsia="宋体" w:hAnsi="宋体" w:cs="宋体"/>
          <w:b/>
          <w:bCs/>
          <w:szCs w:val="21"/>
        </w:rPr>
        <w:t>（2） 境外经营实体说明，包括对于重要的境外经营实体，应披露其境外主要经营地、记账本位币及选择依据，记账本位币发生变化的还应披露原因。</w:t>
      </w:r>
      <w:bookmarkEnd w:id="45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460" w:name="_Toc989347"/>
      <w:r>
        <w:rPr>
          <w:rFonts w:ascii="宋体" w:hAnsi="宋体" w:cs="宋体"/>
          <w:b/>
          <w:bCs/>
        </w:rPr>
        <w:lastRenderedPageBreak/>
        <w:t>82、租赁</w:t>
      </w:r>
      <w:bookmarkEnd w:id="460"/>
    </w:p>
    <w:p w:rsidR="000D58D8" w:rsidRDefault="000F627F">
      <w:pPr>
        <w:keepNext/>
        <w:keepLines/>
        <w:spacing w:before="300" w:after="300" w:line="280" w:lineRule="exact"/>
        <w:outlineLvl w:val="3"/>
        <w:rPr>
          <w:rFonts w:ascii="宋体" w:eastAsia="宋体" w:hAnsi="宋体" w:cs="宋体"/>
          <w:b/>
          <w:bCs/>
          <w:szCs w:val="21"/>
        </w:rPr>
      </w:pPr>
      <w:bookmarkStart w:id="461" w:name="_Toc989348"/>
      <w:r>
        <w:rPr>
          <w:rFonts w:ascii="宋体" w:eastAsia="宋体" w:hAnsi="宋体" w:cs="宋体"/>
          <w:b/>
          <w:bCs/>
          <w:szCs w:val="21"/>
        </w:rPr>
        <w:t>（1） 本公司作为承租方</w:t>
      </w:r>
      <w:bookmarkEnd w:id="46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未纳入租赁负债计量的可变租赁付款额</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简化处理的短期租赁或低价值资产的租赁费用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F627F" w:rsidRPr="006B0AE1" w:rsidRDefault="000F627F" w:rsidP="006B0AE1">
      <w:pPr>
        <w:spacing w:before="100" w:after="100" w:line="240" w:lineRule="exact"/>
        <w:rPr>
          <w:rFonts w:ascii="宋体" w:eastAsia="宋体" w:hAnsi="宋体" w:cs="宋体"/>
          <w:sz w:val="18"/>
          <w:szCs w:val="18"/>
        </w:rPr>
      </w:pPr>
      <w:r>
        <w:rPr>
          <w:rFonts w:ascii="宋体" w:eastAsia="宋体" w:hAnsi="宋体" w:cs="宋体"/>
          <w:sz w:val="18"/>
          <w:szCs w:val="18"/>
        </w:rPr>
        <w:t>涉及售后租回交易的情况</w:t>
      </w:r>
      <w:r w:rsidR="006B0AE1">
        <w:rPr>
          <w:rFonts w:ascii="宋体" w:eastAsia="宋体" w:hAnsi="宋体" w:cs="宋体" w:hint="eastAsia"/>
          <w:sz w:val="18"/>
          <w:szCs w:val="18"/>
        </w:rPr>
        <w:t>：</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462" w:name="_Toc989349"/>
      <w:r>
        <w:rPr>
          <w:rFonts w:ascii="宋体" w:eastAsia="宋体" w:hAnsi="宋体" w:cs="宋体"/>
          <w:b/>
          <w:bCs/>
          <w:szCs w:val="21"/>
        </w:rPr>
        <w:t>（2） 本公司作为出租方</w:t>
      </w:r>
      <w:bookmarkEnd w:id="46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作为出租人的经营租赁</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rsidTr="00307C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租赁收入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其中：未计入</w:t>
            </w:r>
            <w:proofErr w:type="gramStart"/>
            <w:r>
              <w:rPr>
                <w:rFonts w:ascii="宋体" w:eastAsia="宋体" w:hAnsi="宋体" w:cs="宋体"/>
                <w:sz w:val="18"/>
                <w:szCs w:val="18"/>
              </w:rPr>
              <w:t>租赁收</w:t>
            </w:r>
            <w:proofErr w:type="gramEnd"/>
            <w:r>
              <w:rPr>
                <w:rFonts w:ascii="宋体" w:eastAsia="宋体" w:hAnsi="宋体" w:cs="宋体"/>
                <w:sz w:val="18"/>
                <w:szCs w:val="18"/>
              </w:rPr>
              <w:t>款额的可变租赁付款</w:t>
            </w:r>
            <w:proofErr w:type="gramStart"/>
            <w:r>
              <w:rPr>
                <w:rFonts w:ascii="宋体" w:eastAsia="宋体" w:hAnsi="宋体" w:cs="宋体"/>
                <w:sz w:val="18"/>
                <w:szCs w:val="18"/>
              </w:rPr>
              <w:t>额相关</w:t>
            </w:r>
            <w:proofErr w:type="gramEnd"/>
            <w:r>
              <w:rPr>
                <w:rFonts w:ascii="宋体" w:eastAsia="宋体" w:hAnsi="宋体" w:cs="宋体"/>
                <w:sz w:val="18"/>
                <w:szCs w:val="18"/>
              </w:rPr>
              <w:t>的收入</w:t>
            </w:r>
          </w:p>
        </w:tc>
      </w:tr>
      <w:tr w:rsidR="00307CB7" w:rsidTr="00307C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auto"/>
            <w:vAlign w:val="center"/>
          </w:tcPr>
          <w:p w:rsidR="00307CB7" w:rsidRDefault="00307CB7">
            <w:pPr>
              <w:spacing w:before="40" w:after="40" w:line="240" w:lineRule="exact"/>
              <w:jc w:val="center"/>
              <w:rPr>
                <w:rFonts w:ascii="宋体" w:eastAsia="宋体" w:hAnsi="宋体" w:cs="宋体"/>
                <w:sz w:val="18"/>
                <w:szCs w:val="18"/>
              </w:rPr>
            </w:pPr>
            <w:r w:rsidRPr="00307CB7">
              <w:rPr>
                <w:rFonts w:ascii="宋体" w:eastAsia="宋体" w:hAnsi="宋体" w:cs="宋体" w:hint="eastAsia"/>
                <w:sz w:val="18"/>
                <w:szCs w:val="18"/>
              </w:rPr>
              <w:t>厂房出租</w:t>
            </w:r>
          </w:p>
        </w:tc>
        <w:tc>
          <w:tcPr>
            <w:tcW w:w="3213" w:type="dxa"/>
            <w:tcBorders>
              <w:top w:val="single" w:sz="2" w:space="0" w:color="auto"/>
              <w:left w:val="single" w:sz="2" w:space="0" w:color="auto"/>
              <w:bottom w:val="single" w:sz="2" w:space="0" w:color="auto"/>
              <w:right w:val="single" w:sz="2" w:space="0" w:color="auto"/>
            </w:tcBorders>
            <w:shd w:val="clear" w:color="auto" w:fill="auto"/>
            <w:vAlign w:val="center"/>
          </w:tcPr>
          <w:p w:rsidR="00307CB7" w:rsidRDefault="00307CB7">
            <w:pPr>
              <w:spacing w:before="40" w:after="40" w:line="240" w:lineRule="exact"/>
              <w:jc w:val="center"/>
              <w:rPr>
                <w:rFonts w:ascii="宋体" w:eastAsia="宋体" w:hAnsi="宋体" w:cs="宋体"/>
                <w:sz w:val="18"/>
                <w:szCs w:val="18"/>
              </w:rPr>
            </w:pPr>
            <w:r w:rsidRPr="00307CB7">
              <w:rPr>
                <w:rFonts w:ascii="宋体" w:eastAsia="宋体" w:hAnsi="宋体" w:cs="宋体"/>
                <w:sz w:val="18"/>
                <w:szCs w:val="18"/>
              </w:rPr>
              <w:t>27,028,861.59</w:t>
            </w:r>
          </w:p>
        </w:tc>
        <w:tc>
          <w:tcPr>
            <w:tcW w:w="3213" w:type="dxa"/>
            <w:tcBorders>
              <w:top w:val="single" w:sz="2" w:space="0" w:color="auto"/>
              <w:left w:val="single" w:sz="2" w:space="0" w:color="auto"/>
              <w:bottom w:val="single" w:sz="2" w:space="0" w:color="auto"/>
              <w:right w:val="single" w:sz="2" w:space="0" w:color="auto"/>
            </w:tcBorders>
            <w:shd w:val="clear" w:color="auto" w:fill="auto"/>
            <w:vAlign w:val="center"/>
          </w:tcPr>
          <w:p w:rsidR="00307CB7" w:rsidRDefault="00307CB7">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w:t>
            </w:r>
          </w:p>
        </w:tc>
      </w:tr>
      <w:tr w:rsidR="00307CB7" w:rsidTr="00CA459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307CB7" w:rsidRDefault="00307CB7" w:rsidP="00CA459D">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合计</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307CB7" w:rsidRDefault="00307CB7" w:rsidP="00CA459D">
            <w:pPr>
              <w:spacing w:before="40" w:after="40" w:line="240" w:lineRule="exact"/>
              <w:jc w:val="center"/>
              <w:rPr>
                <w:rFonts w:ascii="宋体" w:eastAsia="宋体" w:hAnsi="宋体" w:cs="宋体"/>
                <w:sz w:val="18"/>
                <w:szCs w:val="18"/>
              </w:rPr>
            </w:pPr>
            <w:r w:rsidRPr="00307CB7">
              <w:rPr>
                <w:rFonts w:ascii="宋体" w:eastAsia="宋体" w:hAnsi="宋体" w:cs="宋体"/>
                <w:sz w:val="18"/>
                <w:szCs w:val="18"/>
              </w:rPr>
              <w:t>27,028,861.59</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307CB7" w:rsidRDefault="00307CB7" w:rsidP="00CA459D">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作为出租人的融资租赁</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未来五年每年未折现</w:t>
      </w:r>
      <w:proofErr w:type="gramStart"/>
      <w:r>
        <w:rPr>
          <w:rFonts w:ascii="宋体" w:eastAsia="宋体" w:hAnsi="宋体" w:cs="宋体"/>
          <w:sz w:val="18"/>
          <w:szCs w:val="18"/>
        </w:rPr>
        <w:t>租赁收</w:t>
      </w:r>
      <w:proofErr w:type="gramEnd"/>
      <w:r>
        <w:rPr>
          <w:rFonts w:ascii="宋体" w:eastAsia="宋体" w:hAnsi="宋体" w:cs="宋体"/>
          <w:sz w:val="18"/>
          <w:szCs w:val="18"/>
        </w:rPr>
        <w:t>款额</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sidR="00307CB7">
        <w:rPr>
          <w:rFonts w:ascii="宋体" w:eastAsia="宋体" w:hAnsi="宋体" w:cs="宋体"/>
          <w:sz w:val="18"/>
          <w:szCs w:val="18"/>
        </w:rPr>
        <w:t>不适</w:t>
      </w:r>
      <w:r w:rsidR="00307CB7">
        <w:rPr>
          <w:rFonts w:ascii="宋体" w:eastAsia="宋体" w:hAnsi="宋体" w:cs="宋体" w:hint="eastAsia"/>
          <w:sz w:val="18"/>
          <w:szCs w:val="18"/>
        </w:rPr>
        <w:t>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未折现</w:t>
      </w:r>
      <w:proofErr w:type="gramStart"/>
      <w:r>
        <w:rPr>
          <w:rFonts w:ascii="宋体" w:eastAsia="宋体" w:hAnsi="宋体" w:cs="宋体"/>
          <w:sz w:val="18"/>
          <w:szCs w:val="18"/>
        </w:rPr>
        <w:t>租赁收</w:t>
      </w:r>
      <w:proofErr w:type="gramEnd"/>
      <w:r>
        <w:rPr>
          <w:rFonts w:ascii="宋体" w:eastAsia="宋体" w:hAnsi="宋体" w:cs="宋体"/>
          <w:sz w:val="18"/>
          <w:szCs w:val="18"/>
        </w:rPr>
        <w:t>款额与租赁投资净额的调节表</w:t>
      </w:r>
    </w:p>
    <w:p w:rsidR="000D58D8" w:rsidRDefault="000F627F">
      <w:pPr>
        <w:keepNext/>
        <w:keepLines/>
        <w:spacing w:before="300" w:after="300" w:line="280" w:lineRule="exact"/>
        <w:outlineLvl w:val="3"/>
        <w:rPr>
          <w:rFonts w:ascii="宋体" w:eastAsia="宋体" w:hAnsi="宋体" w:cs="宋体"/>
          <w:b/>
          <w:bCs/>
          <w:szCs w:val="21"/>
        </w:rPr>
      </w:pPr>
      <w:bookmarkStart w:id="463" w:name="_Toc989350"/>
      <w:r>
        <w:rPr>
          <w:rFonts w:ascii="宋体" w:eastAsia="宋体" w:hAnsi="宋体" w:cs="宋体"/>
          <w:b/>
          <w:bCs/>
          <w:szCs w:val="21"/>
        </w:rPr>
        <w:t>（3） 作为生产商或经销商确认融资租赁销售损益</w:t>
      </w:r>
      <w:bookmarkEnd w:id="46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464" w:name="_Toc989351"/>
      <w:r>
        <w:rPr>
          <w:rFonts w:ascii="宋体" w:hAnsi="宋体" w:cs="宋体"/>
          <w:b/>
          <w:bCs/>
        </w:rPr>
        <w:t>83、其他</w:t>
      </w:r>
      <w:bookmarkEnd w:id="464"/>
    </w:p>
    <w:p w:rsidR="000F627F" w:rsidRDefault="000F627F">
      <w:pPr>
        <w:pStyle w:val="a3"/>
        <w:divId w:val="613557826"/>
        <w:rPr>
          <w:sz w:val="18"/>
          <w:szCs w:val="18"/>
        </w:rPr>
      </w:pPr>
      <w:r>
        <w:rPr>
          <w:rFonts w:hint="eastAsia"/>
          <w:sz w:val="18"/>
          <w:szCs w:val="18"/>
        </w:rPr>
        <w:t>无。</w:t>
      </w:r>
    </w:p>
    <w:p w:rsidR="000D58D8" w:rsidRDefault="000F627F">
      <w:pPr>
        <w:pStyle w:val="2"/>
        <w:spacing w:before="300" w:after="300" w:line="320" w:lineRule="exact"/>
        <w:rPr>
          <w:rFonts w:ascii="宋体" w:eastAsia="宋体" w:hAnsi="宋体" w:cs="宋体"/>
          <w:b/>
          <w:bCs/>
          <w:sz w:val="24"/>
          <w:szCs w:val="24"/>
        </w:rPr>
      </w:pPr>
      <w:bookmarkStart w:id="465" w:name="_Toc989352"/>
      <w:r>
        <w:rPr>
          <w:rFonts w:ascii="宋体" w:eastAsia="宋体" w:hAnsi="宋体" w:cs="宋体"/>
          <w:b/>
          <w:bCs/>
          <w:sz w:val="24"/>
          <w:szCs w:val="24"/>
        </w:rPr>
        <w:t>八、研发支出</w:t>
      </w:r>
      <w:bookmarkEnd w:id="465"/>
    </w:p>
    <w:p w:rsidR="000D58D8" w:rsidRDefault="000F627F">
      <w:pPr>
        <w:pStyle w:val="3"/>
        <w:spacing w:line="280" w:lineRule="exact"/>
        <w:jc w:val="left"/>
        <w:rPr>
          <w:rFonts w:ascii="宋体" w:hAnsi="宋体" w:cs="宋体"/>
          <w:b/>
          <w:bCs/>
        </w:rPr>
      </w:pPr>
      <w:bookmarkStart w:id="466" w:name="_Toc989353"/>
      <w:r>
        <w:rPr>
          <w:rFonts w:ascii="宋体" w:hAnsi="宋体" w:cs="宋体"/>
          <w:b/>
          <w:bCs/>
        </w:rPr>
        <w:t>1、符合资本化条件的研发项目</w:t>
      </w:r>
      <w:bookmarkEnd w:id="466"/>
    </w:p>
    <w:p w:rsidR="000D58D8" w:rsidRDefault="000F627F">
      <w:pPr>
        <w:pStyle w:val="3"/>
        <w:spacing w:line="280" w:lineRule="exact"/>
        <w:jc w:val="left"/>
        <w:rPr>
          <w:rFonts w:ascii="宋体" w:hAnsi="宋体" w:cs="宋体"/>
          <w:b/>
          <w:bCs/>
        </w:rPr>
      </w:pPr>
      <w:bookmarkStart w:id="467" w:name="_Toc989354"/>
      <w:r>
        <w:rPr>
          <w:rFonts w:ascii="宋体" w:hAnsi="宋体" w:cs="宋体"/>
          <w:b/>
          <w:bCs/>
        </w:rPr>
        <w:t>2、重要外购在</w:t>
      </w:r>
      <w:proofErr w:type="gramStart"/>
      <w:r>
        <w:rPr>
          <w:rFonts w:ascii="宋体" w:hAnsi="宋体" w:cs="宋体"/>
          <w:b/>
          <w:bCs/>
        </w:rPr>
        <w:t>研</w:t>
      </w:r>
      <w:proofErr w:type="gramEnd"/>
      <w:r>
        <w:rPr>
          <w:rFonts w:ascii="宋体" w:hAnsi="宋体" w:cs="宋体"/>
          <w:b/>
          <w:bCs/>
        </w:rPr>
        <w:t>项目</w:t>
      </w:r>
      <w:bookmarkEnd w:id="467"/>
    </w:p>
    <w:p w:rsidR="000F627F" w:rsidRPr="00587BBA" w:rsidRDefault="000F627F" w:rsidP="00587BBA">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2"/>
        <w:spacing w:before="300" w:after="300" w:line="320" w:lineRule="exact"/>
        <w:rPr>
          <w:rFonts w:ascii="宋体" w:eastAsia="宋体" w:hAnsi="宋体" w:cs="宋体"/>
          <w:b/>
          <w:bCs/>
          <w:sz w:val="24"/>
          <w:szCs w:val="24"/>
        </w:rPr>
      </w:pPr>
      <w:bookmarkStart w:id="468" w:name="_Toc989355"/>
      <w:r>
        <w:rPr>
          <w:rFonts w:ascii="宋体" w:eastAsia="宋体" w:hAnsi="宋体" w:cs="宋体"/>
          <w:b/>
          <w:bCs/>
          <w:sz w:val="24"/>
          <w:szCs w:val="24"/>
        </w:rPr>
        <w:lastRenderedPageBreak/>
        <w:t>九、合并范围的变更</w:t>
      </w:r>
      <w:bookmarkEnd w:id="468"/>
    </w:p>
    <w:p w:rsidR="000D58D8" w:rsidRDefault="000F627F">
      <w:pPr>
        <w:pStyle w:val="3"/>
        <w:spacing w:line="280" w:lineRule="exact"/>
        <w:jc w:val="left"/>
        <w:rPr>
          <w:rFonts w:ascii="宋体" w:hAnsi="宋体" w:cs="宋体"/>
          <w:b/>
          <w:bCs/>
        </w:rPr>
      </w:pPr>
      <w:bookmarkStart w:id="469" w:name="_Toc989356"/>
      <w:r>
        <w:rPr>
          <w:rFonts w:ascii="宋体" w:hAnsi="宋体" w:cs="宋体"/>
          <w:b/>
          <w:bCs/>
        </w:rPr>
        <w:t>1、非同</w:t>
      </w:r>
      <w:proofErr w:type="gramStart"/>
      <w:r>
        <w:rPr>
          <w:rFonts w:ascii="宋体" w:hAnsi="宋体" w:cs="宋体"/>
          <w:b/>
          <w:bCs/>
        </w:rPr>
        <w:t>一控制</w:t>
      </w:r>
      <w:proofErr w:type="gramEnd"/>
      <w:r>
        <w:rPr>
          <w:rFonts w:ascii="宋体" w:hAnsi="宋体" w:cs="宋体"/>
          <w:b/>
          <w:bCs/>
        </w:rPr>
        <w:t>下企业合并</w:t>
      </w:r>
      <w:bookmarkEnd w:id="469"/>
    </w:p>
    <w:p w:rsidR="000D58D8" w:rsidRDefault="000F627F">
      <w:pPr>
        <w:keepNext/>
        <w:keepLines/>
        <w:spacing w:before="300" w:after="300" w:line="280" w:lineRule="exact"/>
        <w:outlineLvl w:val="3"/>
        <w:rPr>
          <w:rFonts w:ascii="宋体" w:eastAsia="宋体" w:hAnsi="宋体" w:cs="宋体"/>
          <w:b/>
          <w:bCs/>
          <w:sz w:val="18"/>
          <w:szCs w:val="18"/>
        </w:rPr>
      </w:pPr>
      <w:bookmarkStart w:id="470" w:name="_Toc989357"/>
      <w:r>
        <w:rPr>
          <w:rFonts w:ascii="宋体" w:eastAsia="宋体" w:hAnsi="宋体" w:cs="宋体"/>
          <w:b/>
          <w:bCs/>
          <w:sz w:val="18"/>
          <w:szCs w:val="18"/>
        </w:rPr>
        <w:t>（1） 本期发生的非同</w:t>
      </w:r>
      <w:proofErr w:type="gramStart"/>
      <w:r>
        <w:rPr>
          <w:rFonts w:ascii="宋体" w:eastAsia="宋体" w:hAnsi="宋体" w:cs="宋体"/>
          <w:b/>
          <w:bCs/>
          <w:sz w:val="18"/>
          <w:szCs w:val="18"/>
        </w:rPr>
        <w:t>一控制</w:t>
      </w:r>
      <w:proofErr w:type="gramEnd"/>
      <w:r>
        <w:rPr>
          <w:rFonts w:ascii="宋体" w:eastAsia="宋体" w:hAnsi="宋体" w:cs="宋体"/>
          <w:b/>
          <w:bCs/>
          <w:sz w:val="18"/>
          <w:szCs w:val="18"/>
        </w:rPr>
        <w:t>下企业合并</w:t>
      </w:r>
      <w:bookmarkEnd w:id="470"/>
    </w:p>
    <w:p w:rsidR="000F627F" w:rsidRPr="00587BBA" w:rsidRDefault="000F627F" w:rsidP="00587BBA">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471" w:name="_Toc989358"/>
      <w:r>
        <w:rPr>
          <w:rFonts w:ascii="宋体" w:eastAsia="宋体" w:hAnsi="宋体" w:cs="宋体"/>
          <w:b/>
          <w:bCs/>
          <w:sz w:val="18"/>
          <w:szCs w:val="18"/>
        </w:rPr>
        <w:t>（2） 合并成本及商誉</w:t>
      </w:r>
      <w:bookmarkEnd w:id="47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合并成本公允价值的确定方法：</w:t>
      </w:r>
    </w:p>
    <w:p w:rsidR="000F627F" w:rsidRDefault="000F627F">
      <w:pPr>
        <w:pStyle w:val="a3"/>
        <w:divId w:val="1155217697"/>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或有对价及其变动的说明</w:t>
      </w:r>
    </w:p>
    <w:p w:rsidR="000F627F" w:rsidRDefault="000F627F">
      <w:pPr>
        <w:pStyle w:val="a3"/>
        <w:divId w:val="1109468467"/>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大额商誉形成的主要原因：</w:t>
      </w:r>
    </w:p>
    <w:p w:rsidR="000F627F" w:rsidRDefault="00587BBA">
      <w:pPr>
        <w:divId w:val="450133859"/>
        <w:rPr>
          <w:sz w:val="18"/>
          <w:szCs w:val="18"/>
        </w:rPr>
      </w:pPr>
      <w:r>
        <w:rPr>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587BBA">
      <w:pPr>
        <w:divId w:val="683820569"/>
        <w:rPr>
          <w:sz w:val="18"/>
          <w:szCs w:val="18"/>
        </w:rPr>
      </w:pPr>
      <w:r>
        <w:rPr>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472" w:name="_Toc989359"/>
      <w:r>
        <w:rPr>
          <w:rFonts w:ascii="宋体" w:eastAsia="宋体" w:hAnsi="宋体" w:cs="宋体"/>
          <w:b/>
          <w:bCs/>
          <w:sz w:val="18"/>
          <w:szCs w:val="18"/>
        </w:rPr>
        <w:t>（3） 被购买方于购买日可辨认资产、负债</w:t>
      </w:r>
      <w:bookmarkEnd w:id="47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可辨认资产、负债公允价值的确定方法：</w:t>
      </w:r>
    </w:p>
    <w:p w:rsidR="000F627F" w:rsidRDefault="000F627F">
      <w:pPr>
        <w:pStyle w:val="a3"/>
        <w:divId w:val="1343509470"/>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企业合并中承担的被购买方的或有负债：</w:t>
      </w:r>
    </w:p>
    <w:p w:rsidR="000F627F" w:rsidRDefault="000F627F">
      <w:pPr>
        <w:pStyle w:val="a3"/>
        <w:divId w:val="237247124"/>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587BBA">
      <w:pPr>
        <w:divId w:val="514809812"/>
        <w:rPr>
          <w:sz w:val="18"/>
          <w:szCs w:val="18"/>
        </w:rPr>
      </w:pPr>
      <w:r>
        <w:rPr>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473" w:name="_Toc989360"/>
      <w:r>
        <w:rPr>
          <w:rFonts w:ascii="宋体" w:eastAsia="宋体" w:hAnsi="宋体" w:cs="宋体"/>
          <w:b/>
          <w:bCs/>
          <w:sz w:val="18"/>
          <w:szCs w:val="18"/>
        </w:rPr>
        <w:t>（4） 购买日之前持有的股权按照公允价值重新计量产生的利得或损失</w:t>
      </w:r>
      <w:bookmarkEnd w:id="47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是否存在通过多次交易分步实现企业合并且在报告期内取得控制权的交易</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keepNext/>
        <w:keepLines/>
        <w:spacing w:before="300" w:after="300" w:line="280" w:lineRule="exact"/>
        <w:outlineLvl w:val="3"/>
        <w:rPr>
          <w:rFonts w:ascii="宋体" w:eastAsia="宋体" w:hAnsi="宋体" w:cs="宋体"/>
          <w:b/>
          <w:bCs/>
          <w:sz w:val="18"/>
          <w:szCs w:val="18"/>
        </w:rPr>
      </w:pPr>
      <w:bookmarkStart w:id="474" w:name="_Toc989361"/>
      <w:r>
        <w:rPr>
          <w:rFonts w:ascii="宋体" w:eastAsia="宋体" w:hAnsi="宋体" w:cs="宋体"/>
          <w:b/>
          <w:bCs/>
          <w:sz w:val="18"/>
          <w:szCs w:val="18"/>
        </w:rPr>
        <w:t>（5） 购买日或合并当期期末无法合理确定合并对价或被购买方可辨认资产、负债公允价值的相关说明</w:t>
      </w:r>
      <w:bookmarkEnd w:id="474"/>
    </w:p>
    <w:p w:rsidR="000F627F" w:rsidRDefault="000F627F">
      <w:pPr>
        <w:pStyle w:val="a3"/>
        <w:divId w:val="1779332648"/>
        <w:rPr>
          <w:sz w:val="18"/>
          <w:szCs w:val="18"/>
        </w:rPr>
      </w:pP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475" w:name="_Toc989362"/>
      <w:r>
        <w:rPr>
          <w:rFonts w:ascii="宋体" w:eastAsia="宋体" w:hAnsi="宋体" w:cs="宋体"/>
          <w:b/>
          <w:bCs/>
          <w:sz w:val="18"/>
          <w:szCs w:val="18"/>
        </w:rPr>
        <w:lastRenderedPageBreak/>
        <w:t>（6） 其他说明</w:t>
      </w:r>
      <w:bookmarkEnd w:id="475"/>
    </w:p>
    <w:p w:rsidR="000F627F" w:rsidRDefault="000F627F">
      <w:pPr>
        <w:pStyle w:val="a3"/>
        <w:divId w:val="53085971"/>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476" w:name="_Toc989363"/>
      <w:r>
        <w:rPr>
          <w:rFonts w:ascii="宋体" w:hAnsi="宋体" w:cs="宋体"/>
          <w:b/>
          <w:bCs/>
        </w:rPr>
        <w:t>2、同</w:t>
      </w:r>
      <w:proofErr w:type="gramStart"/>
      <w:r>
        <w:rPr>
          <w:rFonts w:ascii="宋体" w:hAnsi="宋体" w:cs="宋体"/>
          <w:b/>
          <w:bCs/>
        </w:rPr>
        <w:t>一控制</w:t>
      </w:r>
      <w:proofErr w:type="gramEnd"/>
      <w:r>
        <w:rPr>
          <w:rFonts w:ascii="宋体" w:hAnsi="宋体" w:cs="宋体"/>
          <w:b/>
          <w:bCs/>
        </w:rPr>
        <w:t>下企业合并</w:t>
      </w:r>
      <w:bookmarkEnd w:id="476"/>
    </w:p>
    <w:p w:rsidR="000D58D8" w:rsidRDefault="000F627F">
      <w:pPr>
        <w:keepNext/>
        <w:keepLines/>
        <w:spacing w:before="300" w:after="300" w:line="280" w:lineRule="exact"/>
        <w:outlineLvl w:val="3"/>
        <w:rPr>
          <w:rFonts w:ascii="宋体" w:eastAsia="宋体" w:hAnsi="宋体" w:cs="宋体"/>
          <w:b/>
          <w:bCs/>
          <w:sz w:val="18"/>
          <w:szCs w:val="18"/>
        </w:rPr>
      </w:pPr>
      <w:bookmarkStart w:id="477" w:name="_Toc989364"/>
      <w:r>
        <w:rPr>
          <w:rFonts w:ascii="宋体" w:eastAsia="宋体" w:hAnsi="宋体" w:cs="宋体"/>
          <w:b/>
          <w:bCs/>
          <w:sz w:val="18"/>
          <w:szCs w:val="18"/>
        </w:rPr>
        <w:t>（1） 本期发生的同</w:t>
      </w:r>
      <w:proofErr w:type="gramStart"/>
      <w:r>
        <w:rPr>
          <w:rFonts w:ascii="宋体" w:eastAsia="宋体" w:hAnsi="宋体" w:cs="宋体"/>
          <w:b/>
          <w:bCs/>
          <w:sz w:val="18"/>
          <w:szCs w:val="18"/>
        </w:rPr>
        <w:t>一控制</w:t>
      </w:r>
      <w:proofErr w:type="gramEnd"/>
      <w:r>
        <w:rPr>
          <w:rFonts w:ascii="宋体" w:eastAsia="宋体" w:hAnsi="宋体" w:cs="宋体"/>
          <w:b/>
          <w:bCs/>
          <w:sz w:val="18"/>
          <w:szCs w:val="18"/>
        </w:rPr>
        <w:t>下企业合并</w:t>
      </w:r>
      <w:bookmarkEnd w:id="477"/>
    </w:p>
    <w:p w:rsidR="000F627F" w:rsidRPr="00587BBA" w:rsidRDefault="000F627F" w:rsidP="00587BBA">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478" w:name="_Toc989365"/>
      <w:r>
        <w:rPr>
          <w:rFonts w:ascii="宋体" w:eastAsia="宋体" w:hAnsi="宋体" w:cs="宋体"/>
          <w:b/>
          <w:bCs/>
          <w:sz w:val="18"/>
          <w:szCs w:val="18"/>
        </w:rPr>
        <w:t>（2） 合并成本</w:t>
      </w:r>
      <w:bookmarkEnd w:id="478"/>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或有对价及其变动的说明：</w:t>
      </w:r>
    </w:p>
    <w:p w:rsidR="000F627F" w:rsidRDefault="000F627F">
      <w:pPr>
        <w:pStyle w:val="a3"/>
        <w:divId w:val="953950814"/>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pStyle w:val="a3"/>
        <w:divId w:val="1883784334"/>
        <w:rPr>
          <w:sz w:val="18"/>
          <w:szCs w:val="18"/>
        </w:rPr>
      </w:pP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479" w:name="_Toc989366"/>
      <w:r>
        <w:rPr>
          <w:rFonts w:ascii="宋体" w:eastAsia="宋体" w:hAnsi="宋体" w:cs="宋体"/>
          <w:b/>
          <w:bCs/>
          <w:sz w:val="18"/>
          <w:szCs w:val="18"/>
        </w:rPr>
        <w:t xml:space="preserve">（3） </w:t>
      </w:r>
      <w:proofErr w:type="gramStart"/>
      <w:r>
        <w:rPr>
          <w:rFonts w:ascii="宋体" w:eastAsia="宋体" w:hAnsi="宋体" w:cs="宋体"/>
          <w:b/>
          <w:bCs/>
          <w:sz w:val="18"/>
          <w:szCs w:val="18"/>
        </w:rPr>
        <w:t>合并日</w:t>
      </w:r>
      <w:proofErr w:type="gramEnd"/>
      <w:r>
        <w:rPr>
          <w:rFonts w:ascii="宋体" w:eastAsia="宋体" w:hAnsi="宋体" w:cs="宋体"/>
          <w:b/>
          <w:bCs/>
          <w:sz w:val="18"/>
          <w:szCs w:val="18"/>
        </w:rPr>
        <w:t>被合并方资产、负债的账面价值</w:t>
      </w:r>
      <w:bookmarkEnd w:id="47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企业合并中承担的被合并方的或有负债：</w:t>
      </w:r>
    </w:p>
    <w:p w:rsidR="000F627F" w:rsidRDefault="000F627F">
      <w:pPr>
        <w:pStyle w:val="a3"/>
        <w:divId w:val="181170180"/>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pStyle w:val="a3"/>
        <w:divId w:val="2089232266"/>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480" w:name="_Toc989367"/>
      <w:r>
        <w:rPr>
          <w:rFonts w:ascii="宋体" w:hAnsi="宋体" w:cs="宋体"/>
          <w:b/>
          <w:bCs/>
        </w:rPr>
        <w:t>3、反向购买</w:t>
      </w:r>
      <w:bookmarkEnd w:id="48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交易基本信息、交易构成反向购买的依据、上市公司保留的资产、负债是否构成业务及其依据、合并成本的确定、按照权益性交易处理时调整权益的金额及其计算：</w:t>
      </w:r>
    </w:p>
    <w:p w:rsidR="000F627F" w:rsidRDefault="000F627F">
      <w:pPr>
        <w:pStyle w:val="a3"/>
        <w:divId w:val="1542207027"/>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481" w:name="_Toc989368"/>
      <w:r>
        <w:rPr>
          <w:rFonts w:ascii="宋体" w:hAnsi="宋体" w:cs="宋体"/>
          <w:b/>
          <w:bCs/>
        </w:rPr>
        <w:t>4、处置子公司</w:t>
      </w:r>
      <w:bookmarkEnd w:id="48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本期是否存在丧失子公司控制权的交易或事项</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2"/>
        <w:gridCol w:w="742"/>
        <w:gridCol w:w="742"/>
        <w:gridCol w:w="742"/>
        <w:gridCol w:w="742"/>
        <w:gridCol w:w="742"/>
        <w:gridCol w:w="741"/>
        <w:gridCol w:w="741"/>
        <w:gridCol w:w="741"/>
        <w:gridCol w:w="741"/>
        <w:gridCol w:w="741"/>
        <w:gridCol w:w="741"/>
        <w:gridCol w:w="741"/>
      </w:tblGrid>
      <w:tr w:rsidR="000D58D8">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丧失控制权时点的处置价款</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丧失控制权时点的处置比例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丧失控制权时点的处置方式</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丧失控制权的时点</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丧失控制权时点的判断依据</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处置价款与处置投资对应的合并</w:t>
            </w:r>
            <w:r>
              <w:rPr>
                <w:rFonts w:ascii="宋体" w:eastAsia="宋体" w:hAnsi="宋体" w:cs="宋体"/>
                <w:sz w:val="18"/>
                <w:szCs w:val="18"/>
              </w:rPr>
              <w:lastRenderedPageBreak/>
              <w:t>财务报表层面享有该子公司净资产份额的差额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丧失控制权之日剩余股权的比例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丧失控制权之日合并财务报表层</w:t>
            </w:r>
            <w:r>
              <w:rPr>
                <w:rFonts w:ascii="宋体" w:eastAsia="宋体" w:hAnsi="宋体" w:cs="宋体"/>
                <w:sz w:val="18"/>
                <w:szCs w:val="18"/>
              </w:rPr>
              <w:lastRenderedPageBreak/>
              <w:t>面剩余股权的账面价值</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丧失控制权之日合并财务报表层</w:t>
            </w:r>
            <w:r>
              <w:rPr>
                <w:rFonts w:ascii="宋体" w:eastAsia="宋体" w:hAnsi="宋体" w:cs="宋体"/>
                <w:sz w:val="18"/>
                <w:szCs w:val="18"/>
              </w:rPr>
              <w:lastRenderedPageBreak/>
              <w:t>面剩余股权的公允价值</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按照公允价值重新计量剩余股权</w:t>
            </w:r>
            <w:r>
              <w:rPr>
                <w:rFonts w:ascii="宋体" w:eastAsia="宋体" w:hAnsi="宋体" w:cs="宋体"/>
                <w:sz w:val="18"/>
                <w:szCs w:val="18"/>
              </w:rPr>
              <w:lastRenderedPageBreak/>
              <w:t>产生的利得或损失</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丧失控制权之日合并财务报表层</w:t>
            </w:r>
            <w:r>
              <w:rPr>
                <w:rFonts w:ascii="宋体" w:eastAsia="宋体" w:hAnsi="宋体" w:cs="宋体"/>
                <w:sz w:val="18"/>
                <w:szCs w:val="18"/>
              </w:rPr>
              <w:lastRenderedPageBreak/>
              <w:t>面剩余股权公允价值的确定方法及主要假设</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与原子公司股权投资相关的其他</w:t>
            </w:r>
            <w:r>
              <w:rPr>
                <w:rFonts w:ascii="宋体" w:eastAsia="宋体" w:hAnsi="宋体" w:cs="宋体"/>
                <w:sz w:val="18"/>
                <w:szCs w:val="18"/>
              </w:rPr>
              <w:lastRenderedPageBreak/>
              <w:t>综合收益转入投资损益或留存收益的金额</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新疆棉花产业（集团）叶城棉业有限责任公司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13,000,000.00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2023年07月31日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合同约定交割日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2,429,842.62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新疆棉花产业集团泽普棉业有限公司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16,000,000.00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2023年09月30日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合同约定交割日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-1,684,625.69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伽师德孚棉业</w:t>
            </w:r>
            <w:proofErr w:type="gramEnd"/>
            <w:r>
              <w:rPr>
                <w:rFonts w:ascii="宋体" w:eastAsia="宋体" w:hAnsi="宋体" w:cs="宋体"/>
                <w:sz w:val="18"/>
                <w:szCs w:val="18"/>
              </w:rPr>
              <w:t>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7,500,000.00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2023年09月30日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合同约定交割日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-42,661.00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伽师</w:t>
            </w:r>
            <w:proofErr w:type="gramStart"/>
            <w:r>
              <w:rPr>
                <w:rFonts w:ascii="宋体" w:eastAsia="宋体" w:hAnsi="宋体" w:cs="宋体"/>
                <w:sz w:val="18"/>
                <w:szCs w:val="18"/>
              </w:rPr>
              <w:t>锦孚棉</w:t>
            </w:r>
            <w:proofErr w:type="gramEnd"/>
            <w:r>
              <w:rPr>
                <w:rFonts w:ascii="宋体" w:eastAsia="宋体" w:hAnsi="宋体" w:cs="宋体"/>
                <w:sz w:val="18"/>
                <w:szCs w:val="18"/>
              </w:rPr>
              <w:t>业有限公司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15,500,000.00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2023年09月30日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合同约定交割日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2,221,487.99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伽师润孚棉花</w:t>
            </w:r>
            <w:proofErr w:type="gramEnd"/>
            <w:r>
              <w:rPr>
                <w:rFonts w:ascii="宋体" w:eastAsia="宋体" w:hAnsi="宋体" w:cs="宋体"/>
                <w:sz w:val="18"/>
                <w:szCs w:val="18"/>
              </w:rPr>
              <w:t>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19,500,000.00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2023年09月30日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合同约定交割日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6,540,283.21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岳普湖</w:t>
            </w:r>
            <w:proofErr w:type="gramStart"/>
            <w:r>
              <w:rPr>
                <w:rFonts w:ascii="宋体" w:eastAsia="宋体" w:hAnsi="宋体" w:cs="宋体"/>
                <w:sz w:val="18"/>
                <w:szCs w:val="18"/>
              </w:rPr>
              <w:t>嘉孚棉</w:t>
            </w:r>
            <w:proofErr w:type="gramEnd"/>
            <w:r>
              <w:rPr>
                <w:rFonts w:ascii="宋体" w:eastAsia="宋体" w:hAnsi="宋体" w:cs="宋体"/>
                <w:sz w:val="18"/>
                <w:szCs w:val="18"/>
              </w:rPr>
              <w:t>业有限公司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17,000,000.00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2023年09月30日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合同约定交割日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-66,116.12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岳普湖</w:t>
            </w:r>
            <w:proofErr w:type="gramStart"/>
            <w:r>
              <w:rPr>
                <w:rFonts w:ascii="宋体" w:eastAsia="宋体" w:hAnsi="宋体" w:cs="宋体"/>
                <w:sz w:val="18"/>
                <w:szCs w:val="18"/>
              </w:rPr>
              <w:t>恒孚棉</w:t>
            </w:r>
            <w:proofErr w:type="gramEnd"/>
            <w:r>
              <w:rPr>
                <w:rFonts w:ascii="宋体" w:eastAsia="宋体" w:hAnsi="宋体" w:cs="宋体"/>
                <w:sz w:val="18"/>
                <w:szCs w:val="18"/>
              </w:rPr>
              <w:t>业有限公司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8,500,000.00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2023年09月30日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合同约定交割日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-2,407,176.97</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岳普湖</w:t>
            </w:r>
            <w:proofErr w:type="gramStart"/>
            <w:r>
              <w:rPr>
                <w:rFonts w:ascii="宋体" w:eastAsia="宋体" w:hAnsi="宋体" w:cs="宋体"/>
                <w:sz w:val="18"/>
                <w:szCs w:val="18"/>
              </w:rPr>
              <w:t>鑫</w:t>
            </w:r>
            <w:r>
              <w:rPr>
                <w:rFonts w:ascii="宋体" w:eastAsia="宋体" w:hAnsi="宋体" w:cs="宋体"/>
                <w:sz w:val="18"/>
                <w:szCs w:val="18"/>
              </w:rPr>
              <w:lastRenderedPageBreak/>
              <w:t>孚棉</w:t>
            </w:r>
            <w:proofErr w:type="gramEnd"/>
            <w:r>
              <w:rPr>
                <w:rFonts w:ascii="宋体" w:eastAsia="宋体" w:hAnsi="宋体" w:cs="宋体"/>
                <w:sz w:val="18"/>
                <w:szCs w:val="18"/>
              </w:rPr>
              <w:t>业有限公司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18,000,000</w:t>
            </w:r>
            <w:r>
              <w:rPr>
                <w:rFonts w:ascii="宋体" w:eastAsia="宋体" w:hAnsi="宋体" w:cs="宋体"/>
                <w:sz w:val="18"/>
                <w:szCs w:val="18"/>
              </w:rPr>
              <w:lastRenderedPageBreak/>
              <w:t>.00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100.00%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非同控转</w:t>
            </w:r>
            <w:r>
              <w:rPr>
                <w:rFonts w:ascii="宋体" w:eastAsia="宋体" w:hAnsi="宋体" w:cs="宋体"/>
                <w:sz w:val="18"/>
                <w:szCs w:val="18"/>
              </w:rPr>
              <w:lastRenderedPageBreak/>
              <w:t>让</w:t>
            </w:r>
            <w:proofErr w:type="gramEnd"/>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2023年09</w:t>
            </w:r>
            <w:r>
              <w:rPr>
                <w:rFonts w:ascii="宋体" w:eastAsia="宋体" w:hAnsi="宋体" w:cs="宋体"/>
                <w:sz w:val="18"/>
                <w:szCs w:val="18"/>
              </w:rPr>
              <w:lastRenderedPageBreak/>
              <w:t>月30日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合同约定</w:t>
            </w:r>
            <w:r>
              <w:rPr>
                <w:rFonts w:ascii="宋体" w:eastAsia="宋体" w:hAnsi="宋体" w:cs="宋体"/>
                <w:sz w:val="18"/>
                <w:szCs w:val="18"/>
              </w:rPr>
              <w:lastRenderedPageBreak/>
              <w:t>交割日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894,309.19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呼图壁县</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16,500,000.00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2023年05月31日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合同约定交割日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8,046,533.42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库车</w:t>
            </w:r>
            <w:proofErr w:type="gramStart"/>
            <w:r>
              <w:rPr>
                <w:rFonts w:ascii="宋体" w:eastAsia="宋体" w:hAnsi="宋体" w:cs="宋体"/>
                <w:sz w:val="18"/>
                <w:szCs w:val="18"/>
              </w:rPr>
              <w:t>恒丰棉业</w:t>
            </w:r>
            <w:proofErr w:type="gramEnd"/>
            <w:r>
              <w:rPr>
                <w:rFonts w:ascii="宋体" w:eastAsia="宋体" w:hAnsi="宋体" w:cs="宋体"/>
                <w:sz w:val="18"/>
                <w:szCs w:val="18"/>
              </w:rPr>
              <w:t>有限责任公司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17,800,000.00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2023年08月31日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合同约定交割日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4,773,012.48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浙江博忆纺织科技有限公司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41,886,000.00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非同控转让</w:t>
            </w:r>
            <w:proofErr w:type="gramEnd"/>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2023年11月30日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合同约定交割日</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-2,409,324.11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bl>
    <w:p w:rsidR="000F627F" w:rsidRPr="00587BBA" w:rsidRDefault="000F627F" w:rsidP="00587BBA">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是否存在通过多次交易分步处置对子公司投资且在本期丧失控制权的情形</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0D58D8" w:rsidRDefault="000F627F">
      <w:pPr>
        <w:pStyle w:val="3"/>
        <w:spacing w:line="280" w:lineRule="exact"/>
        <w:jc w:val="left"/>
        <w:rPr>
          <w:rFonts w:ascii="宋体" w:hAnsi="宋体" w:cs="宋体"/>
          <w:b/>
          <w:bCs/>
        </w:rPr>
      </w:pPr>
      <w:bookmarkStart w:id="482" w:name="_Toc989369"/>
      <w:r>
        <w:rPr>
          <w:rFonts w:ascii="宋体" w:hAnsi="宋体" w:cs="宋体"/>
          <w:b/>
          <w:bCs/>
        </w:rPr>
        <w:t>5、其他原因的合并范围变动</w:t>
      </w:r>
      <w:bookmarkEnd w:id="48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说明其他原因导致的合并范围变动（如，新设子公司、清算子公司等）及其相关情况：</w:t>
      </w:r>
    </w:p>
    <w:tbl>
      <w:tblPr>
        <w:tblW w:w="9513" w:type="dxa"/>
        <w:jc w:val="center"/>
        <w:tblCellMar>
          <w:left w:w="0" w:type="dxa"/>
          <w:right w:w="0" w:type="dxa"/>
        </w:tblCellMar>
        <w:tblLook w:val="04A0" w:firstRow="1" w:lastRow="0" w:firstColumn="1" w:lastColumn="0" w:noHBand="0" w:noVBand="1"/>
      </w:tblPr>
      <w:tblGrid>
        <w:gridCol w:w="5041"/>
        <w:gridCol w:w="4472"/>
      </w:tblGrid>
      <w:tr w:rsidR="000F627F" w:rsidTr="00587BBA">
        <w:trPr>
          <w:divId w:val="1235356480"/>
          <w:trHeight w:val="270"/>
          <w:jc w:val="center"/>
        </w:trPr>
        <w:tc>
          <w:tcPr>
            <w:tcW w:w="5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名称</w:t>
            </w:r>
          </w:p>
        </w:tc>
        <w:tc>
          <w:tcPr>
            <w:tcW w:w="447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变更原因</w:t>
            </w:r>
          </w:p>
        </w:tc>
      </w:tr>
      <w:tr w:rsidR="000F627F" w:rsidTr="00587BBA">
        <w:trPr>
          <w:divId w:val="1235356480"/>
          <w:trHeight w:val="27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浙江果实设计有限公司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587BBA">
        <w:trPr>
          <w:divId w:val="1235356480"/>
          <w:trHeight w:val="27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浙江其实科技有限公司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新设</w:t>
            </w:r>
          </w:p>
        </w:tc>
      </w:tr>
      <w:tr w:rsidR="000F627F" w:rsidTr="00587BBA">
        <w:trPr>
          <w:divId w:val="1235356480"/>
          <w:trHeight w:val="27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浙江果实纺织科技有限公司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新设</w:t>
            </w:r>
          </w:p>
        </w:tc>
      </w:tr>
      <w:tr w:rsidR="000F627F" w:rsidTr="00587BBA">
        <w:trPr>
          <w:divId w:val="1235356480"/>
          <w:trHeight w:val="27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浙江达米安品牌管理有限公司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新设</w:t>
            </w:r>
          </w:p>
        </w:tc>
      </w:tr>
      <w:tr w:rsidR="000F627F" w:rsidTr="00587BBA">
        <w:trPr>
          <w:divId w:val="1235356480"/>
          <w:trHeight w:val="27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新疆盛孚棉业有限公司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新设</w:t>
            </w:r>
          </w:p>
        </w:tc>
      </w:tr>
      <w:tr w:rsidR="000F627F" w:rsidTr="00587BBA">
        <w:trPr>
          <w:divId w:val="1235356480"/>
          <w:trHeight w:val="27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新疆泽孚棉花有限公司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新设</w:t>
            </w:r>
          </w:p>
        </w:tc>
      </w:tr>
      <w:tr w:rsidR="000F627F" w:rsidTr="00587BBA">
        <w:trPr>
          <w:divId w:val="1235356480"/>
          <w:trHeight w:val="27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新疆华孚宏丰农业开发有限公司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新设</w:t>
            </w:r>
          </w:p>
        </w:tc>
      </w:tr>
      <w:tr w:rsidR="000F627F" w:rsidTr="00587BBA">
        <w:trPr>
          <w:divId w:val="1235356480"/>
          <w:trHeight w:val="27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淮北华孚新能源有限公司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新设</w:t>
            </w:r>
          </w:p>
        </w:tc>
      </w:tr>
      <w:tr w:rsidR="000F627F" w:rsidTr="00587BBA">
        <w:trPr>
          <w:divId w:val="1235356480"/>
          <w:trHeight w:val="27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岳普湖</w:t>
            </w:r>
            <w:proofErr w:type="gramStart"/>
            <w:r>
              <w:rPr>
                <w:rFonts w:hint="eastAsia"/>
                <w:sz w:val="18"/>
                <w:szCs w:val="18"/>
              </w:rPr>
              <w:t>嘉孚棉</w:t>
            </w:r>
            <w:proofErr w:type="gramEnd"/>
            <w:r>
              <w:rPr>
                <w:rFonts w:hint="eastAsia"/>
                <w:sz w:val="18"/>
                <w:szCs w:val="18"/>
              </w:rPr>
              <w:t>业有限公司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新设</w:t>
            </w:r>
          </w:p>
        </w:tc>
      </w:tr>
      <w:tr w:rsidR="000F627F" w:rsidTr="00587BBA">
        <w:trPr>
          <w:divId w:val="1235356480"/>
          <w:trHeight w:val="27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岳普湖</w:t>
            </w:r>
            <w:proofErr w:type="gramStart"/>
            <w:r>
              <w:rPr>
                <w:rFonts w:hint="eastAsia"/>
                <w:sz w:val="18"/>
                <w:szCs w:val="18"/>
              </w:rPr>
              <w:t>恒孚棉</w:t>
            </w:r>
            <w:proofErr w:type="gramEnd"/>
            <w:r>
              <w:rPr>
                <w:rFonts w:hint="eastAsia"/>
                <w:sz w:val="18"/>
                <w:szCs w:val="18"/>
              </w:rPr>
              <w:t>业有限公司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新设</w:t>
            </w:r>
          </w:p>
        </w:tc>
      </w:tr>
      <w:tr w:rsidR="000F627F" w:rsidTr="00587BBA">
        <w:trPr>
          <w:divId w:val="1235356480"/>
          <w:trHeight w:val="27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岳普湖</w:t>
            </w:r>
            <w:proofErr w:type="gramStart"/>
            <w:r>
              <w:rPr>
                <w:rFonts w:hint="eastAsia"/>
                <w:sz w:val="18"/>
                <w:szCs w:val="18"/>
              </w:rPr>
              <w:t>鑫孚棉</w:t>
            </w:r>
            <w:proofErr w:type="gramEnd"/>
            <w:r>
              <w:rPr>
                <w:rFonts w:hint="eastAsia"/>
                <w:sz w:val="18"/>
                <w:szCs w:val="18"/>
              </w:rPr>
              <w:t>业有限公司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新设</w:t>
            </w:r>
          </w:p>
        </w:tc>
      </w:tr>
      <w:tr w:rsidR="000F627F" w:rsidTr="00587BBA">
        <w:trPr>
          <w:divId w:val="1235356480"/>
          <w:trHeight w:val="27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proofErr w:type="gramStart"/>
            <w:r>
              <w:rPr>
                <w:rFonts w:hint="eastAsia"/>
                <w:sz w:val="18"/>
                <w:szCs w:val="18"/>
              </w:rPr>
              <w:t>伽师润孚棉花</w:t>
            </w:r>
            <w:proofErr w:type="gramEnd"/>
            <w:r>
              <w:rPr>
                <w:rFonts w:hint="eastAsia"/>
                <w:sz w:val="18"/>
                <w:szCs w:val="18"/>
              </w:rPr>
              <w:t>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新设</w:t>
            </w:r>
          </w:p>
        </w:tc>
      </w:tr>
      <w:tr w:rsidR="000F627F" w:rsidTr="00587BBA">
        <w:trPr>
          <w:divId w:val="1235356480"/>
          <w:trHeight w:val="27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伽师</w:t>
            </w:r>
            <w:proofErr w:type="gramStart"/>
            <w:r>
              <w:rPr>
                <w:rFonts w:hint="eastAsia"/>
                <w:sz w:val="18"/>
                <w:szCs w:val="18"/>
              </w:rPr>
              <w:t>锦孚棉</w:t>
            </w:r>
            <w:proofErr w:type="gramEnd"/>
            <w:r>
              <w:rPr>
                <w:rFonts w:hint="eastAsia"/>
                <w:sz w:val="18"/>
                <w:szCs w:val="18"/>
              </w:rPr>
              <w:t>业有限公司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新设</w:t>
            </w:r>
          </w:p>
        </w:tc>
      </w:tr>
      <w:tr w:rsidR="000F627F" w:rsidTr="00587BBA">
        <w:trPr>
          <w:divId w:val="1235356480"/>
          <w:trHeight w:val="27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proofErr w:type="gramStart"/>
            <w:r>
              <w:rPr>
                <w:rFonts w:hint="eastAsia"/>
                <w:sz w:val="18"/>
                <w:szCs w:val="18"/>
              </w:rPr>
              <w:t>伽师德孚棉业</w:t>
            </w:r>
            <w:proofErr w:type="gramEnd"/>
            <w:r>
              <w:rPr>
                <w:rFonts w:hint="eastAsia"/>
                <w:sz w:val="18"/>
                <w:szCs w:val="18"/>
              </w:rPr>
              <w:t>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新设</w:t>
            </w:r>
          </w:p>
        </w:tc>
      </w:tr>
      <w:tr w:rsidR="000F627F" w:rsidTr="00587BBA">
        <w:trPr>
          <w:divId w:val="1235356480"/>
          <w:trHeight w:val="270"/>
          <w:jc w:val="center"/>
        </w:trPr>
        <w:tc>
          <w:tcPr>
            <w:tcW w:w="5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新疆天路智能制造有限公司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注销</w:t>
            </w:r>
          </w:p>
        </w:tc>
      </w:tr>
      <w:tr w:rsidR="000F627F" w:rsidTr="00587BBA">
        <w:trPr>
          <w:divId w:val="1235356480"/>
          <w:trHeight w:val="27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绍兴市上虞华孚物流有限公司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注销</w:t>
            </w:r>
          </w:p>
        </w:tc>
      </w:tr>
      <w:tr w:rsidR="000F627F" w:rsidTr="00587BBA">
        <w:trPr>
          <w:divId w:val="1235356480"/>
          <w:trHeight w:val="27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浙江阿大贸易有限公司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注销</w:t>
            </w:r>
          </w:p>
        </w:tc>
      </w:tr>
      <w:tr w:rsidR="000F627F" w:rsidTr="00587BBA">
        <w:trPr>
          <w:divId w:val="1235356480"/>
          <w:trHeight w:val="45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诸暨市</w:t>
            </w:r>
            <w:proofErr w:type="gramStart"/>
            <w:r>
              <w:rPr>
                <w:rFonts w:hint="eastAsia"/>
                <w:sz w:val="18"/>
                <w:szCs w:val="18"/>
              </w:rPr>
              <w:t>鲲驰投资</w:t>
            </w:r>
            <w:proofErr w:type="gramEnd"/>
            <w:r>
              <w:rPr>
                <w:rFonts w:hint="eastAsia"/>
                <w:sz w:val="18"/>
                <w:szCs w:val="18"/>
              </w:rPr>
              <w:t>管理合伙企业（有限合伙）</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注销</w:t>
            </w:r>
          </w:p>
        </w:tc>
      </w:tr>
      <w:tr w:rsidR="000F627F" w:rsidTr="00587BBA">
        <w:trPr>
          <w:divId w:val="1235356480"/>
          <w:trHeight w:val="270"/>
          <w:jc w:val="center"/>
        </w:trPr>
        <w:tc>
          <w:tcPr>
            <w:tcW w:w="504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金华市</w:t>
            </w:r>
            <w:proofErr w:type="gramStart"/>
            <w:r>
              <w:rPr>
                <w:rFonts w:hint="eastAsia"/>
                <w:sz w:val="18"/>
                <w:szCs w:val="18"/>
              </w:rPr>
              <w:t>菁英网红</w:t>
            </w:r>
            <w:proofErr w:type="gramEnd"/>
            <w:r>
              <w:rPr>
                <w:rFonts w:hint="eastAsia"/>
                <w:sz w:val="18"/>
                <w:szCs w:val="18"/>
              </w:rPr>
              <w:t>品牌管理有限公司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sz w:val="18"/>
                <w:szCs w:val="18"/>
              </w:rPr>
            </w:pPr>
            <w:r>
              <w:rPr>
                <w:rFonts w:hint="eastAsia"/>
                <w:sz w:val="18"/>
                <w:szCs w:val="18"/>
              </w:rPr>
              <w:t>注销</w:t>
            </w:r>
          </w:p>
        </w:tc>
      </w:tr>
      <w:tr w:rsidR="000F627F" w:rsidTr="00587BBA">
        <w:trPr>
          <w:divId w:val="1235356480"/>
          <w:trHeight w:val="270"/>
          <w:jc w:val="center"/>
        </w:trPr>
        <w:tc>
          <w:tcPr>
            <w:tcW w:w="5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浙江铭孚针纺有限公司</w:t>
            </w:r>
          </w:p>
        </w:tc>
        <w:tc>
          <w:tcPr>
            <w:tcW w:w="44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F627F" w:rsidRDefault="000F627F">
            <w:pPr>
              <w:jc w:val="center"/>
              <w:rPr>
                <w:rFonts w:ascii="宋体" w:eastAsia="宋体" w:hAnsi="宋体" w:cs="宋体"/>
                <w:color w:val="000000"/>
                <w:sz w:val="18"/>
                <w:szCs w:val="18"/>
              </w:rPr>
            </w:pPr>
            <w:r>
              <w:rPr>
                <w:rFonts w:hint="eastAsia"/>
                <w:color w:val="000000"/>
                <w:sz w:val="18"/>
                <w:szCs w:val="18"/>
              </w:rPr>
              <w:t>注销</w:t>
            </w:r>
          </w:p>
        </w:tc>
      </w:tr>
    </w:tbl>
    <w:p w:rsidR="000F627F" w:rsidRDefault="000F627F">
      <w:pPr>
        <w:pStyle w:val="a3"/>
        <w:divId w:val="1235356480"/>
        <w:rPr>
          <w:sz w:val="18"/>
          <w:szCs w:val="18"/>
        </w:rPr>
      </w:pPr>
      <w:r>
        <w:rPr>
          <w:rFonts w:hint="eastAsia"/>
          <w:sz w:val="18"/>
          <w:szCs w:val="18"/>
        </w:rPr>
        <w:lastRenderedPageBreak/>
        <w:t> </w:t>
      </w:r>
    </w:p>
    <w:p w:rsidR="000D58D8" w:rsidRDefault="000F627F">
      <w:pPr>
        <w:pStyle w:val="3"/>
        <w:spacing w:line="280" w:lineRule="exact"/>
        <w:jc w:val="left"/>
        <w:rPr>
          <w:rFonts w:ascii="宋体" w:hAnsi="宋体" w:cs="宋体"/>
          <w:b/>
          <w:bCs/>
        </w:rPr>
      </w:pPr>
      <w:bookmarkStart w:id="483" w:name="_Toc989370"/>
      <w:r>
        <w:rPr>
          <w:rFonts w:ascii="宋体" w:hAnsi="宋体" w:cs="宋体"/>
          <w:b/>
          <w:bCs/>
        </w:rPr>
        <w:t>6、其他</w:t>
      </w:r>
      <w:bookmarkEnd w:id="483"/>
    </w:p>
    <w:p w:rsidR="000F627F" w:rsidRDefault="000F627F">
      <w:pPr>
        <w:pStyle w:val="a3"/>
        <w:divId w:val="388841221"/>
        <w:rPr>
          <w:sz w:val="18"/>
          <w:szCs w:val="18"/>
        </w:rPr>
      </w:pPr>
      <w:r>
        <w:rPr>
          <w:rFonts w:hint="eastAsia"/>
          <w:sz w:val="18"/>
          <w:szCs w:val="18"/>
        </w:rPr>
        <w:t>无。</w:t>
      </w:r>
    </w:p>
    <w:p w:rsidR="000D58D8" w:rsidRDefault="000F627F">
      <w:pPr>
        <w:pStyle w:val="2"/>
        <w:spacing w:before="300" w:after="300" w:line="320" w:lineRule="exact"/>
        <w:rPr>
          <w:rFonts w:ascii="宋体" w:eastAsia="宋体" w:hAnsi="宋体" w:cs="宋体"/>
          <w:b/>
          <w:bCs/>
          <w:sz w:val="24"/>
          <w:szCs w:val="24"/>
        </w:rPr>
      </w:pPr>
      <w:bookmarkStart w:id="484" w:name="_Toc989371"/>
      <w:r>
        <w:rPr>
          <w:rFonts w:ascii="宋体" w:eastAsia="宋体" w:hAnsi="宋体" w:cs="宋体"/>
          <w:b/>
          <w:bCs/>
          <w:sz w:val="24"/>
          <w:szCs w:val="24"/>
        </w:rPr>
        <w:t>十、在其他主体中的权益</w:t>
      </w:r>
      <w:bookmarkEnd w:id="484"/>
    </w:p>
    <w:p w:rsidR="000D58D8" w:rsidRDefault="000F627F">
      <w:pPr>
        <w:pStyle w:val="3"/>
        <w:spacing w:line="280" w:lineRule="exact"/>
        <w:jc w:val="left"/>
        <w:rPr>
          <w:rFonts w:ascii="宋体" w:hAnsi="宋体" w:cs="宋体"/>
          <w:b/>
          <w:bCs/>
        </w:rPr>
      </w:pPr>
      <w:bookmarkStart w:id="485" w:name="_Toc989372"/>
      <w:r>
        <w:rPr>
          <w:rFonts w:ascii="宋体" w:hAnsi="宋体" w:cs="宋体"/>
          <w:b/>
          <w:bCs/>
        </w:rPr>
        <w:t>1、在子公司中的权益</w:t>
      </w:r>
      <w:bookmarkEnd w:id="485"/>
    </w:p>
    <w:p w:rsidR="000D58D8" w:rsidRDefault="000F627F">
      <w:pPr>
        <w:keepNext/>
        <w:keepLines/>
        <w:spacing w:before="300" w:after="300" w:line="280" w:lineRule="exact"/>
        <w:outlineLvl w:val="3"/>
        <w:rPr>
          <w:rFonts w:ascii="宋体" w:eastAsia="宋体" w:hAnsi="宋体" w:cs="宋体"/>
          <w:b/>
          <w:bCs/>
          <w:sz w:val="18"/>
          <w:szCs w:val="18"/>
        </w:rPr>
      </w:pPr>
      <w:bookmarkStart w:id="486" w:name="_Toc989373"/>
      <w:r>
        <w:rPr>
          <w:rFonts w:ascii="宋体" w:eastAsia="宋体" w:hAnsi="宋体" w:cs="宋体"/>
          <w:b/>
          <w:bCs/>
          <w:sz w:val="18"/>
          <w:szCs w:val="18"/>
        </w:rPr>
        <w:t>（1） 企业集团的构成</w:t>
      </w:r>
      <w:bookmarkEnd w:id="486"/>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205"/>
        <w:gridCol w:w="1205"/>
        <w:gridCol w:w="1205"/>
        <w:gridCol w:w="1205"/>
        <w:gridCol w:w="1205"/>
        <w:gridCol w:w="1205"/>
        <w:gridCol w:w="1205"/>
      </w:tblGrid>
      <w:tr w:rsidR="000D58D8">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241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取得方式</w:t>
            </w:r>
          </w:p>
        </w:tc>
      </w:tr>
      <w:tr w:rsidR="000D58D8">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205" w:type="dxa"/>
            <w:vMerge/>
            <w:tcBorders>
              <w:top w:val="single" w:sz="2" w:space="0" w:color="auto"/>
              <w:left w:val="single" w:sz="2" w:space="0" w:color="auto"/>
              <w:bottom w:val="single" w:sz="2" w:space="0" w:color="auto"/>
              <w:right w:val="single" w:sz="2" w:space="0" w:color="auto"/>
            </w:tcBorders>
            <w:vAlign w:val="center"/>
          </w:tcPr>
          <w:p w:rsidR="000D58D8" w:rsidRDefault="000D58D8"/>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深圳市华孚进出口有限公司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1,500,000,000.00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香港华孚有限公司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887,849,696.34</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顺道（越南）实业独资有限公司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1,035,330,795.97</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越南隆安省</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越南隆安省</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香港天成贸易有限公司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投资管理</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越南隆安英鸿投资股份有限公司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88,200,000.00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越南</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越南</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新加坡耀佳国际贸易有限公司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4,722,789.00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新加坡</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新加坡</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投资管理</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香港华孚贸易有限公司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宁海华孚纺织有限公司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182,757,749.00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浙江省宁波市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浙江省宁波市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浙江华孚色纺有限公司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854,902,597.57</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浙江省上虞市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浙江省上虞市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余姚华</w:t>
            </w:r>
            <w:proofErr w:type="gramStart"/>
            <w:r>
              <w:rPr>
                <w:rFonts w:ascii="宋体" w:eastAsia="宋体" w:hAnsi="宋体" w:cs="宋体"/>
                <w:sz w:val="18"/>
                <w:szCs w:val="18"/>
              </w:rPr>
              <w:t>孚</w:t>
            </w:r>
            <w:proofErr w:type="gramEnd"/>
            <w:r>
              <w:rPr>
                <w:rFonts w:ascii="宋体" w:eastAsia="宋体" w:hAnsi="宋体" w:cs="宋体"/>
                <w:sz w:val="18"/>
                <w:szCs w:val="18"/>
              </w:rPr>
              <w:t>纺织有限公司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144,110,000.00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浙江省余姚市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浙江省余姚市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浙江社标纤维有限公司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w:t>
            </w:r>
            <w:proofErr w:type="gramStart"/>
            <w:r>
              <w:rPr>
                <w:rFonts w:ascii="宋体" w:eastAsia="宋体" w:hAnsi="宋体" w:cs="宋体"/>
                <w:sz w:val="18"/>
                <w:szCs w:val="18"/>
              </w:rPr>
              <w:t>绍</w:t>
            </w:r>
            <w:proofErr w:type="gramEnd"/>
            <w:r>
              <w:rPr>
                <w:rFonts w:ascii="宋体" w:eastAsia="宋体" w:hAnsi="宋体" w:cs="宋体"/>
                <w:sz w:val="18"/>
                <w:szCs w:val="18"/>
              </w:rPr>
              <w:t>省兴市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阿克苏</w:t>
            </w:r>
            <w:proofErr w:type="gramStart"/>
            <w:r>
              <w:rPr>
                <w:rFonts w:ascii="宋体" w:eastAsia="宋体" w:hAnsi="宋体" w:cs="宋体"/>
                <w:sz w:val="18"/>
                <w:szCs w:val="18"/>
              </w:rPr>
              <w:t>标信纤维</w:t>
            </w:r>
            <w:proofErr w:type="gramEnd"/>
            <w:r>
              <w:rPr>
                <w:rFonts w:ascii="宋体" w:eastAsia="宋体" w:hAnsi="宋体" w:cs="宋体"/>
                <w:sz w:val="18"/>
                <w:szCs w:val="18"/>
              </w:rPr>
              <w:t>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石河子标配纤维</w:t>
            </w:r>
            <w:proofErr w:type="gramEnd"/>
            <w:r>
              <w:rPr>
                <w:rFonts w:ascii="宋体" w:eastAsia="宋体" w:hAnsi="宋体" w:cs="宋体"/>
                <w:sz w:val="18"/>
                <w:szCs w:val="18"/>
              </w:rPr>
              <w:t>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浙江昇孚贸易有限公司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49,497,897.00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浙江省上虞</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浙江省上虞</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宁波华孚东</w:t>
            </w:r>
            <w:proofErr w:type="gramStart"/>
            <w:r>
              <w:rPr>
                <w:rFonts w:ascii="宋体" w:eastAsia="宋体" w:hAnsi="宋体" w:cs="宋体"/>
                <w:sz w:val="18"/>
                <w:szCs w:val="18"/>
              </w:rPr>
              <w:t>浩</w:t>
            </w:r>
            <w:proofErr w:type="gramEnd"/>
            <w:r>
              <w:rPr>
                <w:rFonts w:ascii="宋体" w:eastAsia="宋体" w:hAnsi="宋体" w:cs="宋体"/>
                <w:sz w:val="18"/>
                <w:szCs w:val="18"/>
              </w:rPr>
              <w:t>实业有限公司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浙江宁波</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浙江宁波</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九江中</w:t>
            </w:r>
            <w:proofErr w:type="gramStart"/>
            <w:r>
              <w:rPr>
                <w:rFonts w:ascii="宋体" w:eastAsia="宋体" w:hAnsi="宋体" w:cs="宋体"/>
                <w:sz w:val="18"/>
                <w:szCs w:val="18"/>
              </w:rPr>
              <w:t>浩</w:t>
            </w:r>
            <w:proofErr w:type="gramEnd"/>
            <w:r>
              <w:rPr>
                <w:rFonts w:ascii="宋体" w:eastAsia="宋体" w:hAnsi="宋体" w:cs="宋体"/>
                <w:sz w:val="18"/>
                <w:szCs w:val="18"/>
              </w:rPr>
              <w:t>纺织有限公司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65,808,000.00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江西省九江市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江西省九江市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浙江金华华孚纺织有限公司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平湖市华孚金瓶纺织有限公司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浙江省平湖市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浙江省平湖市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上海华孚色纺贸易有限公司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上海市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上海市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阿克苏华孚色纺有限公司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2,634,516,140.00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新疆华孚色纺集团有限公司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新疆乌鲁木齐</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新疆乌鲁木齐</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新疆六孚纺织工业</w:t>
            </w:r>
            <w:proofErr w:type="gramEnd"/>
            <w:r>
              <w:rPr>
                <w:rFonts w:ascii="宋体" w:eastAsia="宋体" w:hAnsi="宋体" w:cs="宋体"/>
                <w:sz w:val="18"/>
                <w:szCs w:val="18"/>
              </w:rPr>
              <w:t>园有限公司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338,250,000.00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新疆五家渠市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新疆五家渠市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新疆天宏新</w:t>
            </w:r>
            <w:proofErr w:type="gramStart"/>
            <w:r>
              <w:rPr>
                <w:rFonts w:ascii="宋体" w:eastAsia="宋体" w:hAnsi="宋体" w:cs="宋体"/>
                <w:sz w:val="18"/>
                <w:szCs w:val="18"/>
              </w:rPr>
              <w:t>八棉产业</w:t>
            </w:r>
            <w:proofErr w:type="gramEnd"/>
            <w:r>
              <w:rPr>
                <w:rFonts w:ascii="宋体" w:eastAsia="宋体" w:hAnsi="宋体" w:cs="宋体"/>
                <w:sz w:val="18"/>
                <w:szCs w:val="18"/>
              </w:rPr>
              <w:t>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48,710,000.00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阿克苏华孚新能源有限公司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光</w:t>
            </w:r>
            <w:proofErr w:type="gramStart"/>
            <w:r>
              <w:rPr>
                <w:rFonts w:ascii="宋体" w:eastAsia="宋体" w:hAnsi="宋体" w:cs="宋体"/>
                <w:sz w:val="18"/>
                <w:szCs w:val="18"/>
              </w:rPr>
              <w:t>伏销售</w:t>
            </w:r>
            <w:proofErr w:type="gramEnd"/>
            <w:r>
              <w:rPr>
                <w:rFonts w:ascii="宋体" w:eastAsia="宋体" w:hAnsi="宋体" w:cs="宋体"/>
                <w:sz w:val="18"/>
                <w:szCs w:val="18"/>
              </w:rPr>
              <w:t>及技术服务</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新疆华孚纺织有限公司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阿瓦提华</w:t>
            </w:r>
            <w:proofErr w:type="gramStart"/>
            <w:r>
              <w:rPr>
                <w:rFonts w:ascii="宋体" w:eastAsia="宋体" w:hAnsi="宋体" w:cs="宋体"/>
                <w:sz w:val="18"/>
                <w:szCs w:val="18"/>
              </w:rPr>
              <w:t>孚</w:t>
            </w:r>
            <w:proofErr w:type="gramEnd"/>
            <w:r>
              <w:rPr>
                <w:rFonts w:ascii="宋体" w:eastAsia="宋体" w:hAnsi="宋体" w:cs="宋体"/>
                <w:sz w:val="18"/>
                <w:szCs w:val="18"/>
              </w:rPr>
              <w:t>纺织有限公司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新疆阿瓦提县</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新疆阿瓦提县</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新疆华孚棉业集团有限公司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新疆乌鲁木齐</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新疆乌鲁木齐</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新疆华孚</w:t>
            </w:r>
            <w:proofErr w:type="gramStart"/>
            <w:r>
              <w:rPr>
                <w:rFonts w:ascii="宋体" w:eastAsia="宋体" w:hAnsi="宋体" w:cs="宋体"/>
                <w:sz w:val="18"/>
                <w:szCs w:val="18"/>
              </w:rPr>
              <w:t>恒丰棉业</w:t>
            </w:r>
            <w:proofErr w:type="gramEnd"/>
            <w:r>
              <w:rPr>
                <w:rFonts w:ascii="宋体" w:eastAsia="宋体" w:hAnsi="宋体" w:cs="宋体"/>
                <w:sz w:val="18"/>
                <w:szCs w:val="18"/>
              </w:rPr>
              <w:t>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库车纵横棉业有限责任公司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沙雅银花棉业</w:t>
            </w:r>
            <w:proofErr w:type="gramEnd"/>
            <w:r>
              <w:rPr>
                <w:rFonts w:ascii="宋体" w:eastAsia="宋体" w:hAnsi="宋体" w:cs="宋体"/>
                <w:sz w:val="18"/>
                <w:szCs w:val="18"/>
              </w:rPr>
              <w:t>有限责任公司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7,960,000.00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胡杨河</w:t>
            </w:r>
            <w:proofErr w:type="gramEnd"/>
            <w:r>
              <w:rPr>
                <w:rFonts w:ascii="宋体" w:eastAsia="宋体" w:hAnsi="宋体" w:cs="宋体"/>
                <w:sz w:val="18"/>
                <w:szCs w:val="18"/>
              </w:rPr>
              <w:t>华孚</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w:t>
            </w:r>
            <w:proofErr w:type="gramStart"/>
            <w:r>
              <w:rPr>
                <w:rFonts w:ascii="宋体" w:eastAsia="宋体" w:hAnsi="宋体" w:cs="宋体"/>
                <w:sz w:val="18"/>
                <w:szCs w:val="18"/>
              </w:rPr>
              <w:t>胡杨河</w:t>
            </w:r>
            <w:proofErr w:type="gramEnd"/>
            <w:r>
              <w:rPr>
                <w:rFonts w:ascii="宋体" w:eastAsia="宋体" w:hAnsi="宋体" w:cs="宋体"/>
                <w:sz w:val="18"/>
                <w:szCs w:val="18"/>
              </w:rPr>
              <w:t>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w:t>
            </w:r>
            <w:proofErr w:type="gramStart"/>
            <w:r>
              <w:rPr>
                <w:rFonts w:ascii="宋体" w:eastAsia="宋体" w:hAnsi="宋体" w:cs="宋体"/>
                <w:sz w:val="18"/>
                <w:szCs w:val="18"/>
              </w:rPr>
              <w:t>胡杨河</w:t>
            </w:r>
            <w:proofErr w:type="gramEnd"/>
            <w:r>
              <w:rPr>
                <w:rFonts w:ascii="宋体" w:eastAsia="宋体" w:hAnsi="宋体" w:cs="宋体"/>
                <w:sz w:val="18"/>
                <w:szCs w:val="18"/>
              </w:rPr>
              <w:t>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浙江聚丰贸易有限公司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石河子华孚</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石河子市华孚</w:t>
            </w:r>
            <w:proofErr w:type="gramStart"/>
            <w:r>
              <w:rPr>
                <w:rFonts w:ascii="宋体" w:eastAsia="宋体" w:hAnsi="宋体" w:cs="宋体"/>
                <w:sz w:val="18"/>
                <w:szCs w:val="18"/>
              </w:rPr>
              <w:t>宏丰棉业</w:t>
            </w:r>
            <w:proofErr w:type="gramEnd"/>
            <w:r>
              <w:rPr>
                <w:rFonts w:ascii="宋体" w:eastAsia="宋体" w:hAnsi="宋体" w:cs="宋体"/>
                <w:sz w:val="18"/>
                <w:szCs w:val="18"/>
              </w:rPr>
              <w:t>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浙江维新贸易有限公司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浙江省宁波市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浙江省宁波市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浙江恒孚贸易有限公司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新疆棉花交</w:t>
            </w:r>
            <w:r>
              <w:rPr>
                <w:rFonts w:ascii="宋体" w:eastAsia="宋体" w:hAnsi="宋体" w:cs="宋体"/>
                <w:sz w:val="18"/>
                <w:szCs w:val="18"/>
              </w:rPr>
              <w:lastRenderedPageBreak/>
              <w:t>易市场有限责任公司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50,000,000</w:t>
            </w:r>
            <w:r>
              <w:rPr>
                <w:rFonts w:ascii="宋体" w:eastAsia="宋体" w:hAnsi="宋体" w:cs="宋体"/>
                <w:sz w:val="18"/>
                <w:szCs w:val="18"/>
              </w:rPr>
              <w:lastRenderedPageBreak/>
              <w:t>.00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新疆乌鲁木</w:t>
            </w:r>
            <w:r>
              <w:rPr>
                <w:rFonts w:ascii="宋体" w:eastAsia="宋体" w:hAnsi="宋体" w:cs="宋体"/>
                <w:sz w:val="18"/>
                <w:szCs w:val="18"/>
              </w:rPr>
              <w:lastRenderedPageBreak/>
              <w:t>齐</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新疆乌鲁木</w:t>
            </w:r>
            <w:r>
              <w:rPr>
                <w:rFonts w:ascii="宋体" w:eastAsia="宋体" w:hAnsi="宋体" w:cs="宋体"/>
                <w:sz w:val="18"/>
                <w:szCs w:val="18"/>
              </w:rPr>
              <w:lastRenderedPageBreak/>
              <w:t>齐</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70.40%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lastRenderedPageBreak/>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阿克苏银星物流有限公司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物流运输业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40.80%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深圳华孚网链投资有限公司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淮北华孚供应链管理有限公司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浙江服人网络科技有限公司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阿克苏华孚科技有限公司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上海清澄时尚生活用品有限公司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上海市上海市</w:t>
            </w:r>
            <w:proofErr w:type="gramEnd"/>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上海市上海市</w:t>
            </w:r>
            <w:proofErr w:type="gramEnd"/>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批发业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66.70%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江苏</w:t>
            </w:r>
            <w:proofErr w:type="gramStart"/>
            <w:r>
              <w:rPr>
                <w:rFonts w:ascii="宋体" w:eastAsia="宋体" w:hAnsi="宋体" w:cs="宋体"/>
                <w:sz w:val="18"/>
                <w:szCs w:val="18"/>
              </w:rPr>
              <w:t>清澄家</w:t>
            </w:r>
            <w:proofErr w:type="gramEnd"/>
            <w:r>
              <w:rPr>
                <w:rFonts w:ascii="宋体" w:eastAsia="宋体" w:hAnsi="宋体" w:cs="宋体"/>
                <w:sz w:val="18"/>
                <w:szCs w:val="18"/>
              </w:rPr>
              <w:t>生活用品有限公司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江苏省无锡市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江苏省无锡市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批发业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66.70%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浙江鲲驰互联科技有限公司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45,472,700.00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科技推广和应用服务业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新疆阿大数字科技产业园有限公司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浙江昊载科技有限公司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科技推广和应用服务业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诸暨中</w:t>
            </w:r>
            <w:proofErr w:type="gramStart"/>
            <w:r>
              <w:rPr>
                <w:rFonts w:ascii="宋体" w:eastAsia="宋体" w:hAnsi="宋体" w:cs="宋体"/>
                <w:sz w:val="18"/>
                <w:szCs w:val="18"/>
              </w:rPr>
              <w:t>昊</w:t>
            </w:r>
            <w:proofErr w:type="gramEnd"/>
            <w:r>
              <w:rPr>
                <w:rFonts w:ascii="宋体" w:eastAsia="宋体" w:hAnsi="宋体" w:cs="宋体"/>
                <w:sz w:val="18"/>
                <w:szCs w:val="18"/>
              </w:rPr>
              <w:t>投资管理有限公司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投资管理</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诸暨市承影电子商务有限公司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零售业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诸暨</w:t>
            </w:r>
            <w:proofErr w:type="gramStart"/>
            <w:r>
              <w:rPr>
                <w:rFonts w:ascii="宋体" w:eastAsia="宋体" w:hAnsi="宋体" w:cs="宋体"/>
                <w:sz w:val="18"/>
                <w:szCs w:val="18"/>
              </w:rPr>
              <w:t>市渊虹</w:t>
            </w:r>
            <w:proofErr w:type="gramEnd"/>
            <w:r>
              <w:rPr>
                <w:rFonts w:ascii="宋体" w:eastAsia="宋体" w:hAnsi="宋体" w:cs="宋体"/>
                <w:sz w:val="18"/>
                <w:szCs w:val="18"/>
              </w:rPr>
              <w:t>电子商务有限公司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零售业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杭州名</w:t>
            </w:r>
            <w:proofErr w:type="gramStart"/>
            <w:r>
              <w:rPr>
                <w:rFonts w:ascii="宋体" w:eastAsia="宋体" w:hAnsi="宋体" w:cs="宋体"/>
                <w:sz w:val="18"/>
                <w:szCs w:val="18"/>
              </w:rPr>
              <w:t>鲲</w:t>
            </w:r>
            <w:proofErr w:type="gramEnd"/>
            <w:r>
              <w:rPr>
                <w:rFonts w:ascii="宋体" w:eastAsia="宋体" w:hAnsi="宋体" w:cs="宋体"/>
                <w:sz w:val="18"/>
                <w:szCs w:val="18"/>
              </w:rPr>
              <w:t>科技有限公司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软件开发</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51.96%</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诸暨市卡拉美拉科技有限公司</w:t>
            </w:r>
            <w:proofErr w:type="gramEnd"/>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8,345,295.00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零售业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诸暨市龙渊电子商务有限公司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零售业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诸暨市湛</w:t>
            </w:r>
            <w:proofErr w:type="gramStart"/>
            <w:r>
              <w:rPr>
                <w:rFonts w:ascii="宋体" w:eastAsia="宋体" w:hAnsi="宋体" w:cs="宋体"/>
                <w:sz w:val="18"/>
                <w:szCs w:val="18"/>
              </w:rPr>
              <w:t>泸</w:t>
            </w:r>
            <w:proofErr w:type="gramEnd"/>
            <w:r>
              <w:rPr>
                <w:rFonts w:ascii="宋体" w:eastAsia="宋体" w:hAnsi="宋体" w:cs="宋体"/>
                <w:sz w:val="18"/>
                <w:szCs w:val="18"/>
              </w:rPr>
              <w:t>电子商务有限公司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零售业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诸暨市</w:t>
            </w:r>
            <w:proofErr w:type="gramStart"/>
            <w:r>
              <w:rPr>
                <w:rFonts w:ascii="宋体" w:eastAsia="宋体" w:hAnsi="宋体" w:cs="宋体"/>
                <w:sz w:val="18"/>
                <w:szCs w:val="18"/>
              </w:rPr>
              <w:t>赤</w:t>
            </w:r>
            <w:proofErr w:type="gramEnd"/>
            <w:r>
              <w:rPr>
                <w:rFonts w:ascii="宋体" w:eastAsia="宋体" w:hAnsi="宋体" w:cs="宋体"/>
                <w:sz w:val="18"/>
                <w:szCs w:val="18"/>
              </w:rPr>
              <w:t>霄电子商务有限公司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批发业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诸暨市新亭电子商务有限公司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批发业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诸暨</w:t>
            </w:r>
            <w:proofErr w:type="gramStart"/>
            <w:r>
              <w:rPr>
                <w:rFonts w:ascii="宋体" w:eastAsia="宋体" w:hAnsi="宋体" w:cs="宋体"/>
                <w:sz w:val="18"/>
                <w:szCs w:val="18"/>
              </w:rPr>
              <w:t>市纯钧</w:t>
            </w:r>
            <w:proofErr w:type="gramEnd"/>
            <w:r>
              <w:rPr>
                <w:rFonts w:ascii="宋体" w:eastAsia="宋体" w:hAnsi="宋体" w:cs="宋体"/>
                <w:sz w:val="18"/>
                <w:szCs w:val="18"/>
              </w:rPr>
              <w:t>电子商务有限公司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零售业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诸暨市雪霁电子商务有限公司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零售业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诸暨</w:t>
            </w:r>
            <w:proofErr w:type="gramStart"/>
            <w:r>
              <w:rPr>
                <w:rFonts w:ascii="宋体" w:eastAsia="宋体" w:hAnsi="宋体" w:cs="宋体"/>
                <w:sz w:val="18"/>
                <w:szCs w:val="18"/>
              </w:rPr>
              <w:t>市胜跃纺织</w:t>
            </w:r>
            <w:proofErr w:type="gramEnd"/>
            <w:r>
              <w:rPr>
                <w:rFonts w:ascii="宋体" w:eastAsia="宋体" w:hAnsi="宋体" w:cs="宋体"/>
                <w:sz w:val="18"/>
                <w:szCs w:val="18"/>
              </w:rPr>
              <w:t>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杭州</w:t>
            </w:r>
            <w:proofErr w:type="gramStart"/>
            <w:r>
              <w:rPr>
                <w:rFonts w:ascii="宋体" w:eastAsia="宋体" w:hAnsi="宋体" w:cs="宋体"/>
                <w:sz w:val="18"/>
                <w:szCs w:val="18"/>
              </w:rPr>
              <w:t>一</w:t>
            </w:r>
            <w:proofErr w:type="gramEnd"/>
            <w:r>
              <w:rPr>
                <w:rFonts w:ascii="宋体" w:eastAsia="宋体" w:hAnsi="宋体" w:cs="宋体"/>
                <w:sz w:val="18"/>
                <w:szCs w:val="18"/>
              </w:rPr>
              <w:t>酷服饰有限公司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批发业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45.80%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浙江昊驰信息咨询有限公司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批发业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浙江昊创贸易有限公司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批发业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浙江广孚贸易有限公司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批发业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浙江易孚贸易有限公司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15,500,000.00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45.47%</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新疆天孚棉花</w:t>
            </w:r>
            <w:proofErr w:type="gramEnd"/>
            <w:r>
              <w:rPr>
                <w:rFonts w:ascii="宋体" w:eastAsia="宋体" w:hAnsi="宋体" w:cs="宋体"/>
                <w:sz w:val="18"/>
                <w:szCs w:val="18"/>
              </w:rPr>
              <w:t>供应链股份有限公司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新疆棉花产业集团岳普湖棉业有限公司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新疆棉花产业集团伽师棉业有限公司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22,660,000.00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w:t>
            </w:r>
            <w:proofErr w:type="gramStart"/>
            <w:r>
              <w:rPr>
                <w:rFonts w:ascii="宋体" w:eastAsia="宋体" w:hAnsi="宋体" w:cs="宋体"/>
                <w:sz w:val="18"/>
                <w:szCs w:val="18"/>
              </w:rPr>
              <w:t>菁英电商管理</w:t>
            </w:r>
            <w:proofErr w:type="gramEnd"/>
            <w:r>
              <w:rPr>
                <w:rFonts w:ascii="宋体" w:eastAsia="宋体" w:hAnsi="宋体" w:cs="宋体"/>
                <w:sz w:val="18"/>
                <w:szCs w:val="18"/>
              </w:rPr>
              <w:t>服务有限公司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金华市</w:t>
            </w:r>
            <w:proofErr w:type="gramStart"/>
            <w:r>
              <w:rPr>
                <w:rFonts w:ascii="宋体" w:eastAsia="宋体" w:hAnsi="宋体" w:cs="宋体"/>
                <w:sz w:val="18"/>
                <w:szCs w:val="18"/>
              </w:rPr>
              <w:t>菁</w:t>
            </w:r>
            <w:proofErr w:type="gramEnd"/>
            <w:r>
              <w:rPr>
                <w:rFonts w:ascii="宋体" w:eastAsia="宋体" w:hAnsi="宋体" w:cs="宋体"/>
                <w:sz w:val="18"/>
                <w:szCs w:val="18"/>
              </w:rPr>
              <w:t>英职业技能培训学校有限公司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综合服务</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金华市</w:t>
            </w:r>
            <w:proofErr w:type="gramStart"/>
            <w:r>
              <w:rPr>
                <w:rFonts w:ascii="宋体" w:eastAsia="宋体" w:hAnsi="宋体" w:cs="宋体"/>
                <w:sz w:val="18"/>
                <w:szCs w:val="18"/>
              </w:rPr>
              <w:t>菁</w:t>
            </w:r>
            <w:proofErr w:type="gramEnd"/>
            <w:r>
              <w:rPr>
                <w:rFonts w:ascii="宋体" w:eastAsia="宋体" w:hAnsi="宋体" w:cs="宋体"/>
                <w:sz w:val="18"/>
                <w:szCs w:val="18"/>
              </w:rPr>
              <w:t>英物业发展有限公司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综合服务</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w:t>
            </w:r>
            <w:proofErr w:type="gramStart"/>
            <w:r>
              <w:rPr>
                <w:rFonts w:ascii="宋体" w:eastAsia="宋体" w:hAnsi="宋体" w:cs="宋体"/>
                <w:sz w:val="18"/>
                <w:szCs w:val="18"/>
              </w:rPr>
              <w:t>菁英创业</w:t>
            </w:r>
            <w:proofErr w:type="gramEnd"/>
            <w:r>
              <w:rPr>
                <w:rFonts w:ascii="宋体" w:eastAsia="宋体" w:hAnsi="宋体" w:cs="宋体"/>
                <w:sz w:val="18"/>
                <w:szCs w:val="18"/>
              </w:rPr>
              <w:t>服务有限公司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商务服务业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35.70%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浙江铭孚针纺有限公司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深圳市天计数</w:t>
            </w:r>
            <w:proofErr w:type="gramStart"/>
            <w:r>
              <w:rPr>
                <w:rFonts w:ascii="宋体" w:eastAsia="宋体" w:hAnsi="宋体" w:cs="宋体"/>
                <w:sz w:val="18"/>
                <w:szCs w:val="18"/>
              </w:rPr>
              <w:t>智科技</w:t>
            </w:r>
            <w:proofErr w:type="gramEnd"/>
            <w:r>
              <w:rPr>
                <w:rFonts w:ascii="宋体" w:eastAsia="宋体" w:hAnsi="宋体" w:cs="宋体"/>
                <w:sz w:val="18"/>
                <w:szCs w:val="18"/>
              </w:rPr>
              <w:t>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软件和信息技术服务业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淮北中新纺织有限公司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高可续（上海）棉花有限公司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上海市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上海市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奎屯锦孚纺织有限公司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230,343,900.00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新疆奎屯市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新疆奎屯市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浙江果实设</w:t>
            </w:r>
            <w:r>
              <w:rPr>
                <w:rFonts w:ascii="宋体" w:eastAsia="宋体" w:hAnsi="宋体" w:cs="宋体"/>
                <w:sz w:val="18"/>
                <w:szCs w:val="18"/>
              </w:rPr>
              <w:lastRenderedPageBreak/>
              <w:t>计有限公司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10,000,000</w:t>
            </w:r>
            <w:r>
              <w:rPr>
                <w:rFonts w:ascii="宋体" w:eastAsia="宋体" w:hAnsi="宋体" w:cs="宋体"/>
                <w:sz w:val="18"/>
                <w:szCs w:val="18"/>
              </w:rPr>
              <w:lastRenderedPageBreak/>
              <w:t>.00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浙江省绍兴</w:t>
            </w:r>
            <w:r>
              <w:rPr>
                <w:rFonts w:ascii="宋体" w:eastAsia="宋体" w:hAnsi="宋体" w:cs="宋体"/>
                <w:sz w:val="18"/>
                <w:szCs w:val="18"/>
              </w:rPr>
              <w:lastRenderedPageBreak/>
              <w:t>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浙江省绍兴</w:t>
            </w:r>
            <w:r>
              <w:rPr>
                <w:rFonts w:ascii="宋体" w:eastAsia="宋体" w:hAnsi="宋体" w:cs="宋体"/>
                <w:sz w:val="18"/>
                <w:szCs w:val="18"/>
              </w:rPr>
              <w:lastRenderedPageBreak/>
              <w:t>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设计</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浙江果实纺织科技有限公司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批发业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浙江其实科技有限公司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批发业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新疆华孚宏丰农业开发有限公司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新疆维吾尔自治区阿克苏地区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新疆维吾尔自治区阿克苏地区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新疆泽孚棉花有限公司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新疆维吾尔自治区喀什地区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新疆维吾尔自治区喀什地区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新疆盛孚棉业有限公司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40,920,000.00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新疆维吾尔自治区喀什地区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新疆维吾尔自治区喀什地区</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淮北华孚新能源有限公司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浙江达米安品牌管理有限公司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品牌管理</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平湖市科新贸易有限公司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浙江省平湖市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浙江省平湖市</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纺织业</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投资设立</w:t>
            </w:r>
          </w:p>
        </w:tc>
      </w:tr>
    </w:tbl>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在子公司的持股比例不同于表决权比例的说明：</w:t>
      </w:r>
    </w:p>
    <w:p w:rsidR="000F627F" w:rsidRDefault="000F627F">
      <w:pPr>
        <w:pStyle w:val="a3"/>
        <w:divId w:val="775176401"/>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持有半数或以下表决权但仍控制被投资单位、以及持有半数以上表决权但不控制被投资单位的依据：</w:t>
      </w:r>
    </w:p>
    <w:p w:rsidR="000F627F" w:rsidRDefault="000F627F">
      <w:pPr>
        <w:pStyle w:val="a3"/>
        <w:divId w:val="719207437"/>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对于纳入合并范围的重要的结构化主体，控制的依据：</w:t>
      </w:r>
    </w:p>
    <w:p w:rsidR="000F627F" w:rsidRDefault="000F627F">
      <w:pPr>
        <w:pStyle w:val="a3"/>
        <w:divId w:val="1483426630"/>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确定公司是代理人还是委托人的依据：</w:t>
      </w:r>
    </w:p>
    <w:p w:rsidR="000F627F" w:rsidRDefault="000F627F">
      <w:pPr>
        <w:pStyle w:val="a3"/>
        <w:divId w:val="1244225085"/>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pStyle w:val="a3"/>
        <w:divId w:val="2048216720"/>
        <w:rPr>
          <w:sz w:val="18"/>
          <w:szCs w:val="18"/>
        </w:rPr>
      </w:pP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487" w:name="_Toc989374"/>
      <w:r>
        <w:rPr>
          <w:rFonts w:ascii="宋体" w:eastAsia="宋体" w:hAnsi="宋体" w:cs="宋体"/>
          <w:b/>
          <w:bCs/>
          <w:sz w:val="18"/>
          <w:szCs w:val="18"/>
        </w:rPr>
        <w:t>（2） 重要的非全资子公司</w:t>
      </w:r>
      <w:bookmarkEnd w:id="48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少数股东持股比例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本期归属于少数股东的损益</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本期向少数股东宣告分派的股利</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期末少数股东权益余额</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浙江鲲驰互联科技有限公司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21.63%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-3,134,512.63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110,088,763.81</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浙江</w:t>
            </w:r>
            <w:proofErr w:type="gramStart"/>
            <w:r>
              <w:rPr>
                <w:rFonts w:ascii="宋体" w:eastAsia="宋体" w:hAnsi="宋体" w:cs="宋体"/>
                <w:sz w:val="18"/>
                <w:szCs w:val="18"/>
              </w:rPr>
              <w:t>菁英电商管理</w:t>
            </w:r>
            <w:proofErr w:type="gramEnd"/>
            <w:r>
              <w:rPr>
                <w:rFonts w:ascii="宋体" w:eastAsia="宋体" w:hAnsi="宋体" w:cs="宋体"/>
                <w:sz w:val="18"/>
                <w:szCs w:val="18"/>
              </w:rPr>
              <w:t>服务有限公司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1,453,794.54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10,040,502.07</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w:t>
            </w:r>
            <w:proofErr w:type="gramStart"/>
            <w:r>
              <w:rPr>
                <w:rFonts w:ascii="宋体" w:eastAsia="宋体" w:hAnsi="宋体" w:cs="宋体"/>
                <w:sz w:val="18"/>
                <w:szCs w:val="18"/>
              </w:rPr>
              <w:t>菁英创业</w:t>
            </w:r>
            <w:proofErr w:type="gramEnd"/>
            <w:r>
              <w:rPr>
                <w:rFonts w:ascii="宋体" w:eastAsia="宋体" w:hAnsi="宋体" w:cs="宋体"/>
                <w:sz w:val="18"/>
                <w:szCs w:val="18"/>
              </w:rPr>
              <w:t>服务有限公司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-2,714,391.10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1,223,158.54</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新疆天孚棉花</w:t>
            </w:r>
            <w:proofErr w:type="gramEnd"/>
            <w:r>
              <w:rPr>
                <w:rFonts w:ascii="宋体" w:eastAsia="宋体" w:hAnsi="宋体" w:cs="宋体"/>
                <w:sz w:val="18"/>
                <w:szCs w:val="18"/>
              </w:rPr>
              <w:t>供应链股份有限公司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99,538,005.93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71,101,935.50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64,303,040.49</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新疆棉花交易市场有限责任公司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29.60%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-749,510.52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20,319,972.45</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阿克苏银星物流有限公司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59.20%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5,299,445.16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73,477,804.38</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越南隆安英鸿投资股份有限公司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2,188,086.64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19,591,551.26</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金华市</w:t>
            </w:r>
            <w:proofErr w:type="gramStart"/>
            <w:r>
              <w:rPr>
                <w:rFonts w:ascii="宋体" w:eastAsia="宋体" w:hAnsi="宋体" w:cs="宋体"/>
                <w:sz w:val="18"/>
                <w:szCs w:val="18"/>
              </w:rPr>
              <w:t>菁</w:t>
            </w:r>
            <w:proofErr w:type="gramEnd"/>
            <w:r>
              <w:rPr>
                <w:rFonts w:ascii="宋体" w:eastAsia="宋体" w:hAnsi="宋体" w:cs="宋体"/>
                <w:sz w:val="18"/>
                <w:szCs w:val="18"/>
              </w:rPr>
              <w:t>英物业发展有限公司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1,053,576.94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1,425,141.25</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深圳市天计数</w:t>
            </w:r>
            <w:proofErr w:type="gramStart"/>
            <w:r>
              <w:rPr>
                <w:rFonts w:ascii="宋体" w:eastAsia="宋体" w:hAnsi="宋体" w:cs="宋体"/>
                <w:sz w:val="18"/>
                <w:szCs w:val="18"/>
              </w:rPr>
              <w:t>智科技</w:t>
            </w:r>
            <w:proofErr w:type="gramEnd"/>
            <w:r>
              <w:rPr>
                <w:rFonts w:ascii="宋体" w:eastAsia="宋体" w:hAnsi="宋体" w:cs="宋体"/>
                <w:sz w:val="18"/>
                <w:szCs w:val="18"/>
              </w:rPr>
              <w:t>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-187,210.33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4,677,740.53</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新疆泽孚棉花有限公司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-154,964.16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-3,208,407.42</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新疆盛孚棉业有限公司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1,443,760.04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377,843.90</w:t>
            </w:r>
          </w:p>
        </w:tc>
      </w:tr>
    </w:tbl>
    <w:p w:rsidR="000F627F" w:rsidRPr="00587BBA" w:rsidRDefault="000F627F" w:rsidP="00587BBA">
      <w:pPr>
        <w:spacing w:before="100" w:after="100" w:line="240" w:lineRule="exact"/>
        <w:rPr>
          <w:rFonts w:ascii="宋体" w:eastAsia="宋体" w:hAnsi="宋体" w:cs="宋体"/>
          <w:sz w:val="18"/>
          <w:szCs w:val="18"/>
        </w:rPr>
      </w:pPr>
      <w:r>
        <w:rPr>
          <w:rFonts w:ascii="宋体" w:eastAsia="宋体" w:hAnsi="宋体" w:cs="宋体"/>
          <w:sz w:val="18"/>
          <w:szCs w:val="18"/>
        </w:rPr>
        <w:t>子公司少数股东的持股比例不同于表决权比例的说明：</w:t>
      </w:r>
      <w:r>
        <w:rPr>
          <w:rFonts w:hint="eastAsia"/>
          <w:sz w:val="18"/>
          <w:szCs w:val="18"/>
        </w:rPr>
        <w:t>无。</w:t>
      </w:r>
    </w:p>
    <w:p w:rsidR="000F627F" w:rsidRPr="00587BBA" w:rsidRDefault="000F627F" w:rsidP="00587BBA">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488" w:name="_Toc989375"/>
      <w:r>
        <w:rPr>
          <w:rFonts w:ascii="宋体" w:eastAsia="宋体" w:hAnsi="宋体" w:cs="宋体"/>
          <w:b/>
          <w:bCs/>
          <w:sz w:val="18"/>
          <w:szCs w:val="18"/>
        </w:rPr>
        <w:t>（3） 重要非全资子公司的主要财务信息</w:t>
      </w:r>
      <w:bookmarkEnd w:id="488"/>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1"/>
        <w:gridCol w:w="741"/>
        <w:gridCol w:w="741"/>
        <w:gridCol w:w="741"/>
        <w:gridCol w:w="741"/>
        <w:gridCol w:w="741"/>
        <w:gridCol w:w="744"/>
        <w:gridCol w:w="741"/>
        <w:gridCol w:w="741"/>
        <w:gridCol w:w="741"/>
        <w:gridCol w:w="741"/>
        <w:gridCol w:w="741"/>
        <w:gridCol w:w="744"/>
      </w:tblGrid>
      <w:tr w:rsidR="000D58D8">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浙江鲲驰互联科技有限公司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552,295,039.16</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246,463,417.32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798,758,456.48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256,790,788.22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6,649,651.90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263,440,440.12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747,388,415.28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335,079,362.27</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1,082,467,777.55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475,846,915.43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237,842,341.30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713,689,256.73</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浙江</w:t>
            </w:r>
            <w:proofErr w:type="gramStart"/>
            <w:r>
              <w:rPr>
                <w:rFonts w:ascii="宋体" w:eastAsia="宋体" w:hAnsi="宋体" w:cs="宋体"/>
                <w:sz w:val="18"/>
                <w:szCs w:val="18"/>
              </w:rPr>
              <w:t>菁英电商管理</w:t>
            </w:r>
            <w:proofErr w:type="gramEnd"/>
            <w:r>
              <w:rPr>
                <w:rFonts w:ascii="宋体" w:eastAsia="宋体" w:hAnsi="宋体" w:cs="宋体"/>
                <w:sz w:val="18"/>
                <w:szCs w:val="18"/>
              </w:rPr>
              <w:t>服务有限公司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14,188,580.27</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14,919,937.75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29,108,518.02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8,617,697.47</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8,617,697.47</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20,164,290.78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15,538,660.60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35,702,951.38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8,179,058.47</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8,179,058.47</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浙江</w:t>
            </w:r>
            <w:proofErr w:type="gramStart"/>
            <w:r>
              <w:rPr>
                <w:rFonts w:ascii="宋体" w:eastAsia="宋体" w:hAnsi="宋体" w:cs="宋体"/>
                <w:sz w:val="18"/>
                <w:szCs w:val="18"/>
              </w:rPr>
              <w:t>菁英创业</w:t>
            </w:r>
            <w:proofErr w:type="gramEnd"/>
            <w:r>
              <w:rPr>
                <w:rFonts w:ascii="宋体" w:eastAsia="宋体" w:hAnsi="宋体" w:cs="宋体"/>
                <w:sz w:val="18"/>
                <w:szCs w:val="18"/>
              </w:rPr>
              <w:t>服务有限公司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14,349,470.44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11,800,889.27</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26,150,359.71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6,512,944.63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7,066,406.45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13,579,351.08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10,727,749.32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9,371,081.34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20,098,830.66</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3,306,373.98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3,306,373.98</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w:t>
            </w:r>
            <w:proofErr w:type="gramStart"/>
            <w:r>
              <w:rPr>
                <w:rFonts w:ascii="宋体" w:eastAsia="宋体" w:hAnsi="宋体" w:cs="宋体"/>
                <w:sz w:val="18"/>
                <w:szCs w:val="18"/>
              </w:rPr>
              <w:t>新疆天孚</w:t>
            </w:r>
            <w:r>
              <w:rPr>
                <w:rFonts w:ascii="宋体" w:eastAsia="宋体" w:hAnsi="宋体" w:cs="宋体"/>
                <w:sz w:val="18"/>
                <w:szCs w:val="18"/>
              </w:rPr>
              <w:lastRenderedPageBreak/>
              <w:t>棉花</w:t>
            </w:r>
            <w:proofErr w:type="gramEnd"/>
            <w:r>
              <w:rPr>
                <w:rFonts w:ascii="宋体" w:eastAsia="宋体" w:hAnsi="宋体" w:cs="宋体"/>
                <w:sz w:val="18"/>
                <w:szCs w:val="18"/>
              </w:rPr>
              <w:t>供应链股份有限公司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130,172,358.30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281,338,169.39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411,510,527.69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280,279,832.79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280,279,832.79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140,143,191.77</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279,974,587.11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420,117,778.88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206,990,204.95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206,990,204.95</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 新疆棉花交易市场有限责任公司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264,668,726.60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6,438,863.73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271,107,590.33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200,705,107.46</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200,705,107.46</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469,922,186.34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3,630,965.53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473,553,151.87</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400,618,538.85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400,618,538.85</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阿克苏银星物流有限公司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61,592,716.82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79,567,302.68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141,160,019.50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15,072,030.52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15,072,030.52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58,651,812.88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81,362,833.92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140,014,646.80</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11,793,211.27</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11,793,211.27</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越南隆安英鸿投资股份有限公司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199,123,715.76</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157,379,060.16</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356,502,775.92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250,219,974.37</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250,219,974.37</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25,601,109.11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307,931,598.63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333,532,707.74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246,933,629.36</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246,933,629.36</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金华市</w:t>
            </w:r>
            <w:proofErr w:type="gramStart"/>
            <w:r>
              <w:rPr>
                <w:rFonts w:ascii="宋体" w:eastAsia="宋体" w:hAnsi="宋体" w:cs="宋体"/>
                <w:sz w:val="18"/>
                <w:szCs w:val="18"/>
              </w:rPr>
              <w:t>菁</w:t>
            </w:r>
            <w:proofErr w:type="gramEnd"/>
            <w:r>
              <w:rPr>
                <w:rFonts w:ascii="宋体" w:eastAsia="宋体" w:hAnsi="宋体" w:cs="宋体"/>
                <w:sz w:val="18"/>
                <w:szCs w:val="18"/>
              </w:rPr>
              <w:t>英物业发展有限公司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3,518,303.53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3,518,303.53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409,851.98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409,851.98</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1,230,606.75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1,230,606.75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272,312.23</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272,312.23</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深圳市天计数</w:t>
            </w:r>
            <w:proofErr w:type="gramStart"/>
            <w:r>
              <w:rPr>
                <w:rFonts w:ascii="宋体" w:eastAsia="宋体" w:hAnsi="宋体" w:cs="宋体"/>
                <w:sz w:val="18"/>
                <w:szCs w:val="18"/>
              </w:rPr>
              <w:t>智科技</w:t>
            </w:r>
            <w:proofErr w:type="gramEnd"/>
            <w:r>
              <w:rPr>
                <w:rFonts w:ascii="宋体" w:eastAsia="宋体" w:hAnsi="宋体" w:cs="宋体"/>
                <w:sz w:val="18"/>
                <w:szCs w:val="18"/>
              </w:rPr>
              <w:t>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10,993,493.42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151,196.92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11,144,690.34</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1,598,281.09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1,598,281.09</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11,069,317.81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23,842.95</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11,093,160.76</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1,164,689.61</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1,164,689.61</w:t>
            </w:r>
          </w:p>
        </w:tc>
      </w:tr>
      <w:tr w:rsidR="000D58D8">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新疆泽孚棉花有限公司</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40,694,435.62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151,196.92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46,062,735.02</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4,718,936.27</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4,718,936.27</w:t>
            </w: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bl>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0D58D8">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浙江鲲驰互联</w:t>
            </w:r>
            <w:r>
              <w:rPr>
                <w:rFonts w:ascii="宋体" w:eastAsia="宋体" w:hAnsi="宋体" w:cs="宋体"/>
                <w:sz w:val="18"/>
                <w:szCs w:val="18"/>
              </w:rPr>
              <w:lastRenderedPageBreak/>
              <w:t>科技有限公司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534,098,986.91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-8,058,799</w:t>
            </w:r>
            <w:r>
              <w:rPr>
                <w:rFonts w:ascii="宋体" w:eastAsia="宋体" w:hAnsi="宋体" w:cs="宋体"/>
                <w:sz w:val="18"/>
                <w:szCs w:val="18"/>
              </w:rPr>
              <w:lastRenderedPageBreak/>
              <w:t>.03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-8,058,799</w:t>
            </w:r>
            <w:r>
              <w:rPr>
                <w:rFonts w:ascii="宋体" w:eastAsia="宋体" w:hAnsi="宋体" w:cs="宋体"/>
                <w:sz w:val="18"/>
                <w:szCs w:val="18"/>
              </w:rPr>
              <w:lastRenderedPageBreak/>
              <w:t>.03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79,535,371.68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568,321,079.86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-9,173,551</w:t>
            </w:r>
            <w:r>
              <w:rPr>
                <w:rFonts w:ascii="宋体" w:eastAsia="宋体" w:hAnsi="宋体" w:cs="宋体"/>
                <w:sz w:val="18"/>
                <w:szCs w:val="18"/>
              </w:rPr>
              <w:lastRenderedPageBreak/>
              <w:t>.47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-9,173,551</w:t>
            </w:r>
            <w:r>
              <w:rPr>
                <w:rFonts w:ascii="宋体" w:eastAsia="宋体" w:hAnsi="宋体" w:cs="宋体"/>
                <w:sz w:val="18"/>
                <w:szCs w:val="18"/>
              </w:rPr>
              <w:lastRenderedPageBreak/>
              <w:t>.47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-58,808,00</w:t>
            </w:r>
            <w:r>
              <w:rPr>
                <w:rFonts w:ascii="宋体" w:eastAsia="宋体" w:hAnsi="宋体" w:cs="宋体"/>
                <w:sz w:val="18"/>
                <w:szCs w:val="18"/>
              </w:rPr>
              <w:lastRenderedPageBreak/>
              <w:t>6.38</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  浙江</w:t>
            </w:r>
            <w:proofErr w:type="gramStart"/>
            <w:r>
              <w:rPr>
                <w:rFonts w:ascii="宋体" w:eastAsia="宋体" w:hAnsi="宋体" w:cs="宋体"/>
                <w:sz w:val="18"/>
                <w:szCs w:val="18"/>
              </w:rPr>
              <w:t>菁英电商管理</w:t>
            </w:r>
            <w:proofErr w:type="gramEnd"/>
            <w:r>
              <w:rPr>
                <w:rFonts w:ascii="宋体" w:eastAsia="宋体" w:hAnsi="宋体" w:cs="宋体"/>
                <w:sz w:val="18"/>
                <w:szCs w:val="18"/>
              </w:rPr>
              <w:t>服务有限公司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10,673,851.30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2,966,927.64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2,966,927.64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3,805,164.11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9,550,520.87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2,423,834.57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2,423,834.57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3,121,845.25</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浙江</w:t>
            </w:r>
            <w:proofErr w:type="gramStart"/>
            <w:r>
              <w:rPr>
                <w:rFonts w:ascii="宋体" w:eastAsia="宋体" w:hAnsi="宋体" w:cs="宋体"/>
                <w:sz w:val="18"/>
                <w:szCs w:val="18"/>
              </w:rPr>
              <w:t>菁英创业</w:t>
            </w:r>
            <w:proofErr w:type="gramEnd"/>
            <w:r>
              <w:rPr>
                <w:rFonts w:ascii="宋体" w:eastAsia="宋体" w:hAnsi="宋体" w:cs="宋体"/>
                <w:sz w:val="18"/>
                <w:szCs w:val="18"/>
              </w:rPr>
              <w:t>服务有限公司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6,128,879.26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-4,221,448.05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-4,221,448.05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3,280,432.59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5,747,779.03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-1,813,570.54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-1,813,570.54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4,271,825.86</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w:t>
            </w:r>
            <w:proofErr w:type="gramStart"/>
            <w:r>
              <w:rPr>
                <w:rFonts w:ascii="宋体" w:eastAsia="宋体" w:hAnsi="宋体" w:cs="宋体"/>
                <w:sz w:val="18"/>
                <w:szCs w:val="18"/>
              </w:rPr>
              <w:t>新疆天孚棉花</w:t>
            </w:r>
            <w:proofErr w:type="gramEnd"/>
            <w:r>
              <w:rPr>
                <w:rFonts w:ascii="宋体" w:eastAsia="宋体" w:hAnsi="宋体" w:cs="宋体"/>
                <w:sz w:val="18"/>
                <w:szCs w:val="18"/>
              </w:rPr>
              <w:t>供应链股份有限公司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67,401,803.39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203,138,787.61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203,138,787.61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218,374,704.94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17,549,867.23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-1,946,954.20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-1,946,954.20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-891,801.25</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新疆棉花交易市场有限责任公司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3,302,270,964.31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-2,532,130.15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-2,532,130.15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12,847,356.18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2,906,848,754.11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-6,077,395.72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-6,077,395.72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-44,590,201.60</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阿克苏银星物流有限公司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31,304,410.38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8,951,765.48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8,951,765.48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14,294,401.71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22,723,720.78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8,721,625.11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8,721,625.11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9,374,301.35</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越南隆安英鸿投资股份有限公司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165,295,867.50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21,880,866.36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21,880,866.36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-17,005,733.89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-1,315,102.61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-1,315,102.61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-168,989,953.50</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金华市</w:t>
            </w:r>
            <w:proofErr w:type="gramStart"/>
            <w:r>
              <w:rPr>
                <w:rFonts w:ascii="宋体" w:eastAsia="宋体" w:hAnsi="宋体" w:cs="宋体"/>
                <w:sz w:val="18"/>
                <w:szCs w:val="18"/>
              </w:rPr>
              <w:t>菁</w:t>
            </w:r>
            <w:proofErr w:type="gramEnd"/>
            <w:r>
              <w:rPr>
                <w:rFonts w:ascii="宋体" w:eastAsia="宋体" w:hAnsi="宋体" w:cs="宋体"/>
                <w:sz w:val="18"/>
                <w:szCs w:val="18"/>
              </w:rPr>
              <w:t>英物业发展有限公司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3,200,062.65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2,150,157.03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2,150,157.03</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3,104,767.78</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1,407,836.27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758,294.52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758,294.52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206,845.00</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深圳市天计数</w:t>
            </w:r>
            <w:proofErr w:type="gramStart"/>
            <w:r>
              <w:rPr>
                <w:rFonts w:ascii="宋体" w:eastAsia="宋体" w:hAnsi="宋体" w:cs="宋体"/>
                <w:sz w:val="18"/>
                <w:szCs w:val="18"/>
              </w:rPr>
              <w:t>智科技</w:t>
            </w:r>
            <w:proofErr w:type="gramEnd"/>
            <w:r>
              <w:rPr>
                <w:rFonts w:ascii="宋体" w:eastAsia="宋体" w:hAnsi="宋体" w:cs="宋体"/>
                <w:sz w:val="18"/>
                <w:szCs w:val="18"/>
              </w:rPr>
              <w:t>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8,173,908.51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-382,061.90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-382,061.90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238,896.51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3,055,245.34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-71,528.85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-71,528.85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606,934.46</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新疆泽孚棉花有限公司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-316,253.39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-316,253.39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251,343.87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bl>
    <w:p w:rsidR="000F627F" w:rsidRPr="00587BBA" w:rsidRDefault="000F627F" w:rsidP="00587BBA">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489" w:name="_Toc989376"/>
      <w:r>
        <w:rPr>
          <w:rFonts w:ascii="宋体" w:eastAsia="宋体" w:hAnsi="宋体" w:cs="宋体"/>
          <w:b/>
          <w:bCs/>
          <w:sz w:val="18"/>
          <w:szCs w:val="18"/>
        </w:rPr>
        <w:t>（4） 使用企业集团资产和清偿企业集团债务的重大限制</w:t>
      </w:r>
      <w:bookmarkEnd w:id="489"/>
    </w:p>
    <w:p w:rsidR="000F627F" w:rsidRDefault="000F627F">
      <w:pPr>
        <w:pStyle w:val="a3"/>
        <w:divId w:val="743142993"/>
        <w:rPr>
          <w:sz w:val="18"/>
          <w:szCs w:val="18"/>
        </w:rPr>
      </w:pP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490" w:name="_Toc989377"/>
      <w:r>
        <w:rPr>
          <w:rFonts w:ascii="宋体" w:eastAsia="宋体" w:hAnsi="宋体" w:cs="宋体"/>
          <w:b/>
          <w:bCs/>
          <w:sz w:val="18"/>
          <w:szCs w:val="18"/>
        </w:rPr>
        <w:t>（5） 向纳入合并财务报表范围的结构化主体提供的财务支持或其他支持</w:t>
      </w:r>
      <w:bookmarkEnd w:id="490"/>
    </w:p>
    <w:p w:rsidR="000F627F" w:rsidRDefault="000F627F">
      <w:pPr>
        <w:pStyle w:val="a3"/>
        <w:divId w:val="770927882"/>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pStyle w:val="a3"/>
        <w:divId w:val="1155991897"/>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491" w:name="_Toc989378"/>
      <w:r>
        <w:rPr>
          <w:rFonts w:ascii="宋体" w:hAnsi="宋体" w:cs="宋体"/>
          <w:b/>
          <w:bCs/>
        </w:rPr>
        <w:lastRenderedPageBreak/>
        <w:t>2、在子公司的所有者权益份额发生变化且仍控制子公司的交易</w:t>
      </w:r>
      <w:bookmarkEnd w:id="491"/>
    </w:p>
    <w:p w:rsidR="000D58D8" w:rsidRDefault="000F627F">
      <w:pPr>
        <w:keepNext/>
        <w:keepLines/>
        <w:spacing w:before="300" w:after="300" w:line="280" w:lineRule="exact"/>
        <w:outlineLvl w:val="3"/>
        <w:rPr>
          <w:rFonts w:ascii="宋体" w:eastAsia="宋体" w:hAnsi="宋体" w:cs="宋体"/>
          <w:b/>
          <w:bCs/>
          <w:sz w:val="18"/>
          <w:szCs w:val="18"/>
        </w:rPr>
      </w:pPr>
      <w:bookmarkStart w:id="492" w:name="_Toc989379"/>
      <w:r>
        <w:rPr>
          <w:rFonts w:ascii="宋体" w:eastAsia="宋体" w:hAnsi="宋体" w:cs="宋体"/>
          <w:b/>
          <w:bCs/>
          <w:sz w:val="18"/>
          <w:szCs w:val="18"/>
        </w:rPr>
        <w:t>（1） 在子公司所有者权益份额发生变化的情况说明</w:t>
      </w:r>
      <w:bookmarkEnd w:id="492"/>
    </w:p>
    <w:p w:rsidR="000F627F" w:rsidRDefault="000F627F">
      <w:pPr>
        <w:pStyle w:val="a3"/>
        <w:divId w:val="766803119"/>
        <w:rPr>
          <w:sz w:val="18"/>
          <w:szCs w:val="18"/>
        </w:rPr>
      </w:pPr>
      <w:r>
        <w:rPr>
          <w:rFonts w:hint="eastAsia"/>
          <w:sz w:val="18"/>
          <w:szCs w:val="18"/>
        </w:rPr>
        <w:t>本公司合法持有子公司阿克苏银星物流有限公司51%的股权，2023年5月将持有的其中10.2%股权以1172.57万元转让给吉安供应链管理淮安有限公司。</w:t>
      </w:r>
    </w:p>
    <w:p w:rsidR="000D58D8" w:rsidRDefault="000F627F">
      <w:pPr>
        <w:keepNext/>
        <w:keepLines/>
        <w:spacing w:before="300" w:after="300" w:line="280" w:lineRule="exact"/>
        <w:outlineLvl w:val="3"/>
        <w:rPr>
          <w:rFonts w:ascii="宋体" w:eastAsia="宋体" w:hAnsi="宋体" w:cs="宋体"/>
          <w:b/>
          <w:bCs/>
          <w:sz w:val="18"/>
          <w:szCs w:val="18"/>
        </w:rPr>
      </w:pPr>
      <w:bookmarkStart w:id="493" w:name="_Toc989380"/>
      <w:r>
        <w:rPr>
          <w:rFonts w:ascii="宋体" w:eastAsia="宋体" w:hAnsi="宋体" w:cs="宋体"/>
          <w:b/>
          <w:bCs/>
          <w:sz w:val="18"/>
          <w:szCs w:val="18"/>
        </w:rPr>
        <w:t>（2） 交易对于少数股东权益及归属于母公司所有者权益的影响</w:t>
      </w:r>
      <w:bookmarkEnd w:id="493"/>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center"/>
              <w:rPr>
                <w:rFonts w:ascii="宋体" w:eastAsia="宋体" w:hAnsi="宋体" w:cs="宋体"/>
                <w:sz w:val="18"/>
                <w:szCs w:val="18"/>
              </w:rPr>
            </w:pP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购买成本/处置对价</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--现金</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11,725,700.00</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--非现金资产的公允价值</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购买成本/处置对价合计</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11,725,700.00</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减：按取得/处置的股权比例计算的子公司净资产份额</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307CB7">
            <w:pPr>
              <w:spacing w:line="240" w:lineRule="exact"/>
              <w:jc w:val="right"/>
              <w:rPr>
                <w:rFonts w:ascii="宋体" w:eastAsia="宋体" w:hAnsi="宋体" w:cs="宋体"/>
                <w:sz w:val="18"/>
                <w:szCs w:val="18"/>
              </w:rPr>
            </w:pPr>
            <w:r w:rsidRPr="00307CB7">
              <w:rPr>
                <w:rFonts w:ascii="宋体" w:eastAsia="宋体" w:hAnsi="宋体" w:cs="宋体"/>
                <w:sz w:val="18"/>
                <w:szCs w:val="18"/>
              </w:rPr>
              <w:t>11,689,325.47</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差额</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307CB7">
            <w:pPr>
              <w:spacing w:line="240" w:lineRule="exact"/>
              <w:jc w:val="right"/>
              <w:rPr>
                <w:rFonts w:ascii="宋体" w:eastAsia="宋体" w:hAnsi="宋体" w:cs="宋体"/>
                <w:sz w:val="18"/>
                <w:szCs w:val="18"/>
              </w:rPr>
            </w:pPr>
            <w:r w:rsidRPr="00307CB7">
              <w:rPr>
                <w:rFonts w:ascii="宋体" w:eastAsia="宋体" w:hAnsi="宋体" w:cs="宋体"/>
                <w:sz w:val="18"/>
                <w:szCs w:val="18"/>
              </w:rPr>
              <w:t>36,374.53</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其中：调整资本公积</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307CB7">
            <w:pPr>
              <w:spacing w:line="240" w:lineRule="exact"/>
              <w:jc w:val="right"/>
              <w:rPr>
                <w:rFonts w:ascii="宋体" w:eastAsia="宋体" w:hAnsi="宋体" w:cs="宋体"/>
                <w:sz w:val="18"/>
                <w:szCs w:val="18"/>
              </w:rPr>
            </w:pPr>
            <w:r w:rsidRPr="00307CB7">
              <w:rPr>
                <w:rFonts w:ascii="宋体" w:eastAsia="宋体" w:hAnsi="宋体" w:cs="宋体"/>
                <w:sz w:val="18"/>
                <w:szCs w:val="18"/>
              </w:rPr>
              <w:t>36,374.53</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调整盈余公积</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调整未分配利润</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bl>
    <w:p w:rsidR="000F627F" w:rsidRPr="00587BBA" w:rsidRDefault="000F627F" w:rsidP="00587BBA">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494" w:name="_Toc989381"/>
      <w:r>
        <w:rPr>
          <w:rFonts w:ascii="宋体" w:hAnsi="宋体" w:cs="宋体"/>
          <w:b/>
          <w:bCs/>
        </w:rPr>
        <w:t>3、在合营安排或联营企业中的权益</w:t>
      </w:r>
      <w:bookmarkEnd w:id="494"/>
    </w:p>
    <w:p w:rsidR="000D58D8" w:rsidRDefault="000F627F">
      <w:pPr>
        <w:keepNext/>
        <w:keepLines/>
        <w:spacing w:before="300" w:after="300" w:line="280" w:lineRule="exact"/>
        <w:outlineLvl w:val="3"/>
        <w:rPr>
          <w:rFonts w:ascii="宋体" w:eastAsia="宋体" w:hAnsi="宋体" w:cs="宋体"/>
          <w:b/>
          <w:bCs/>
          <w:szCs w:val="21"/>
        </w:rPr>
      </w:pPr>
      <w:bookmarkStart w:id="495" w:name="_Toc989382"/>
      <w:r>
        <w:rPr>
          <w:rFonts w:ascii="宋体" w:eastAsia="宋体" w:hAnsi="宋体" w:cs="宋体"/>
          <w:b/>
          <w:bCs/>
          <w:szCs w:val="21"/>
        </w:rPr>
        <w:t>（1） 重要的合营企业或联营企业</w:t>
      </w:r>
      <w:bookmarkEnd w:id="49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0D58D8">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合营企业或联营企业名称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对合营企业或联营企业投资的会计处理方法</w:t>
            </w:r>
          </w:p>
        </w:tc>
      </w:tr>
      <w:tr w:rsidR="000D58D8">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福田实业（集团）有限公司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境内外</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纱线生产贸易</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17.30%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权益法核算</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江苏科孚纺织品贸易有限公司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江苏省常州市</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江苏省常州市</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权益法核算</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w:t>
            </w:r>
            <w:proofErr w:type="gramStart"/>
            <w:r>
              <w:rPr>
                <w:rFonts w:ascii="宋体" w:eastAsia="宋体" w:hAnsi="宋体" w:cs="宋体"/>
                <w:sz w:val="18"/>
                <w:szCs w:val="18"/>
              </w:rPr>
              <w:t>华尚产业</w:t>
            </w:r>
            <w:proofErr w:type="gramEnd"/>
            <w:r>
              <w:rPr>
                <w:rFonts w:ascii="宋体" w:eastAsia="宋体" w:hAnsi="宋体" w:cs="宋体"/>
                <w:sz w:val="18"/>
                <w:szCs w:val="18"/>
              </w:rPr>
              <w:t>运营有限公司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园区管理及供应链</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权益法核算</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在合营企业或联营企业的持股比例不同于表决权比例的说明：</w:t>
      </w:r>
    </w:p>
    <w:p w:rsidR="000F627F" w:rsidRDefault="000F627F">
      <w:pPr>
        <w:pStyle w:val="a3"/>
        <w:divId w:val="237639688"/>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持有20%以下表决权但具有重大影响，或者持有20%或以上表决权但不具有重大影响的依据：</w:t>
      </w:r>
    </w:p>
    <w:p w:rsidR="000F627F" w:rsidRDefault="000F627F">
      <w:pPr>
        <w:pStyle w:val="a3"/>
        <w:spacing w:before="0" w:beforeAutospacing="0" w:after="0" w:afterAutospacing="0"/>
        <w:ind w:firstLine="420"/>
        <w:jc w:val="both"/>
        <w:divId w:val="1779249294"/>
      </w:pPr>
      <w:r>
        <w:rPr>
          <w:rFonts w:hint="eastAsia"/>
          <w:sz w:val="18"/>
          <w:szCs w:val="18"/>
        </w:rPr>
        <w:t>本公司持有福田实业（集团）有限公司（以下简称福田实业）17.30%的股权，对福田实业的表决权比例亦为17.30%。虽然该比例低于20%，但由于本公司在福田实业董事会中派有代表并参与对乙公司财务和经营政策的决策，所以本公司能够对乙公司施加重大影响,故采用权益法核算。</w:t>
      </w:r>
    </w:p>
    <w:p w:rsidR="000D58D8" w:rsidRDefault="000F627F">
      <w:pPr>
        <w:keepNext/>
        <w:keepLines/>
        <w:spacing w:before="300" w:after="300" w:line="280" w:lineRule="exact"/>
        <w:outlineLvl w:val="3"/>
        <w:rPr>
          <w:rFonts w:ascii="宋体" w:eastAsia="宋体" w:hAnsi="宋体" w:cs="宋体"/>
          <w:b/>
          <w:bCs/>
          <w:szCs w:val="21"/>
        </w:rPr>
      </w:pPr>
      <w:bookmarkStart w:id="496" w:name="_Toc989383"/>
      <w:r>
        <w:rPr>
          <w:rFonts w:ascii="宋体" w:eastAsia="宋体" w:hAnsi="宋体" w:cs="宋体"/>
          <w:b/>
          <w:bCs/>
          <w:szCs w:val="21"/>
        </w:rPr>
        <w:lastRenderedPageBreak/>
        <w:t>（2） 重要合营企业的主要财务信息</w:t>
      </w:r>
      <w:bookmarkEnd w:id="49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587BBA">
        <w:rPr>
          <w:rFonts w:ascii="宋体" w:eastAsia="宋体" w:hAnsi="宋体" w:cs="宋体"/>
          <w:sz w:val="18"/>
          <w:szCs w:val="18"/>
        </w:rPr>
        <w:t>无</w:t>
      </w:r>
    </w:p>
    <w:p w:rsidR="000F627F" w:rsidRDefault="000F627F">
      <w:pPr>
        <w:divId w:val="1481995151"/>
        <w:rPr>
          <w:sz w:val="18"/>
          <w:szCs w:val="18"/>
        </w:rPr>
      </w:pPr>
    </w:p>
    <w:p w:rsidR="000D58D8" w:rsidRDefault="000F627F">
      <w:pPr>
        <w:keepNext/>
        <w:keepLines/>
        <w:spacing w:before="300" w:after="300" w:line="280" w:lineRule="exact"/>
        <w:outlineLvl w:val="3"/>
        <w:rPr>
          <w:rFonts w:ascii="宋体" w:eastAsia="宋体" w:hAnsi="宋体" w:cs="宋体"/>
          <w:b/>
          <w:bCs/>
          <w:szCs w:val="21"/>
        </w:rPr>
      </w:pPr>
      <w:bookmarkStart w:id="497" w:name="_Toc989384"/>
      <w:r>
        <w:rPr>
          <w:rFonts w:ascii="宋体" w:eastAsia="宋体" w:hAnsi="宋体" w:cs="宋体"/>
          <w:b/>
          <w:bCs/>
          <w:szCs w:val="21"/>
        </w:rPr>
        <w:t>（3） 重要联营企业的主要财务信息</w:t>
      </w:r>
      <w:bookmarkEnd w:id="49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0D58D8">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江苏科孚纺织品贸易有限公司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浙江</w:t>
            </w:r>
            <w:proofErr w:type="gramStart"/>
            <w:r>
              <w:rPr>
                <w:rFonts w:ascii="宋体" w:eastAsia="宋体" w:hAnsi="宋体" w:cs="宋体"/>
                <w:sz w:val="18"/>
                <w:szCs w:val="18"/>
              </w:rPr>
              <w:t>华尚产业</w:t>
            </w:r>
            <w:proofErr w:type="gramEnd"/>
            <w:r>
              <w:rPr>
                <w:rFonts w:ascii="宋体" w:eastAsia="宋体" w:hAnsi="宋体" w:cs="宋体"/>
                <w:sz w:val="18"/>
                <w:szCs w:val="18"/>
              </w:rPr>
              <w:t>运营有限公司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江苏科孚纺织品贸易有限公司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浙江</w:t>
            </w:r>
            <w:proofErr w:type="gramStart"/>
            <w:r>
              <w:rPr>
                <w:rFonts w:ascii="宋体" w:eastAsia="宋体" w:hAnsi="宋体" w:cs="宋体"/>
                <w:sz w:val="18"/>
                <w:szCs w:val="18"/>
              </w:rPr>
              <w:t>华尚产业</w:t>
            </w:r>
            <w:proofErr w:type="gramEnd"/>
            <w:r>
              <w:rPr>
                <w:rFonts w:ascii="宋体" w:eastAsia="宋体" w:hAnsi="宋体" w:cs="宋体"/>
                <w:sz w:val="18"/>
                <w:szCs w:val="18"/>
              </w:rPr>
              <w:t>运营有限公司</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47,415,975.74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100,123,998.46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50,445,498.98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99,987,478.31</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47,197.66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61,356.94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47,463,173.40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100,123,998.46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50,506,855.92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99,987,478.31</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2,416,713.87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136,622.31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5,468,031.14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2,416,713.87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136,622.31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5,468,031.14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45,046,459.53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99,987,376.15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45,038,824.78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99,987,478.31</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31,176,654.64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39,994,950.46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31,171,654.25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39,994,991.32</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对联营企业权益投资的账面价值</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45,040,232.91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39,994,950.46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45,034,947.32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39,994,991.32</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存在公开报价的联营企业权益投资的公允价值</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241,679,258.52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117,618.45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114,161,776.15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7,634.74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-102.16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12,601.68</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-12,521.69</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本年度收到的来自联营企业的股利</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Pr="00587BBA" w:rsidRDefault="000F627F" w:rsidP="00587BBA">
      <w:pPr>
        <w:spacing w:before="100" w:after="100" w:line="240" w:lineRule="exact"/>
        <w:divId w:val="1830365156"/>
        <w:rPr>
          <w:rFonts w:ascii="宋体" w:eastAsia="宋体" w:hAnsi="宋体" w:cs="宋体"/>
          <w:sz w:val="18"/>
          <w:szCs w:val="18"/>
        </w:rPr>
      </w:pPr>
      <w:r w:rsidRPr="00587BBA">
        <w:rPr>
          <w:rFonts w:ascii="宋体" w:eastAsia="宋体" w:hAnsi="宋体" w:cs="宋体" w:hint="eastAsia"/>
          <w:sz w:val="18"/>
          <w:szCs w:val="18"/>
        </w:rPr>
        <w:t>联营企业福田实业</w:t>
      </w:r>
      <w:r w:rsidRPr="00587BBA">
        <w:rPr>
          <w:rFonts w:ascii="宋体" w:eastAsia="宋体" w:hAnsi="宋体" w:cs="宋体"/>
          <w:sz w:val="18"/>
          <w:szCs w:val="18"/>
        </w:rPr>
        <w:t>(</w:t>
      </w:r>
      <w:r w:rsidRPr="00587BBA">
        <w:rPr>
          <w:rFonts w:ascii="宋体" w:eastAsia="宋体" w:hAnsi="宋体" w:cs="宋体" w:hint="eastAsia"/>
          <w:sz w:val="18"/>
          <w:szCs w:val="18"/>
        </w:rPr>
        <w:t>集团</w:t>
      </w:r>
      <w:r w:rsidRPr="00587BBA">
        <w:rPr>
          <w:rFonts w:ascii="宋体" w:eastAsia="宋体" w:hAnsi="宋体" w:cs="宋体"/>
          <w:sz w:val="18"/>
          <w:szCs w:val="18"/>
        </w:rPr>
        <w:t>)</w:t>
      </w:r>
      <w:r w:rsidRPr="00587BBA">
        <w:rPr>
          <w:rFonts w:ascii="宋体" w:eastAsia="宋体" w:hAnsi="宋体" w:cs="宋体" w:hint="eastAsia"/>
          <w:sz w:val="18"/>
          <w:szCs w:val="18"/>
        </w:rPr>
        <w:t>有限公司（代码：</w:t>
      </w:r>
      <w:r w:rsidRPr="00587BBA">
        <w:rPr>
          <w:rFonts w:ascii="宋体" w:eastAsia="宋体" w:hAnsi="宋体" w:cs="宋体"/>
          <w:sz w:val="18"/>
          <w:szCs w:val="18"/>
        </w:rPr>
        <w:t>HK0420</w:t>
      </w:r>
      <w:r w:rsidRPr="00587BBA">
        <w:rPr>
          <w:rFonts w:ascii="宋体" w:eastAsia="宋体" w:hAnsi="宋体" w:cs="宋体" w:hint="eastAsia"/>
          <w:sz w:val="18"/>
          <w:szCs w:val="18"/>
        </w:rPr>
        <w:t>）主要财务信息详见香港披露易：</w:t>
      </w:r>
    </w:p>
    <w:p w:rsidR="00587BBA" w:rsidRPr="00587BBA" w:rsidRDefault="000F627F" w:rsidP="00587BBA">
      <w:pPr>
        <w:spacing w:before="100" w:after="100" w:line="240" w:lineRule="exact"/>
        <w:divId w:val="1830365156"/>
        <w:rPr>
          <w:rFonts w:ascii="宋体" w:eastAsia="宋体" w:hAnsi="宋体" w:cs="宋体"/>
          <w:sz w:val="18"/>
          <w:szCs w:val="18"/>
        </w:rPr>
      </w:pPr>
      <w:r w:rsidRPr="00587BBA">
        <w:rPr>
          <w:rFonts w:ascii="宋体" w:eastAsia="宋体" w:hAnsi="宋体" w:cs="宋体"/>
          <w:sz w:val="18"/>
          <w:szCs w:val="18"/>
        </w:rPr>
        <w:t>https://www1.hkexnews.hk/listedco/listconews/sehk/2024/0322/2024032201158_c.pdf</w:t>
      </w:r>
      <w:bookmarkStart w:id="498" w:name="_Toc989385"/>
    </w:p>
    <w:p w:rsidR="000D58D8" w:rsidRDefault="000F627F">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lastRenderedPageBreak/>
        <w:t>（4） 不重要的合营企业和联营企业的汇总财务信息</w:t>
      </w:r>
      <w:bookmarkEnd w:id="498"/>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合营企业：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下列各项按持股比例计算的合计数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联营企业：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下列各项按持股比例计算的合计数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-89,736.77</w:t>
            </w:r>
          </w:p>
        </w:tc>
      </w:tr>
    </w:tbl>
    <w:p w:rsidR="000F627F" w:rsidRPr="00587BBA" w:rsidRDefault="000F627F" w:rsidP="00587BBA">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499" w:name="_Toc989386"/>
      <w:r>
        <w:rPr>
          <w:rFonts w:ascii="宋体" w:eastAsia="宋体" w:hAnsi="宋体" w:cs="宋体"/>
          <w:b/>
          <w:bCs/>
          <w:szCs w:val="21"/>
        </w:rPr>
        <w:t>（5） 合营企业或联营企业向本公司转移资金的能力存在重大限制的说明</w:t>
      </w:r>
      <w:bookmarkEnd w:id="499"/>
    </w:p>
    <w:p w:rsidR="000F627F" w:rsidRDefault="000F627F">
      <w:pPr>
        <w:pStyle w:val="a3"/>
        <w:divId w:val="2001998199"/>
        <w:rPr>
          <w:sz w:val="18"/>
          <w:szCs w:val="18"/>
        </w:rPr>
      </w:pP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500" w:name="_Toc989387"/>
      <w:r>
        <w:rPr>
          <w:rFonts w:ascii="宋体" w:eastAsia="宋体" w:hAnsi="宋体" w:cs="宋体"/>
          <w:b/>
          <w:bCs/>
          <w:szCs w:val="21"/>
        </w:rPr>
        <w:t>（6） 合营企业或联营企业发生的超额亏损</w:t>
      </w:r>
      <w:bookmarkEnd w:id="50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pStyle w:val="a3"/>
        <w:divId w:val="355737073"/>
        <w:rPr>
          <w:sz w:val="18"/>
          <w:szCs w:val="18"/>
        </w:rPr>
      </w:pP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501" w:name="_Toc989388"/>
      <w:r>
        <w:rPr>
          <w:rFonts w:ascii="宋体" w:eastAsia="宋体" w:hAnsi="宋体" w:cs="宋体"/>
          <w:b/>
          <w:bCs/>
          <w:szCs w:val="21"/>
        </w:rPr>
        <w:t>（7） 与合营企业投资相关的未确认承诺</w:t>
      </w:r>
      <w:bookmarkEnd w:id="501"/>
    </w:p>
    <w:p w:rsidR="000F627F" w:rsidRDefault="000F627F">
      <w:pPr>
        <w:pStyle w:val="a3"/>
        <w:divId w:val="737902468"/>
        <w:rPr>
          <w:sz w:val="18"/>
          <w:szCs w:val="18"/>
        </w:rPr>
      </w:pP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502" w:name="_Toc989389"/>
      <w:r>
        <w:rPr>
          <w:rFonts w:ascii="宋体" w:eastAsia="宋体" w:hAnsi="宋体" w:cs="宋体"/>
          <w:b/>
          <w:bCs/>
          <w:szCs w:val="21"/>
        </w:rPr>
        <w:t>（8） 与合营企业或联营企业投资相关的或有负债</w:t>
      </w:r>
      <w:bookmarkEnd w:id="502"/>
    </w:p>
    <w:p w:rsidR="000F627F" w:rsidRDefault="000F627F">
      <w:pPr>
        <w:pStyle w:val="a3"/>
        <w:divId w:val="380440682"/>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503" w:name="_Toc989390"/>
      <w:r>
        <w:rPr>
          <w:rFonts w:ascii="宋体" w:hAnsi="宋体" w:cs="宋体"/>
          <w:b/>
          <w:bCs/>
        </w:rPr>
        <w:t>4、重要的共同经营</w:t>
      </w:r>
      <w:bookmarkEnd w:id="50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在共同经营中的持股比例或享有的份额不同于表决权比例的说明：</w:t>
      </w:r>
    </w:p>
    <w:p w:rsidR="000F627F" w:rsidRDefault="000F627F">
      <w:pPr>
        <w:pStyle w:val="a3"/>
        <w:divId w:val="1038630778"/>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共同经营为单独主体的，分类为共同经营的依据：</w:t>
      </w:r>
    </w:p>
    <w:p w:rsidR="000F627F" w:rsidRDefault="000F627F">
      <w:pPr>
        <w:pStyle w:val="a3"/>
        <w:divId w:val="1386567175"/>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504" w:name="_Toc989391"/>
      <w:r>
        <w:rPr>
          <w:rFonts w:ascii="宋体" w:hAnsi="宋体" w:cs="宋体"/>
          <w:b/>
          <w:bCs/>
        </w:rPr>
        <w:t>5、在未纳入合并财务报表范围的结构化主体中的权益</w:t>
      </w:r>
      <w:bookmarkEnd w:id="504"/>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未纳入合并财务报表范围的结构化主体的相关说明：</w:t>
      </w:r>
    </w:p>
    <w:p w:rsidR="000F627F" w:rsidRDefault="000F627F">
      <w:pPr>
        <w:pStyle w:val="a3"/>
        <w:divId w:val="1814639876"/>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505" w:name="_Toc989392"/>
      <w:r>
        <w:rPr>
          <w:rFonts w:ascii="宋体" w:hAnsi="宋体" w:cs="宋体"/>
          <w:b/>
          <w:bCs/>
        </w:rPr>
        <w:lastRenderedPageBreak/>
        <w:t>6、其他</w:t>
      </w:r>
      <w:bookmarkEnd w:id="505"/>
    </w:p>
    <w:p w:rsidR="000F627F" w:rsidRDefault="000F627F">
      <w:pPr>
        <w:pStyle w:val="a3"/>
        <w:divId w:val="2119644277"/>
        <w:rPr>
          <w:sz w:val="18"/>
          <w:szCs w:val="18"/>
        </w:rPr>
      </w:pPr>
      <w:r>
        <w:rPr>
          <w:rFonts w:hint="eastAsia"/>
          <w:sz w:val="18"/>
          <w:szCs w:val="18"/>
        </w:rPr>
        <w:t>无。</w:t>
      </w:r>
    </w:p>
    <w:p w:rsidR="000D58D8" w:rsidRDefault="000F627F">
      <w:pPr>
        <w:pStyle w:val="2"/>
        <w:spacing w:before="300" w:after="300" w:line="320" w:lineRule="exact"/>
        <w:rPr>
          <w:rFonts w:ascii="宋体" w:eastAsia="宋体" w:hAnsi="宋体" w:cs="宋体"/>
          <w:b/>
          <w:bCs/>
          <w:sz w:val="24"/>
          <w:szCs w:val="24"/>
        </w:rPr>
      </w:pPr>
      <w:bookmarkStart w:id="506" w:name="_Toc989393"/>
      <w:r>
        <w:rPr>
          <w:rFonts w:ascii="宋体" w:eastAsia="宋体" w:hAnsi="宋体" w:cs="宋体"/>
          <w:b/>
          <w:bCs/>
          <w:sz w:val="24"/>
          <w:szCs w:val="24"/>
        </w:rPr>
        <w:t>十一、政府补助</w:t>
      </w:r>
      <w:bookmarkEnd w:id="506"/>
    </w:p>
    <w:p w:rsidR="000D58D8" w:rsidRDefault="000F627F">
      <w:pPr>
        <w:pStyle w:val="3"/>
        <w:spacing w:line="280" w:lineRule="exact"/>
        <w:jc w:val="left"/>
        <w:rPr>
          <w:rFonts w:ascii="宋体" w:hAnsi="宋体" w:cs="宋体"/>
          <w:b/>
          <w:bCs/>
        </w:rPr>
      </w:pPr>
      <w:bookmarkStart w:id="507" w:name="_Toc989394"/>
      <w:r>
        <w:rPr>
          <w:rFonts w:ascii="宋体" w:hAnsi="宋体" w:cs="宋体"/>
          <w:b/>
          <w:bCs/>
        </w:rPr>
        <w:t>1、报告期末按应收金额确认的政府补助</w:t>
      </w:r>
      <w:bookmarkEnd w:id="507"/>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应收款项的期末余额：205,694,481.34元。</w:t>
      </w:r>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未能在预计时点收到预计金额的政府补助的原因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508" w:name="_Toc989395"/>
      <w:r>
        <w:rPr>
          <w:rFonts w:ascii="宋体" w:hAnsi="宋体" w:cs="宋体"/>
          <w:b/>
          <w:bCs/>
        </w:rPr>
        <w:t>2、涉及政府补助的负债项目</w:t>
      </w:r>
      <w:bookmarkEnd w:id="508"/>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205"/>
        <w:gridCol w:w="1205"/>
        <w:gridCol w:w="1205"/>
        <w:gridCol w:w="1205"/>
        <w:gridCol w:w="1205"/>
        <w:gridCol w:w="1205"/>
        <w:gridCol w:w="1205"/>
      </w:tblGrid>
      <w:tr w:rsidR="000D58D8">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会计科目</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本期新增补助金额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本期计入营业外收入金额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本期转入其他收益金额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本期其他变动</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与资产/收益相关</w:t>
            </w:r>
          </w:p>
        </w:tc>
      </w:tr>
      <w:tr w:rsidR="000D58D8">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递延收益</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89,437,900.44</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3,559,800.00</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48,888,049.35</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8,483,334.63</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35,626,316.46</w:t>
            </w:r>
          </w:p>
        </w:tc>
        <w:tc>
          <w:tcPr>
            <w:tcW w:w="1205"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与资产相关</w:t>
            </w:r>
          </w:p>
        </w:tc>
      </w:tr>
    </w:tbl>
    <w:p w:rsidR="000D58D8" w:rsidRDefault="000F627F">
      <w:pPr>
        <w:pStyle w:val="3"/>
        <w:spacing w:line="280" w:lineRule="exact"/>
        <w:jc w:val="left"/>
        <w:rPr>
          <w:rFonts w:ascii="宋体" w:hAnsi="宋体" w:cs="宋体"/>
          <w:b/>
          <w:bCs/>
        </w:rPr>
      </w:pPr>
      <w:bookmarkStart w:id="509" w:name="_Toc989396"/>
      <w:r>
        <w:rPr>
          <w:rFonts w:ascii="宋体" w:hAnsi="宋体" w:cs="宋体"/>
          <w:b/>
          <w:bCs/>
        </w:rPr>
        <w:t>3、计入当期损益的政府补助</w:t>
      </w:r>
      <w:bookmarkEnd w:id="50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会计科目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163,566,708.82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36,812,760.16</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widowControl/>
        <w:numPr>
          <w:ilvl w:val="0"/>
          <w:numId w:val="126"/>
        </w:numPr>
        <w:spacing w:before="100" w:beforeAutospacing="1"/>
        <w:ind w:left="1440"/>
        <w:divId w:val="207227239"/>
        <w:rPr>
          <w:sz w:val="18"/>
          <w:szCs w:val="18"/>
        </w:rPr>
      </w:pPr>
    </w:p>
    <w:p w:rsidR="000F627F" w:rsidRDefault="000F627F">
      <w:pPr>
        <w:widowControl/>
        <w:numPr>
          <w:ilvl w:val="1"/>
          <w:numId w:val="126"/>
        </w:numPr>
        <w:spacing w:before="100" w:beforeAutospacing="1" w:after="100" w:afterAutospacing="1"/>
        <w:divId w:val="207227239"/>
        <w:rPr>
          <w:sz w:val="18"/>
          <w:szCs w:val="18"/>
        </w:rPr>
      </w:pPr>
      <w:r>
        <w:rPr>
          <w:rFonts w:hint="eastAsia"/>
          <w:sz w:val="18"/>
          <w:szCs w:val="18"/>
        </w:rPr>
        <w:t>涉及政府补助的负债项目</w:t>
      </w:r>
    </w:p>
    <w:p w:rsidR="000F627F" w:rsidRDefault="000F627F">
      <w:pPr>
        <w:pStyle w:val="a3"/>
        <w:divId w:val="207227239"/>
        <w:rPr>
          <w:sz w:val="18"/>
          <w:szCs w:val="18"/>
        </w:rPr>
      </w:pPr>
      <w:r>
        <w:rPr>
          <w:rFonts w:hint="eastAsia"/>
          <w:sz w:val="18"/>
          <w:szCs w:val="18"/>
        </w:rPr>
        <w:t> </w:t>
      </w:r>
    </w:p>
    <w:tbl>
      <w:tblPr>
        <w:tblpPr w:leftFromText="45" w:rightFromText="180" w:vertAnchor="text"/>
        <w:tblW w:w="5100" w:type="pct"/>
        <w:tblCellMar>
          <w:left w:w="0" w:type="dxa"/>
          <w:right w:w="0" w:type="dxa"/>
        </w:tblCellMar>
        <w:tblLook w:val="04A0" w:firstRow="1" w:lastRow="0" w:firstColumn="1" w:lastColumn="0" w:noHBand="0" w:noVBand="1"/>
        <w:tblCaption w:val="D:\大华\华孚\2023年度\TB|0-合并TB-华孚时尚股份有限公司-2023年度.xlsx|W附注模板|_jds326|0|desc|||0|1"/>
      </w:tblPr>
      <w:tblGrid>
        <w:gridCol w:w="969"/>
        <w:gridCol w:w="1386"/>
        <w:gridCol w:w="1296"/>
        <w:gridCol w:w="811"/>
        <w:gridCol w:w="1386"/>
        <w:gridCol w:w="811"/>
        <w:gridCol w:w="1296"/>
        <w:gridCol w:w="1386"/>
        <w:gridCol w:w="709"/>
      </w:tblGrid>
      <w:tr w:rsidR="000F627F" w:rsidRPr="00587BBA">
        <w:trPr>
          <w:divId w:val="207227239"/>
          <w:trHeight w:val="340"/>
          <w:tblHeader/>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补助项目</w:t>
            </w:r>
          </w:p>
        </w:tc>
        <w:tc>
          <w:tcPr>
            <w:tcW w:w="9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期初余额</w:t>
            </w:r>
          </w:p>
        </w:tc>
        <w:tc>
          <w:tcPr>
            <w:tcW w:w="9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本期新增补助金额</w:t>
            </w:r>
          </w:p>
        </w:tc>
        <w:tc>
          <w:tcPr>
            <w:tcW w:w="9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line="240" w:lineRule="atLeast"/>
              <w:ind w:left="-63" w:right="-63"/>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本期计入营业外收入金额</w:t>
            </w:r>
          </w:p>
        </w:tc>
        <w:tc>
          <w:tcPr>
            <w:tcW w:w="9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本期计入其他收益金额</w:t>
            </w:r>
          </w:p>
        </w:tc>
        <w:tc>
          <w:tcPr>
            <w:tcW w:w="9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本期冲减成本费用金额</w:t>
            </w:r>
          </w:p>
        </w:tc>
        <w:tc>
          <w:tcPr>
            <w:tcW w:w="9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加：其他变动</w:t>
            </w:r>
          </w:p>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（注</w:t>
            </w:r>
            <w:r w:rsidRPr="00587BBA">
              <w:rPr>
                <w:rFonts w:asciiTheme="minorEastAsia" w:eastAsiaTheme="minorEastAsia" w:hAnsiTheme="minorEastAsia" w:cs="Times New Roman"/>
                <w:sz w:val="18"/>
                <w:szCs w:val="18"/>
              </w:rPr>
              <w:t>1</w:t>
            </w:r>
            <w:r w:rsidRPr="00587BBA">
              <w:rPr>
                <w:rFonts w:asciiTheme="minorEastAsia" w:eastAsiaTheme="minorEastAsia" w:hAnsiTheme="minorEastAsia" w:cs="Times New Roman" w:hint="eastAsia"/>
                <w:sz w:val="18"/>
                <w:szCs w:val="18"/>
              </w:rPr>
              <w:t>）</w:t>
            </w:r>
          </w:p>
        </w:tc>
        <w:tc>
          <w:tcPr>
            <w:tcW w:w="9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期末余额</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105" w:right="-105"/>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与资产相关</w:t>
            </w:r>
            <w:r w:rsidRPr="00587BBA">
              <w:rPr>
                <w:rFonts w:asciiTheme="minorEastAsia" w:eastAsiaTheme="minorEastAsia" w:hAnsiTheme="minorEastAsia" w:cs="Times New Roman"/>
                <w:sz w:val="18"/>
                <w:szCs w:val="18"/>
              </w:rPr>
              <w:t>/</w:t>
            </w:r>
            <w:r w:rsidRPr="00587BBA">
              <w:rPr>
                <w:rFonts w:asciiTheme="minorEastAsia" w:eastAsiaTheme="minorEastAsia" w:hAnsiTheme="minorEastAsia" w:cs="Times New Roman" w:hint="eastAsia"/>
                <w:sz w:val="18"/>
                <w:szCs w:val="18"/>
              </w:rPr>
              <w:t>与收益相关</w:t>
            </w:r>
          </w:p>
        </w:tc>
      </w:tr>
      <w:tr w:rsidR="000F627F" w:rsidRPr="00587BBA">
        <w:trPr>
          <w:divId w:val="207227239"/>
          <w:trHeight w:val="34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63" w:right="-63"/>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平湖华孚拆迁补偿款</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45,341,984.33</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45,341,984.33</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105" w:right="-105"/>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与资产相关</w:t>
            </w:r>
          </w:p>
        </w:tc>
      </w:tr>
      <w:tr w:rsidR="000F627F" w:rsidRPr="00587BBA">
        <w:trPr>
          <w:divId w:val="207227239"/>
          <w:trHeight w:val="34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63" w:right="-63"/>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节能设备补贴</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9,590,898.67</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494,952.00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9,095,946.67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105" w:right="-105"/>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与资产相关</w:t>
            </w:r>
          </w:p>
        </w:tc>
      </w:tr>
      <w:tr w:rsidR="000F627F" w:rsidRPr="00587BBA">
        <w:trPr>
          <w:divId w:val="207227239"/>
          <w:trHeight w:val="34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63" w:right="-63"/>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新疆</w:t>
            </w:r>
            <w:proofErr w:type="gramStart"/>
            <w:r w:rsidRPr="00587BBA">
              <w:rPr>
                <w:rFonts w:asciiTheme="minorEastAsia" w:eastAsiaTheme="minorEastAsia" w:hAnsiTheme="minorEastAsia" w:cs="Times New Roman" w:hint="eastAsia"/>
                <w:sz w:val="18"/>
                <w:szCs w:val="18"/>
              </w:rPr>
              <w:t>六孚基础</w:t>
            </w:r>
            <w:proofErr w:type="gramEnd"/>
            <w:r w:rsidRPr="00587BBA">
              <w:rPr>
                <w:rFonts w:asciiTheme="minorEastAsia" w:eastAsiaTheme="minorEastAsia" w:hAnsiTheme="minorEastAsia" w:cs="Times New Roman" w:hint="eastAsia"/>
                <w:sz w:val="18"/>
                <w:szCs w:val="18"/>
              </w:rPr>
              <w:t>设施配套款</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4,919,838.23</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132,076.20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4,787,762.03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105" w:right="-105"/>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与资产相关</w:t>
            </w:r>
          </w:p>
        </w:tc>
      </w:tr>
      <w:tr w:rsidR="000F627F" w:rsidRPr="00587BBA">
        <w:trPr>
          <w:divId w:val="207227239"/>
          <w:trHeight w:val="34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63" w:right="-63"/>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阿克苏华孚土地补</w:t>
            </w:r>
            <w:r w:rsidRPr="00587BBA">
              <w:rPr>
                <w:rFonts w:asciiTheme="minorEastAsia" w:eastAsiaTheme="minorEastAsia" w:hAnsiTheme="minorEastAsia" w:cs="Times New Roman" w:hint="eastAsia"/>
                <w:sz w:val="18"/>
                <w:szCs w:val="18"/>
              </w:rPr>
              <w:lastRenderedPageBreak/>
              <w:t>贴款</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lastRenderedPageBreak/>
              <w:t>5,148,092.37</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133,427.89</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5,014,664.48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105" w:right="-105"/>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与资产相关</w:t>
            </w:r>
          </w:p>
        </w:tc>
      </w:tr>
      <w:tr w:rsidR="000F627F" w:rsidRPr="00587BBA">
        <w:trPr>
          <w:divId w:val="207227239"/>
          <w:trHeight w:val="34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63" w:right="-63"/>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lastRenderedPageBreak/>
              <w:t>阿克苏华孚产业技术改造资金</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8,303,388.73</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560,000.03</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7,743,388.70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105" w:right="-105"/>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与资产相关</w:t>
            </w:r>
          </w:p>
        </w:tc>
      </w:tr>
      <w:tr w:rsidR="000F627F" w:rsidRPr="00587BBA">
        <w:trPr>
          <w:divId w:val="207227239"/>
          <w:trHeight w:val="34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63" w:right="-63"/>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五家渠华孚色纱项目建设补助</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843,987.12</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228,102.24</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615,884.88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105" w:right="-105"/>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与资产相关</w:t>
            </w:r>
          </w:p>
        </w:tc>
      </w:tr>
      <w:tr w:rsidR="000F627F" w:rsidRPr="00587BBA">
        <w:trPr>
          <w:divId w:val="207227239"/>
          <w:trHeight w:val="34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63" w:right="-63"/>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新疆</w:t>
            </w:r>
            <w:proofErr w:type="gramStart"/>
            <w:r w:rsidRPr="00587BBA">
              <w:rPr>
                <w:rFonts w:asciiTheme="minorEastAsia" w:eastAsiaTheme="minorEastAsia" w:hAnsiTheme="minorEastAsia" w:cs="Times New Roman" w:hint="eastAsia"/>
                <w:sz w:val="18"/>
                <w:szCs w:val="18"/>
              </w:rPr>
              <w:t>六孚土地</w:t>
            </w:r>
            <w:proofErr w:type="gramEnd"/>
            <w:r w:rsidRPr="00587BBA">
              <w:rPr>
                <w:rFonts w:asciiTheme="minorEastAsia" w:eastAsiaTheme="minorEastAsia" w:hAnsiTheme="minorEastAsia" w:cs="Times New Roman" w:hint="eastAsia"/>
                <w:sz w:val="18"/>
                <w:szCs w:val="18"/>
              </w:rPr>
              <w:t>补贴款</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899,249.72</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21,800.04</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877,449.68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105" w:right="-105"/>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与资产相关</w:t>
            </w:r>
          </w:p>
        </w:tc>
      </w:tr>
      <w:tr w:rsidR="000F627F" w:rsidRPr="00587BBA">
        <w:trPr>
          <w:divId w:val="207227239"/>
          <w:trHeight w:val="34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63" w:right="-63"/>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九江中</w:t>
            </w:r>
            <w:proofErr w:type="gramStart"/>
            <w:r w:rsidRPr="00587BBA">
              <w:rPr>
                <w:rFonts w:asciiTheme="minorEastAsia" w:eastAsiaTheme="minorEastAsia" w:hAnsiTheme="minorEastAsia" w:cs="Times New Roman" w:hint="eastAsia"/>
                <w:sz w:val="18"/>
                <w:szCs w:val="18"/>
              </w:rPr>
              <w:t>浩</w:t>
            </w:r>
            <w:proofErr w:type="gramEnd"/>
            <w:r w:rsidRPr="00587BBA">
              <w:rPr>
                <w:rFonts w:asciiTheme="minorEastAsia" w:eastAsiaTheme="minorEastAsia" w:hAnsiTheme="minorEastAsia" w:cs="Times New Roman" w:hint="eastAsia"/>
                <w:sz w:val="18"/>
                <w:szCs w:val="18"/>
              </w:rPr>
              <w:t>支持重点承接地厂房建设款</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576,000.00</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36,000.00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540,000.00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105" w:right="-105"/>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与资产相关</w:t>
            </w:r>
          </w:p>
        </w:tc>
      </w:tr>
      <w:tr w:rsidR="000F627F" w:rsidRPr="00587BBA">
        <w:trPr>
          <w:divId w:val="207227239"/>
          <w:trHeight w:val="34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63" w:right="-63"/>
              <w:rPr>
                <w:rFonts w:asciiTheme="minorEastAsia" w:eastAsiaTheme="minorEastAsia" w:hAnsiTheme="minorEastAsia" w:cs="Times New Roman"/>
                <w:sz w:val="21"/>
                <w:szCs w:val="21"/>
              </w:rPr>
            </w:pPr>
            <w:proofErr w:type="gramStart"/>
            <w:r w:rsidRPr="00587BBA">
              <w:rPr>
                <w:rFonts w:asciiTheme="minorEastAsia" w:eastAsiaTheme="minorEastAsia" w:hAnsiTheme="minorEastAsia" w:cs="Times New Roman" w:hint="eastAsia"/>
                <w:sz w:val="18"/>
                <w:szCs w:val="18"/>
              </w:rPr>
              <w:t>浙江博忆数字化</w:t>
            </w:r>
            <w:proofErr w:type="gramEnd"/>
            <w:r w:rsidRPr="00587BBA">
              <w:rPr>
                <w:rFonts w:asciiTheme="minorEastAsia" w:eastAsiaTheme="minorEastAsia" w:hAnsiTheme="minorEastAsia" w:cs="Times New Roman" w:hint="eastAsia"/>
                <w:sz w:val="18"/>
                <w:szCs w:val="18"/>
              </w:rPr>
              <w:t>及信息化设备专项补贴</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5,978,681.68</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3,559,800.00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1,055,147.05</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8,483,334.63</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105" w:right="-105"/>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与资产相关</w:t>
            </w:r>
          </w:p>
        </w:tc>
      </w:tr>
      <w:tr w:rsidR="000F627F" w:rsidRPr="00587BBA">
        <w:trPr>
          <w:divId w:val="207227239"/>
          <w:trHeight w:val="34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63" w:right="-63"/>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阿克苏小商品</w:t>
            </w:r>
            <w:proofErr w:type="gramStart"/>
            <w:r w:rsidRPr="00587BBA">
              <w:rPr>
                <w:rFonts w:asciiTheme="minorEastAsia" w:eastAsiaTheme="minorEastAsia" w:hAnsiTheme="minorEastAsia" w:cs="Times New Roman" w:hint="eastAsia"/>
                <w:sz w:val="18"/>
                <w:szCs w:val="18"/>
              </w:rPr>
              <w:t>城设备</w:t>
            </w:r>
            <w:proofErr w:type="gramEnd"/>
            <w:r w:rsidRPr="00587BBA">
              <w:rPr>
                <w:rFonts w:asciiTheme="minorEastAsia" w:eastAsiaTheme="minorEastAsia" w:hAnsiTheme="minorEastAsia" w:cs="Times New Roman" w:hint="eastAsia"/>
                <w:sz w:val="18"/>
                <w:szCs w:val="18"/>
              </w:rPr>
              <w:t>补贴</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6,587,894.97</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739,175.01</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5,848,719.96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105" w:right="-105"/>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与资产相关</w:t>
            </w:r>
          </w:p>
        </w:tc>
      </w:tr>
      <w:tr w:rsidR="000F627F" w:rsidRPr="00587BBA">
        <w:trPr>
          <w:divId w:val="207227239"/>
          <w:trHeight w:val="34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63" w:right="-63"/>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阿克苏华孚</w:t>
            </w:r>
            <w:proofErr w:type="gramStart"/>
            <w:r w:rsidRPr="00587BBA">
              <w:rPr>
                <w:rFonts w:asciiTheme="minorEastAsia" w:eastAsiaTheme="minorEastAsia" w:hAnsiTheme="minorEastAsia" w:cs="Times New Roman"/>
                <w:sz w:val="18"/>
                <w:szCs w:val="18"/>
              </w:rPr>
              <w:t>16</w:t>
            </w:r>
            <w:r w:rsidRPr="00587BBA">
              <w:rPr>
                <w:rFonts w:asciiTheme="minorEastAsia" w:eastAsiaTheme="minorEastAsia" w:hAnsiTheme="minorEastAsia" w:cs="Times New Roman" w:hint="eastAsia"/>
                <w:sz w:val="18"/>
                <w:szCs w:val="18"/>
              </w:rPr>
              <w:t>万锭与设备</w:t>
            </w:r>
            <w:proofErr w:type="gramEnd"/>
            <w:r w:rsidRPr="00587BBA">
              <w:rPr>
                <w:rFonts w:asciiTheme="minorEastAsia" w:eastAsiaTheme="minorEastAsia" w:hAnsiTheme="minorEastAsia" w:cs="Times New Roman" w:hint="eastAsia"/>
                <w:sz w:val="18"/>
                <w:szCs w:val="18"/>
              </w:rPr>
              <w:t>补贴</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1,247,884.62</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145,384.56</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1,102,500.06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105" w:right="-105"/>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与资产相关</w:t>
            </w:r>
          </w:p>
        </w:tc>
      </w:tr>
      <w:tr w:rsidR="000F627F" w:rsidRPr="00587BBA">
        <w:trPr>
          <w:divId w:val="207227239"/>
          <w:trHeight w:val="34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63" w:right="-63"/>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合计</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89,437,900.44</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3,559,800.00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48,888,049.35</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8,483,334.63</w:t>
            </w:r>
          </w:p>
        </w:tc>
        <w:tc>
          <w:tcPr>
            <w:tcW w:w="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35,626,316.46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ind w:left="-105" w:right="-105"/>
              <w:jc w:val="right"/>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r>
    </w:tbl>
    <w:p w:rsidR="000F627F" w:rsidRDefault="000F627F">
      <w:pPr>
        <w:pStyle w:val="a3"/>
        <w:spacing w:before="0" w:beforeAutospacing="0" w:after="0" w:afterAutospacing="0" w:line="360" w:lineRule="auto"/>
        <w:ind w:firstLine="420"/>
        <w:jc w:val="both"/>
        <w:divId w:val="207227239"/>
        <w:rPr>
          <w:sz w:val="21"/>
          <w:szCs w:val="21"/>
        </w:rPr>
      </w:pPr>
      <w:r>
        <w:rPr>
          <w:rFonts w:hint="eastAsia"/>
          <w:sz w:val="18"/>
          <w:szCs w:val="18"/>
        </w:rPr>
        <w:t>注</w:t>
      </w:r>
      <w:r>
        <w:rPr>
          <w:rFonts w:ascii="Arial Narrow" w:hAnsi="Arial Narrow"/>
          <w:sz w:val="18"/>
          <w:szCs w:val="18"/>
        </w:rPr>
        <w:t>1</w:t>
      </w:r>
      <w:r>
        <w:rPr>
          <w:rFonts w:hint="eastAsia"/>
          <w:sz w:val="18"/>
          <w:szCs w:val="18"/>
        </w:rPr>
        <w:t>：其他变动中，系本期转让子公司浙江</w:t>
      </w:r>
      <w:proofErr w:type="gramStart"/>
      <w:r>
        <w:rPr>
          <w:rFonts w:hint="eastAsia"/>
          <w:sz w:val="18"/>
          <w:szCs w:val="18"/>
        </w:rPr>
        <w:t>博忆导致</w:t>
      </w:r>
      <w:proofErr w:type="gramEnd"/>
      <w:r>
        <w:rPr>
          <w:rFonts w:hint="eastAsia"/>
          <w:sz w:val="18"/>
          <w:szCs w:val="18"/>
        </w:rPr>
        <w:t>的减少。</w:t>
      </w:r>
    </w:p>
    <w:p w:rsidR="000F627F" w:rsidRDefault="000F627F">
      <w:pPr>
        <w:widowControl/>
        <w:numPr>
          <w:ilvl w:val="1"/>
          <w:numId w:val="127"/>
        </w:numPr>
        <w:spacing w:before="100" w:beforeAutospacing="1" w:after="100" w:afterAutospacing="1"/>
        <w:divId w:val="207227239"/>
        <w:rPr>
          <w:sz w:val="18"/>
          <w:szCs w:val="18"/>
        </w:rPr>
      </w:pPr>
      <w:r>
        <w:rPr>
          <w:rFonts w:hint="eastAsia"/>
          <w:sz w:val="18"/>
          <w:szCs w:val="18"/>
        </w:rPr>
        <w:t>计入当期损益的政府补助</w:t>
      </w:r>
    </w:p>
    <w:tbl>
      <w:tblPr>
        <w:tblW w:w="9821" w:type="dxa"/>
        <w:jc w:val="center"/>
        <w:tblInd w:w="1440" w:type="dxa"/>
        <w:tblCellMar>
          <w:left w:w="0" w:type="dxa"/>
          <w:right w:w="0" w:type="dxa"/>
        </w:tblCellMar>
        <w:tblLook w:val="04A0" w:firstRow="1" w:lastRow="0" w:firstColumn="1" w:lastColumn="0" w:noHBand="0" w:noVBand="1"/>
        <w:tblCaption w:val="D:\大华\华孚\2023年度\TB|0-合并TB-华孚时尚股份有限公司-2023年度.xlsx|W附注模板|_jds327|0|desc|||0|1"/>
      </w:tblPr>
      <w:tblGrid>
        <w:gridCol w:w="1964"/>
        <w:gridCol w:w="1964"/>
        <w:gridCol w:w="1964"/>
        <w:gridCol w:w="1964"/>
        <w:gridCol w:w="1965"/>
      </w:tblGrid>
      <w:tr w:rsidR="000F627F" w:rsidRPr="00587BBA" w:rsidTr="00587BBA">
        <w:trPr>
          <w:divId w:val="207227239"/>
          <w:trHeight w:val="340"/>
          <w:tblHeader/>
          <w:jc w:val="center"/>
        </w:trPr>
        <w:tc>
          <w:tcPr>
            <w:tcW w:w="1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补助项目</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会计科目</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本期发生额</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上期发生额</w:t>
            </w:r>
          </w:p>
        </w:tc>
        <w:tc>
          <w:tcPr>
            <w:tcW w:w="19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与资产相关</w:t>
            </w:r>
            <w:r w:rsidRPr="00587BBA">
              <w:rPr>
                <w:rFonts w:asciiTheme="minorEastAsia" w:eastAsiaTheme="minorEastAsia" w:hAnsiTheme="minorEastAsia" w:cs="Times New Roman"/>
                <w:sz w:val="18"/>
                <w:szCs w:val="18"/>
              </w:rPr>
              <w:t>/</w:t>
            </w:r>
          </w:p>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递延收益摊销</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48,888,049.35</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6,315,495.01</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与资产相关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用棉补贴</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50,000,000.00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生产停工补贴</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20,544,700.34</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用工补贴</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14,023,156.29</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2,715,343.54</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社保补贴</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5,738,063.65</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3,658,617.50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产业扶持政策奖励</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4,325,600.00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水费补贴</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3,565,752.50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建设补贴</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2,500,000.00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科技企业孵化器奖励</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2,000,000.00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3,567,207.60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专项激励资金</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1,710,245.00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200,000.00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租金补贴</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1,608,745.00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1,292,000.00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科技创新奖励</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1,486,500.00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proofErr w:type="gramStart"/>
            <w:r w:rsidRPr="00587BBA">
              <w:rPr>
                <w:rFonts w:asciiTheme="minorEastAsia" w:eastAsiaTheme="minorEastAsia" w:hAnsiTheme="minorEastAsia" w:cs="Times New Roman" w:hint="eastAsia"/>
                <w:sz w:val="18"/>
                <w:szCs w:val="18"/>
              </w:rPr>
              <w:t>中信保补贴</w:t>
            </w:r>
            <w:proofErr w:type="gramEnd"/>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1,038,000.00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lastRenderedPageBreak/>
              <w:t>改造补贴</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981,000.00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551,255.00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培训补贴</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980,224.29</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430,000.00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数字经济企业综合贡献奖励</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714,876.50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高</w:t>
            </w:r>
            <w:proofErr w:type="gramStart"/>
            <w:r w:rsidRPr="00587BBA">
              <w:rPr>
                <w:rFonts w:asciiTheme="minorEastAsia" w:eastAsiaTheme="minorEastAsia" w:hAnsiTheme="minorEastAsia" w:cs="Times New Roman" w:hint="eastAsia"/>
                <w:sz w:val="18"/>
                <w:szCs w:val="18"/>
              </w:rPr>
              <w:t>企发展</w:t>
            </w:r>
            <w:proofErr w:type="gramEnd"/>
            <w:r w:rsidRPr="00587BBA">
              <w:rPr>
                <w:rFonts w:asciiTheme="minorEastAsia" w:eastAsiaTheme="minorEastAsia" w:hAnsiTheme="minorEastAsia" w:cs="Times New Roman" w:hint="eastAsia"/>
                <w:sz w:val="18"/>
                <w:szCs w:val="18"/>
              </w:rPr>
              <w:t>专项补贴</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600,000.00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小</w:t>
            </w:r>
            <w:proofErr w:type="gramStart"/>
            <w:r w:rsidRPr="00587BBA">
              <w:rPr>
                <w:rFonts w:asciiTheme="minorEastAsia" w:eastAsiaTheme="minorEastAsia" w:hAnsiTheme="minorEastAsia" w:cs="Times New Roman" w:hint="eastAsia"/>
                <w:sz w:val="18"/>
                <w:szCs w:val="18"/>
              </w:rPr>
              <w:t>微企业</w:t>
            </w:r>
            <w:proofErr w:type="gramEnd"/>
            <w:r w:rsidRPr="00587BBA">
              <w:rPr>
                <w:rFonts w:asciiTheme="minorEastAsia" w:eastAsiaTheme="minorEastAsia" w:hAnsiTheme="minorEastAsia" w:cs="Times New Roman" w:hint="eastAsia"/>
                <w:sz w:val="18"/>
                <w:szCs w:val="18"/>
              </w:rPr>
              <w:t>园补贴</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592,500.00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人才补贴</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550,000.00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2,792,182.58</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proofErr w:type="gramStart"/>
            <w:r w:rsidRPr="00587BBA">
              <w:rPr>
                <w:rFonts w:asciiTheme="minorEastAsia" w:eastAsiaTheme="minorEastAsia" w:hAnsiTheme="minorEastAsia" w:cs="Times New Roman" w:hint="eastAsia"/>
                <w:sz w:val="18"/>
                <w:szCs w:val="18"/>
              </w:rPr>
              <w:t>稳岗补贴</w:t>
            </w:r>
            <w:proofErr w:type="gramEnd"/>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452,054.00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内网改造补贴</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343,100.00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科研补贴</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300,000.00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重点人群补贴</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232,700.00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400,000.00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智能化补贴</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200,000.00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480,431.48</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191,441.90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6,125,151.45</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经济和信息化</w:t>
            </w:r>
            <w:proofErr w:type="gramStart"/>
            <w:r w:rsidRPr="00587BBA">
              <w:rPr>
                <w:rFonts w:asciiTheme="minorEastAsia" w:eastAsiaTheme="minorEastAsia" w:hAnsiTheme="minorEastAsia" w:cs="Times New Roman" w:hint="eastAsia"/>
                <w:sz w:val="18"/>
                <w:szCs w:val="18"/>
              </w:rPr>
              <w:t>局奖补</w:t>
            </w:r>
            <w:proofErr w:type="gramEnd"/>
            <w:r w:rsidRPr="00587BBA">
              <w:rPr>
                <w:rFonts w:asciiTheme="minorEastAsia" w:eastAsiaTheme="minorEastAsia" w:hAnsiTheme="minorEastAsia" w:cs="Times New Roman" w:hint="eastAsia"/>
                <w:sz w:val="18"/>
                <w:szCs w:val="18"/>
              </w:rPr>
              <w:t>资金</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2,100,000.00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外贸促进政策奖励资金</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1,902,435.00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电力线路改迁补贴</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1,802,641.00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国家制造业兑现奖</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1,400,000.00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电子商务创新发展试点项目奖金</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300,000.00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民营企业发展奖励</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300,000.00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质量与标准化奖励兑现</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220,000.00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优秀企业奖励</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150,000.00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企业超产奖励</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其他收益</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110,000.00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与收益相关</w:t>
            </w:r>
          </w:p>
        </w:tc>
      </w:tr>
      <w:tr w:rsidR="000F627F" w:rsidRPr="00587BBA" w:rsidTr="00587BBA">
        <w:trPr>
          <w:divId w:val="207227239"/>
          <w:trHeight w:val="340"/>
          <w:jc w:val="center"/>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合计</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163,566,708.82</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36,812,760.16</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Pr="00587BBA" w:rsidRDefault="000F627F">
            <w:pPr>
              <w:pStyle w:val="a3"/>
              <w:spacing w:before="0" w:beforeAutospacing="0" w:after="0" w:afterAutospacing="0"/>
              <w:jc w:val="center"/>
              <w:rPr>
                <w:rFonts w:asciiTheme="minorEastAsia" w:eastAsiaTheme="minorEastAsia" w:hAnsiTheme="minorEastAsia" w:cs="Times New Roman"/>
                <w:sz w:val="21"/>
                <w:szCs w:val="21"/>
              </w:rPr>
            </w:pPr>
            <w:r w:rsidRPr="00587BBA">
              <w:rPr>
                <w:rFonts w:asciiTheme="minorEastAsia" w:eastAsiaTheme="minorEastAsia" w:hAnsiTheme="minorEastAsia" w:cs="Times New Roman"/>
                <w:sz w:val="18"/>
                <w:szCs w:val="18"/>
              </w:rPr>
              <w:t> </w:t>
            </w:r>
          </w:p>
        </w:tc>
      </w:tr>
    </w:tbl>
    <w:p w:rsidR="000D58D8" w:rsidRDefault="000F627F">
      <w:pPr>
        <w:pStyle w:val="2"/>
        <w:spacing w:before="300" w:after="300" w:line="320" w:lineRule="exact"/>
        <w:rPr>
          <w:rFonts w:ascii="宋体" w:eastAsia="宋体" w:hAnsi="宋体" w:cs="宋体"/>
          <w:b/>
          <w:bCs/>
          <w:sz w:val="24"/>
          <w:szCs w:val="24"/>
        </w:rPr>
      </w:pPr>
      <w:bookmarkStart w:id="510" w:name="_Toc989397"/>
      <w:r>
        <w:rPr>
          <w:rFonts w:ascii="宋体" w:eastAsia="宋体" w:hAnsi="宋体" w:cs="宋体"/>
          <w:b/>
          <w:bCs/>
          <w:sz w:val="24"/>
          <w:szCs w:val="24"/>
        </w:rPr>
        <w:t>十二、与金融工具相关的风险</w:t>
      </w:r>
      <w:bookmarkEnd w:id="510"/>
    </w:p>
    <w:p w:rsidR="000D58D8" w:rsidRDefault="000F627F">
      <w:pPr>
        <w:pStyle w:val="3"/>
        <w:spacing w:line="280" w:lineRule="exact"/>
        <w:jc w:val="left"/>
        <w:rPr>
          <w:rFonts w:ascii="宋体" w:hAnsi="宋体" w:cs="宋体"/>
          <w:b/>
          <w:bCs/>
        </w:rPr>
      </w:pPr>
      <w:bookmarkStart w:id="511" w:name="_Toc989398"/>
      <w:r>
        <w:rPr>
          <w:rFonts w:ascii="宋体" w:hAnsi="宋体" w:cs="宋体"/>
          <w:b/>
          <w:bCs/>
        </w:rPr>
        <w:t>1、金融工具产生的各类风险</w:t>
      </w:r>
      <w:bookmarkEnd w:id="511"/>
    </w:p>
    <w:p w:rsidR="000F627F" w:rsidRDefault="000F627F">
      <w:pPr>
        <w:widowControl/>
        <w:numPr>
          <w:ilvl w:val="1"/>
          <w:numId w:val="128"/>
        </w:numPr>
        <w:spacing w:before="100" w:beforeAutospacing="1" w:after="100" w:afterAutospacing="1"/>
        <w:divId w:val="1181703709"/>
        <w:rPr>
          <w:sz w:val="18"/>
          <w:szCs w:val="18"/>
        </w:rPr>
      </w:pPr>
      <w:r>
        <w:rPr>
          <w:rFonts w:hint="eastAsia"/>
          <w:sz w:val="18"/>
          <w:szCs w:val="18"/>
        </w:rPr>
        <w:t>．</w:t>
      </w:r>
      <w:r>
        <w:rPr>
          <w:rFonts w:ascii="Times New Roman" w:hAnsi="Times New Roman" w:cs="Times New Roman"/>
          <w:sz w:val="18"/>
          <w:szCs w:val="18"/>
        </w:rPr>
        <w:t xml:space="preserve">   </w:t>
      </w:r>
      <w:r>
        <w:rPr>
          <w:rStyle w:val="a5"/>
          <w:rFonts w:hint="eastAsia"/>
          <w:sz w:val="18"/>
          <w:szCs w:val="18"/>
        </w:rPr>
        <w:t>信用风险</w:t>
      </w:r>
    </w:p>
    <w:p w:rsidR="000F627F" w:rsidRDefault="000F627F">
      <w:pPr>
        <w:pStyle w:val="a3"/>
        <w:spacing w:before="0" w:beforeAutospacing="0" w:after="0" w:afterAutospacing="0" w:line="360" w:lineRule="auto"/>
        <w:ind w:firstLine="420"/>
        <w:jc w:val="both"/>
        <w:divId w:val="1181703709"/>
        <w:rPr>
          <w:rFonts w:ascii="Times New Roman" w:hAnsi="Times New Roman" w:cs="Times New Roman"/>
          <w:sz w:val="21"/>
          <w:szCs w:val="21"/>
        </w:rPr>
      </w:pPr>
      <w:r>
        <w:rPr>
          <w:rFonts w:cs="Times New Roman" w:hint="eastAsia"/>
          <w:sz w:val="18"/>
          <w:szCs w:val="18"/>
        </w:rPr>
        <w:t>信用风险是指交易对手未能履行合同义务而导致本公司产生财务损失的风险，管理层已制定适当的信用政策，并且不断监察信用风险的敞口。</w:t>
      </w:r>
    </w:p>
    <w:p w:rsidR="000F627F" w:rsidRDefault="000F627F">
      <w:pPr>
        <w:pStyle w:val="a3"/>
        <w:spacing w:before="0" w:beforeAutospacing="0" w:after="0" w:afterAutospacing="0" w:line="360" w:lineRule="auto"/>
        <w:ind w:firstLine="420"/>
        <w:jc w:val="both"/>
        <w:divId w:val="1181703709"/>
        <w:rPr>
          <w:rFonts w:ascii="Times New Roman" w:hAnsi="Times New Roman" w:cs="Times New Roman"/>
          <w:sz w:val="21"/>
          <w:szCs w:val="21"/>
        </w:rPr>
      </w:pPr>
      <w:r>
        <w:rPr>
          <w:rFonts w:cs="Times New Roman" w:hint="eastAsia"/>
          <w:sz w:val="18"/>
          <w:szCs w:val="18"/>
        </w:rPr>
        <w:t>本公司已采取政策只与信用良好的交易对手进行交易。另外，本公司基于对客户的财务状况、从第三方获取担保的可能性、信用记录及其它因素诸如目前市场状况等评估客户的信用资质并设置相应信用期。本公司对应收票据、应收账款余额及收回情况进行持续监控，对于信用记录不良的客户，本公司会采用书面催款、缩短信用期或取消信用期等方式，</w:t>
      </w:r>
      <w:r>
        <w:rPr>
          <w:rFonts w:cs="Times New Roman" w:hint="eastAsia"/>
          <w:sz w:val="18"/>
          <w:szCs w:val="18"/>
        </w:rPr>
        <w:lastRenderedPageBreak/>
        <w:t>以确保本公司不致面临重大信用损失。此外，本公司于每个资产负债表日审核金融资产的回收情况，以确保相关金融资产计提了充分的预期信用损失准备。</w:t>
      </w:r>
    </w:p>
    <w:p w:rsidR="000F627F" w:rsidRDefault="000F627F">
      <w:pPr>
        <w:pStyle w:val="a3"/>
        <w:spacing w:before="0" w:beforeAutospacing="0" w:after="0" w:afterAutospacing="0" w:line="360" w:lineRule="auto"/>
        <w:ind w:firstLine="420"/>
        <w:jc w:val="both"/>
        <w:divId w:val="1181703709"/>
        <w:rPr>
          <w:rFonts w:ascii="Times New Roman" w:hAnsi="Times New Roman" w:cs="Times New Roman"/>
          <w:sz w:val="21"/>
          <w:szCs w:val="21"/>
        </w:rPr>
      </w:pPr>
      <w:r>
        <w:rPr>
          <w:rFonts w:cs="Times New Roman" w:hint="eastAsia"/>
          <w:sz w:val="18"/>
          <w:szCs w:val="18"/>
        </w:rPr>
        <w:t>本公司其他金融资产包括货币资金、其他应收款、债权投资等，这些金融资产的信用风险源自于交易对手违约，最大信用风险敞口为资产负债表中每项金融资产的账面金额。除附注十一、关联方及关联交易所载本公司</w:t>
      </w:r>
      <w:proofErr w:type="gramStart"/>
      <w:r>
        <w:rPr>
          <w:rFonts w:cs="Times New Roman" w:hint="eastAsia"/>
          <w:sz w:val="18"/>
          <w:szCs w:val="18"/>
        </w:rPr>
        <w:t>作出</w:t>
      </w:r>
      <w:proofErr w:type="gramEnd"/>
      <w:r>
        <w:rPr>
          <w:rFonts w:cs="Times New Roman" w:hint="eastAsia"/>
          <w:sz w:val="18"/>
          <w:szCs w:val="18"/>
        </w:rPr>
        <w:t>的财务担保外，本公司没有提供任何其他可能令本公司承受信用风险的担保。</w:t>
      </w:r>
    </w:p>
    <w:p w:rsidR="000F627F" w:rsidRDefault="000F627F">
      <w:pPr>
        <w:pStyle w:val="a3"/>
        <w:spacing w:before="0" w:beforeAutospacing="0" w:after="0" w:afterAutospacing="0" w:line="360" w:lineRule="auto"/>
        <w:ind w:firstLine="420"/>
        <w:jc w:val="both"/>
        <w:divId w:val="1181703709"/>
        <w:rPr>
          <w:rFonts w:ascii="Times New Roman" w:hAnsi="Times New Roman" w:cs="Times New Roman"/>
          <w:sz w:val="21"/>
          <w:szCs w:val="21"/>
        </w:rPr>
      </w:pPr>
      <w:r>
        <w:rPr>
          <w:rFonts w:cs="Times New Roman" w:hint="eastAsia"/>
          <w:sz w:val="18"/>
          <w:szCs w:val="18"/>
        </w:rPr>
        <w:t>本公司持有的货币资金主要存放于国有控股银行和其他大中型商业银行等金融机构，管理层认为这些商业银行具备较高信誉和资产状况，不存在重大的信用风险，不会产生因对方单位违约而导致的任何重大损失。本公司的政策是根据各知名金融机构的市场信誉、经营规模及财务背景来控制存放当中的存款金额，以限制对任何单个金融机构的信用风险金额。</w:t>
      </w:r>
    </w:p>
    <w:p w:rsidR="000F627F" w:rsidRDefault="000F627F">
      <w:pPr>
        <w:pStyle w:val="a3"/>
        <w:spacing w:before="0" w:beforeAutospacing="0" w:after="0" w:afterAutospacing="0" w:line="360" w:lineRule="auto"/>
        <w:ind w:firstLine="420"/>
        <w:jc w:val="both"/>
        <w:divId w:val="1181703709"/>
        <w:rPr>
          <w:rFonts w:ascii="Times New Roman" w:hAnsi="Times New Roman" w:cs="Times New Roman"/>
          <w:sz w:val="21"/>
          <w:szCs w:val="21"/>
        </w:rPr>
      </w:pPr>
      <w:r>
        <w:rPr>
          <w:rFonts w:cs="Times New Roman" w:hint="eastAsia"/>
          <w:sz w:val="18"/>
          <w:szCs w:val="18"/>
        </w:rPr>
        <w:t>作为本公司信用风险资产管理的一部分，本公司利用账龄来评估应收账款和其他应收款的减值损失。本公司的应收账款和其他应收</w:t>
      </w:r>
      <w:proofErr w:type="gramStart"/>
      <w:r>
        <w:rPr>
          <w:rFonts w:cs="Times New Roman" w:hint="eastAsia"/>
          <w:sz w:val="18"/>
          <w:szCs w:val="18"/>
        </w:rPr>
        <w:t>款涉及</w:t>
      </w:r>
      <w:proofErr w:type="gramEnd"/>
      <w:r>
        <w:rPr>
          <w:rFonts w:cs="Times New Roman" w:hint="eastAsia"/>
          <w:sz w:val="18"/>
          <w:szCs w:val="18"/>
        </w:rPr>
        <w:t>大量客户，账</w:t>
      </w:r>
      <w:proofErr w:type="gramStart"/>
      <w:r>
        <w:rPr>
          <w:rFonts w:cs="Times New Roman" w:hint="eastAsia"/>
          <w:sz w:val="18"/>
          <w:szCs w:val="18"/>
        </w:rPr>
        <w:t>龄信息</w:t>
      </w:r>
      <w:proofErr w:type="gramEnd"/>
      <w:r>
        <w:rPr>
          <w:rFonts w:cs="Times New Roman" w:hint="eastAsia"/>
          <w:sz w:val="18"/>
          <w:szCs w:val="18"/>
        </w:rPr>
        <w:t>可以反映这些客户对于应收账款和其他应收款的偿付能力和坏账风险。本公司根据历史数据计算不同</w:t>
      </w:r>
      <w:proofErr w:type="gramStart"/>
      <w:r>
        <w:rPr>
          <w:rFonts w:cs="Times New Roman" w:hint="eastAsia"/>
          <w:sz w:val="18"/>
          <w:szCs w:val="18"/>
        </w:rPr>
        <w:t>账</w:t>
      </w:r>
      <w:proofErr w:type="gramEnd"/>
      <w:r>
        <w:rPr>
          <w:rFonts w:cs="Times New Roman" w:hint="eastAsia"/>
          <w:sz w:val="18"/>
          <w:szCs w:val="18"/>
        </w:rPr>
        <w:t>龄期间的历史实际坏账率，并考虑了当前及未来经济状况的预测，如国家</w:t>
      </w:r>
      <w:r>
        <w:rPr>
          <w:rFonts w:ascii="Times New Roman" w:hAnsi="Times New Roman" w:cs="Times New Roman"/>
          <w:sz w:val="18"/>
          <w:szCs w:val="18"/>
        </w:rPr>
        <w:t>GDP</w:t>
      </w:r>
      <w:r>
        <w:rPr>
          <w:rFonts w:cs="Times New Roman" w:hint="eastAsia"/>
          <w:sz w:val="18"/>
          <w:szCs w:val="18"/>
        </w:rPr>
        <w:t>增速、基建投资总额、国家货币政策等前瞻性信息进行调整得出预期损失率。对于长期应收款，本公司综合考虑结算期、合同约定付款期、债务人的财务状况和债务人所处行业的经济形势，并考虑上述前瞻性信息进行调整后对于预期信用损失进行合理评估。</w:t>
      </w:r>
    </w:p>
    <w:p w:rsidR="000F627F" w:rsidRDefault="000F627F">
      <w:pPr>
        <w:pStyle w:val="a3"/>
        <w:spacing w:before="0" w:beforeAutospacing="0" w:after="0" w:afterAutospacing="0" w:line="360" w:lineRule="auto"/>
        <w:ind w:firstLine="420"/>
        <w:jc w:val="both"/>
        <w:divId w:val="1181703709"/>
        <w:rPr>
          <w:rFonts w:ascii="Times New Roman" w:hAnsi="Times New Roman" w:cs="Times New Roman"/>
          <w:sz w:val="21"/>
          <w:szCs w:val="21"/>
        </w:rPr>
      </w:pPr>
      <w:r>
        <w:rPr>
          <w:rFonts w:cs="Times New Roman" w:hint="eastAsia"/>
          <w:sz w:val="18"/>
          <w:szCs w:val="18"/>
        </w:rPr>
        <w:t>截止</w:t>
      </w:r>
      <w:r>
        <w:rPr>
          <w:rFonts w:ascii="Times New Roman" w:hAnsi="Times New Roman" w:cs="Times New Roman"/>
          <w:sz w:val="18"/>
          <w:szCs w:val="18"/>
        </w:rPr>
        <w:t>2023</w:t>
      </w:r>
      <w:r>
        <w:rPr>
          <w:rFonts w:cs="Times New Roman" w:hint="eastAsia"/>
          <w:sz w:val="18"/>
          <w:szCs w:val="18"/>
        </w:rPr>
        <w:t>年</w:t>
      </w:r>
      <w:r>
        <w:rPr>
          <w:rFonts w:ascii="Times New Roman" w:hAnsi="Times New Roman" w:cs="Times New Roman"/>
          <w:sz w:val="18"/>
          <w:szCs w:val="18"/>
        </w:rPr>
        <w:t>12</w:t>
      </w:r>
      <w:r>
        <w:rPr>
          <w:rFonts w:cs="Times New Roman" w:hint="eastAsia"/>
          <w:sz w:val="18"/>
          <w:szCs w:val="18"/>
        </w:rPr>
        <w:t>月</w:t>
      </w:r>
      <w:r>
        <w:rPr>
          <w:rFonts w:ascii="Times New Roman" w:hAnsi="Times New Roman" w:cs="Times New Roman"/>
          <w:sz w:val="18"/>
          <w:szCs w:val="18"/>
        </w:rPr>
        <w:t>31</w:t>
      </w:r>
      <w:r>
        <w:rPr>
          <w:rFonts w:cs="Times New Roman" w:hint="eastAsia"/>
          <w:sz w:val="18"/>
          <w:szCs w:val="18"/>
        </w:rPr>
        <w:t>日，相关资产的账面余额与预期信用减值损失情况如下：</w:t>
      </w:r>
    </w:p>
    <w:tbl>
      <w:tblPr>
        <w:tblW w:w="5000" w:type="pct"/>
        <w:tblCellMar>
          <w:left w:w="0" w:type="dxa"/>
          <w:right w:w="0" w:type="dxa"/>
        </w:tblCellMar>
        <w:tblLook w:val="04A0" w:firstRow="1" w:lastRow="0" w:firstColumn="1" w:lastColumn="0" w:noHBand="0" w:noVBand="1"/>
        <w:tblCaption w:val="D:\大华\华孚\2023年度\TB|0-合并TB-华孚时尚股份有限公司-2023年度.xlsx|W附注模板|_jds331|0|desc|||0|1"/>
      </w:tblPr>
      <w:tblGrid>
        <w:gridCol w:w="4386"/>
        <w:gridCol w:w="2454"/>
        <w:gridCol w:w="3013"/>
      </w:tblGrid>
      <w:tr w:rsidR="000F627F">
        <w:trPr>
          <w:divId w:val="1181703709"/>
          <w:trHeight w:val="340"/>
          <w:tblHeader/>
        </w:trPr>
        <w:tc>
          <w:tcPr>
            <w:tcW w:w="22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项目</w:t>
            </w:r>
          </w:p>
        </w:tc>
        <w:tc>
          <w:tcPr>
            <w:tcW w:w="12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账面余额</w:t>
            </w:r>
          </w:p>
        </w:tc>
        <w:tc>
          <w:tcPr>
            <w:tcW w:w="15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减值准备</w:t>
            </w:r>
          </w:p>
        </w:tc>
      </w:tr>
      <w:tr w:rsidR="000F627F">
        <w:trPr>
          <w:divId w:val="1181703709"/>
          <w:trHeight w:val="340"/>
        </w:trPr>
        <w:tc>
          <w:tcPr>
            <w:tcW w:w="22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rPr>
                <w:rFonts w:ascii="Times New Roman" w:hAnsi="Times New Roman" w:cs="Times New Roman"/>
                <w:sz w:val="21"/>
                <w:szCs w:val="21"/>
              </w:rPr>
            </w:pPr>
            <w:r>
              <w:rPr>
                <w:rFonts w:cs="Times New Roman" w:hint="eastAsia"/>
                <w:sz w:val="18"/>
                <w:szCs w:val="18"/>
              </w:rPr>
              <w:t>应收票据</w:t>
            </w:r>
          </w:p>
        </w:tc>
        <w:tc>
          <w:tcPr>
            <w:tcW w:w="12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18"/>
                <w:szCs w:val="18"/>
              </w:rPr>
              <w:t>58,005,873.98</w:t>
            </w:r>
          </w:p>
        </w:tc>
        <w:tc>
          <w:tcPr>
            <w:tcW w:w="1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18"/>
                <w:szCs w:val="18"/>
              </w:rPr>
              <w:t>104,041.75</w:t>
            </w:r>
          </w:p>
        </w:tc>
      </w:tr>
      <w:tr w:rsidR="000F627F">
        <w:trPr>
          <w:divId w:val="1181703709"/>
          <w:trHeight w:val="340"/>
        </w:trPr>
        <w:tc>
          <w:tcPr>
            <w:tcW w:w="22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rPr>
                <w:rFonts w:ascii="Times New Roman" w:hAnsi="Times New Roman" w:cs="Times New Roman"/>
                <w:sz w:val="21"/>
                <w:szCs w:val="21"/>
              </w:rPr>
            </w:pPr>
            <w:r>
              <w:rPr>
                <w:rFonts w:cs="Times New Roman" w:hint="eastAsia"/>
                <w:sz w:val="18"/>
                <w:szCs w:val="18"/>
              </w:rPr>
              <w:t>应收账款</w:t>
            </w:r>
          </w:p>
        </w:tc>
        <w:tc>
          <w:tcPr>
            <w:tcW w:w="12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18"/>
                <w:szCs w:val="18"/>
              </w:rPr>
              <w:t>1,098,872,967.68</w:t>
            </w:r>
          </w:p>
        </w:tc>
        <w:tc>
          <w:tcPr>
            <w:tcW w:w="1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18"/>
                <w:szCs w:val="18"/>
              </w:rPr>
              <w:t>94,814,502.04</w:t>
            </w:r>
          </w:p>
        </w:tc>
      </w:tr>
      <w:tr w:rsidR="000F627F">
        <w:trPr>
          <w:divId w:val="1181703709"/>
          <w:trHeight w:val="340"/>
        </w:trPr>
        <w:tc>
          <w:tcPr>
            <w:tcW w:w="22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rPr>
                <w:rFonts w:ascii="Times New Roman" w:hAnsi="Times New Roman" w:cs="Times New Roman"/>
                <w:sz w:val="21"/>
                <w:szCs w:val="21"/>
              </w:rPr>
            </w:pPr>
            <w:r>
              <w:rPr>
                <w:rFonts w:cs="Times New Roman" w:hint="eastAsia"/>
                <w:sz w:val="18"/>
                <w:szCs w:val="18"/>
              </w:rPr>
              <w:t>其他应收款</w:t>
            </w:r>
          </w:p>
        </w:tc>
        <w:tc>
          <w:tcPr>
            <w:tcW w:w="12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18"/>
                <w:szCs w:val="18"/>
              </w:rPr>
              <w:t>395,519,123.62</w:t>
            </w:r>
          </w:p>
        </w:tc>
        <w:tc>
          <w:tcPr>
            <w:tcW w:w="1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18"/>
                <w:szCs w:val="18"/>
              </w:rPr>
              <w:t>164,304,224.95</w:t>
            </w:r>
          </w:p>
        </w:tc>
      </w:tr>
      <w:tr w:rsidR="000F627F">
        <w:trPr>
          <w:divId w:val="1181703709"/>
          <w:trHeight w:val="340"/>
        </w:trPr>
        <w:tc>
          <w:tcPr>
            <w:tcW w:w="22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rPr>
                <w:rFonts w:ascii="Times New Roman" w:hAnsi="Times New Roman" w:cs="Times New Roman"/>
                <w:sz w:val="21"/>
                <w:szCs w:val="21"/>
              </w:rPr>
            </w:pPr>
            <w:r>
              <w:rPr>
                <w:rFonts w:cs="Times New Roman" w:hint="eastAsia"/>
                <w:sz w:val="18"/>
                <w:szCs w:val="18"/>
              </w:rPr>
              <w:t>长期应收款（含一年内到期的款项）</w:t>
            </w:r>
          </w:p>
        </w:tc>
        <w:tc>
          <w:tcPr>
            <w:tcW w:w="12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18"/>
                <w:szCs w:val="18"/>
              </w:rPr>
              <w:t>3,085,751.16</w:t>
            </w:r>
          </w:p>
        </w:tc>
        <w:tc>
          <w:tcPr>
            <w:tcW w:w="1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18"/>
                <w:szCs w:val="18"/>
              </w:rPr>
              <w:t>154,608.68</w:t>
            </w:r>
          </w:p>
        </w:tc>
      </w:tr>
      <w:tr w:rsidR="000F627F">
        <w:trPr>
          <w:divId w:val="1181703709"/>
          <w:trHeight w:val="340"/>
        </w:trPr>
        <w:tc>
          <w:tcPr>
            <w:tcW w:w="22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合计</w:t>
            </w:r>
          </w:p>
        </w:tc>
        <w:tc>
          <w:tcPr>
            <w:tcW w:w="12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18"/>
                <w:szCs w:val="18"/>
              </w:rPr>
              <w:t>1,555,483,716.44</w:t>
            </w:r>
          </w:p>
        </w:tc>
        <w:tc>
          <w:tcPr>
            <w:tcW w:w="1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27F" w:rsidRDefault="000F627F">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18"/>
                <w:szCs w:val="18"/>
              </w:rPr>
              <w:t>259,377,377.42</w:t>
            </w:r>
          </w:p>
        </w:tc>
      </w:tr>
    </w:tbl>
    <w:p w:rsidR="000F627F" w:rsidRDefault="000F627F">
      <w:pPr>
        <w:widowControl/>
        <w:numPr>
          <w:ilvl w:val="1"/>
          <w:numId w:val="129"/>
        </w:numPr>
        <w:spacing w:before="100" w:beforeAutospacing="1" w:after="100" w:afterAutospacing="1"/>
        <w:divId w:val="1181703709"/>
        <w:rPr>
          <w:sz w:val="18"/>
          <w:szCs w:val="18"/>
        </w:rPr>
      </w:pPr>
      <w:r>
        <w:rPr>
          <w:rFonts w:hint="eastAsia"/>
          <w:sz w:val="18"/>
          <w:szCs w:val="18"/>
        </w:rPr>
        <w:t>．</w:t>
      </w:r>
      <w:r>
        <w:rPr>
          <w:rFonts w:ascii="Times New Roman" w:hAnsi="Times New Roman" w:cs="Times New Roman"/>
          <w:sz w:val="18"/>
          <w:szCs w:val="18"/>
        </w:rPr>
        <w:t xml:space="preserve">   </w:t>
      </w:r>
      <w:r>
        <w:rPr>
          <w:rStyle w:val="a5"/>
          <w:rFonts w:hint="eastAsia"/>
          <w:sz w:val="18"/>
          <w:szCs w:val="18"/>
        </w:rPr>
        <w:t>流动性风险</w:t>
      </w:r>
    </w:p>
    <w:p w:rsidR="000F627F" w:rsidRDefault="000F627F">
      <w:pPr>
        <w:pStyle w:val="a3"/>
        <w:spacing w:before="0" w:beforeAutospacing="0" w:after="0" w:afterAutospacing="0" w:line="360" w:lineRule="auto"/>
        <w:ind w:firstLine="420"/>
        <w:jc w:val="both"/>
        <w:divId w:val="1181703709"/>
        <w:rPr>
          <w:rFonts w:ascii="Times New Roman" w:hAnsi="Times New Roman" w:cs="Times New Roman"/>
          <w:sz w:val="21"/>
          <w:szCs w:val="21"/>
        </w:rPr>
      </w:pPr>
      <w:r>
        <w:rPr>
          <w:rFonts w:cs="Times New Roman" w:hint="eastAsia"/>
          <w:sz w:val="18"/>
          <w:szCs w:val="18"/>
        </w:rPr>
        <w:t>流动性风险是指本公司在履行以交付现金或其他金融资产的方式结算的义务时发生资金短缺的风险。本公司下属成员企业各自负责其现金流量预测。公司下属资金管理部门基于各成员企业的现金流量预测结果，在公司层面持续监控公司短期和长期的资金需求，以确保维持充裕的现金储备；同时持续监控是否符合借款协议的规定，从主要金融机构获得提供足够备用资金的承诺，以满足短期和长期的资金需求。此外，本公司与主要业务往来银行订立融资额度授信协议，为本公司履行与商业票据相关的义务提供支持。</w:t>
      </w:r>
    </w:p>
    <w:p w:rsidR="000F627F" w:rsidRDefault="000F627F">
      <w:pPr>
        <w:widowControl/>
        <w:numPr>
          <w:ilvl w:val="1"/>
          <w:numId w:val="130"/>
        </w:numPr>
        <w:spacing w:before="100" w:beforeAutospacing="1" w:after="100" w:afterAutospacing="1"/>
        <w:divId w:val="1181703709"/>
        <w:rPr>
          <w:sz w:val="18"/>
          <w:szCs w:val="18"/>
        </w:rPr>
      </w:pPr>
      <w:r>
        <w:rPr>
          <w:rFonts w:hint="eastAsia"/>
          <w:sz w:val="18"/>
          <w:szCs w:val="18"/>
        </w:rPr>
        <w:t>．</w:t>
      </w:r>
      <w:r>
        <w:rPr>
          <w:rFonts w:ascii="Times New Roman" w:hAnsi="Times New Roman" w:cs="Times New Roman"/>
          <w:sz w:val="18"/>
          <w:szCs w:val="18"/>
        </w:rPr>
        <w:t xml:space="preserve">   </w:t>
      </w:r>
      <w:r>
        <w:rPr>
          <w:rStyle w:val="a5"/>
          <w:rFonts w:hint="eastAsia"/>
          <w:sz w:val="18"/>
          <w:szCs w:val="18"/>
        </w:rPr>
        <w:t>市场风险</w:t>
      </w:r>
    </w:p>
    <w:p w:rsidR="000F627F" w:rsidRDefault="000F627F">
      <w:pPr>
        <w:widowControl/>
        <w:numPr>
          <w:ilvl w:val="0"/>
          <w:numId w:val="131"/>
        </w:numPr>
        <w:spacing w:before="100" w:beforeAutospacing="1" w:after="100" w:afterAutospacing="1"/>
        <w:divId w:val="1181703709"/>
        <w:rPr>
          <w:sz w:val="18"/>
          <w:szCs w:val="18"/>
        </w:rPr>
      </w:pPr>
      <w:r>
        <w:rPr>
          <w:rFonts w:hint="eastAsia"/>
          <w:sz w:val="18"/>
          <w:szCs w:val="18"/>
        </w:rPr>
        <w:lastRenderedPageBreak/>
        <w:t>汇率风险</w:t>
      </w:r>
    </w:p>
    <w:p w:rsidR="000F627F" w:rsidRDefault="000F627F">
      <w:pPr>
        <w:pStyle w:val="a3"/>
        <w:spacing w:before="0" w:beforeAutospacing="0" w:after="0" w:afterAutospacing="0" w:line="360" w:lineRule="auto"/>
        <w:ind w:firstLine="420"/>
        <w:jc w:val="both"/>
        <w:divId w:val="1181703709"/>
        <w:rPr>
          <w:rFonts w:ascii="Times New Roman" w:hAnsi="Times New Roman" w:cs="Times New Roman"/>
          <w:sz w:val="21"/>
          <w:szCs w:val="21"/>
        </w:rPr>
      </w:pPr>
      <w:r>
        <w:rPr>
          <w:rFonts w:cs="Times New Roman" w:hint="eastAsia"/>
          <w:sz w:val="18"/>
          <w:szCs w:val="18"/>
        </w:rPr>
        <w:t>本公司的主要经营位于中国境内，主要业务以人民币结算。但本公司已确认的外币资产和负债及未来的外币交易（外币资产和负债及外币交易的计价货币主要为美元、港币和越南盾）依然存在汇率风险。本公司资金管理部门负责监控公司外币交易和外币资产及负债的规模，以最大程度降低面临的汇率风险；为此，本公司可能会以签署远期外汇合约或货币互换合约来达到规避汇率风险的目的。</w:t>
      </w:r>
    </w:p>
    <w:p w:rsidR="000F627F" w:rsidRDefault="000F627F">
      <w:pPr>
        <w:pStyle w:val="a3"/>
        <w:spacing w:before="0" w:beforeAutospacing="0" w:after="0" w:afterAutospacing="0" w:line="360" w:lineRule="auto"/>
        <w:ind w:firstLine="420"/>
        <w:jc w:val="both"/>
        <w:divId w:val="1181703709"/>
        <w:rPr>
          <w:rFonts w:ascii="Times New Roman" w:hAnsi="Times New Roman" w:cs="Times New Roman"/>
          <w:sz w:val="21"/>
          <w:szCs w:val="21"/>
        </w:rPr>
      </w:pPr>
      <w:r>
        <w:rPr>
          <w:rFonts w:cs="Times New Roman" w:hint="eastAsia"/>
          <w:sz w:val="18"/>
          <w:szCs w:val="18"/>
        </w:rPr>
        <w:t>截止</w:t>
      </w:r>
      <w:r>
        <w:rPr>
          <w:rFonts w:ascii="Times New Roman" w:hAnsi="Times New Roman" w:cs="Times New Roman"/>
          <w:sz w:val="18"/>
          <w:szCs w:val="18"/>
        </w:rPr>
        <w:t>2023</w:t>
      </w:r>
      <w:r>
        <w:rPr>
          <w:rFonts w:cs="Times New Roman" w:hint="eastAsia"/>
          <w:sz w:val="18"/>
          <w:szCs w:val="18"/>
        </w:rPr>
        <w:t>年</w:t>
      </w:r>
      <w:r>
        <w:rPr>
          <w:rFonts w:ascii="Times New Roman" w:hAnsi="Times New Roman" w:cs="Times New Roman"/>
          <w:sz w:val="18"/>
          <w:szCs w:val="18"/>
        </w:rPr>
        <w:t>12</w:t>
      </w:r>
      <w:r>
        <w:rPr>
          <w:rFonts w:cs="Times New Roman" w:hint="eastAsia"/>
          <w:sz w:val="18"/>
          <w:szCs w:val="18"/>
        </w:rPr>
        <w:t>月</w:t>
      </w:r>
      <w:r>
        <w:rPr>
          <w:rFonts w:ascii="Times New Roman" w:hAnsi="Times New Roman" w:cs="Times New Roman"/>
          <w:sz w:val="18"/>
          <w:szCs w:val="18"/>
        </w:rPr>
        <w:t>31</w:t>
      </w:r>
      <w:r>
        <w:rPr>
          <w:rFonts w:cs="Times New Roman" w:hint="eastAsia"/>
          <w:sz w:val="18"/>
          <w:szCs w:val="18"/>
        </w:rPr>
        <w:t>日，本公司持有的外币金融资产和外币金融负债折算成人民币的金额详见附注五、注释</w:t>
      </w:r>
      <w:r>
        <w:rPr>
          <w:rFonts w:ascii="Times New Roman" w:hAnsi="Times New Roman" w:cs="Times New Roman"/>
          <w:sz w:val="18"/>
          <w:szCs w:val="18"/>
        </w:rPr>
        <w:t>.62</w:t>
      </w:r>
      <w:r>
        <w:rPr>
          <w:rFonts w:cs="Times New Roman" w:hint="eastAsia"/>
          <w:sz w:val="18"/>
          <w:szCs w:val="18"/>
        </w:rPr>
        <w:t>。</w:t>
      </w:r>
    </w:p>
    <w:p w:rsidR="000F627F" w:rsidRDefault="000F627F">
      <w:pPr>
        <w:widowControl/>
        <w:numPr>
          <w:ilvl w:val="0"/>
          <w:numId w:val="132"/>
        </w:numPr>
        <w:spacing w:before="100" w:beforeAutospacing="1" w:after="100" w:afterAutospacing="1"/>
        <w:divId w:val="1181703709"/>
        <w:rPr>
          <w:rFonts w:ascii="宋体" w:hAnsi="宋体" w:cs="宋体"/>
          <w:sz w:val="18"/>
          <w:szCs w:val="18"/>
        </w:rPr>
      </w:pPr>
      <w:r>
        <w:rPr>
          <w:rFonts w:hint="eastAsia"/>
          <w:sz w:val="18"/>
          <w:szCs w:val="18"/>
        </w:rPr>
        <w:t>利率风险</w:t>
      </w:r>
    </w:p>
    <w:p w:rsidR="000F627F" w:rsidRDefault="000F627F">
      <w:pPr>
        <w:pStyle w:val="a3"/>
        <w:spacing w:before="0" w:beforeAutospacing="0" w:after="0" w:afterAutospacing="0" w:line="360" w:lineRule="auto"/>
        <w:ind w:firstLine="420"/>
        <w:jc w:val="both"/>
        <w:divId w:val="1181703709"/>
        <w:rPr>
          <w:rFonts w:ascii="Times New Roman" w:hAnsi="Times New Roman" w:cs="Times New Roman"/>
          <w:sz w:val="21"/>
          <w:szCs w:val="21"/>
        </w:rPr>
      </w:pPr>
      <w:r>
        <w:rPr>
          <w:rFonts w:cs="Times New Roman" w:hint="eastAsia"/>
          <w:sz w:val="18"/>
          <w:szCs w:val="18"/>
        </w:rPr>
        <w:t>本公司的利率风险主要产生于银行借款等。浮动利率的金融负债使本公司面临现金流量利率风险，固定利率的金融负债使本公司面临公允价值利率风险。本公司根据当时的市场环境来决定固定利率及浮动利率合同的相对比例。</w:t>
      </w:r>
    </w:p>
    <w:p w:rsidR="000F627F" w:rsidRDefault="000F627F">
      <w:pPr>
        <w:pStyle w:val="a3"/>
        <w:spacing w:before="0" w:beforeAutospacing="0" w:after="0" w:afterAutospacing="0" w:line="360" w:lineRule="auto"/>
        <w:ind w:firstLine="420"/>
        <w:jc w:val="both"/>
        <w:divId w:val="1181703709"/>
        <w:rPr>
          <w:rFonts w:ascii="Times New Roman" w:hAnsi="Times New Roman" w:cs="Times New Roman"/>
          <w:sz w:val="21"/>
          <w:szCs w:val="21"/>
        </w:rPr>
      </w:pPr>
      <w:r>
        <w:rPr>
          <w:rFonts w:cs="Times New Roman" w:hint="eastAsia"/>
          <w:sz w:val="18"/>
          <w:szCs w:val="18"/>
        </w:rPr>
        <w:t>本公司财务部门持续监控公司利率水平。利率上升会增加新增带息债务的成本以及本公司尚未付清的以浮动利率计息的带息债务的利息支出，并对本公司的财务业绩产生重大的不利影响，管理层会依据最新的市场状况及时做出调整，这些调整可能是融资结构和融资渠道的安排来降低利率风险。</w:t>
      </w:r>
    </w:p>
    <w:p w:rsidR="000F627F" w:rsidRDefault="000F627F">
      <w:pPr>
        <w:pStyle w:val="a3"/>
        <w:spacing w:before="0" w:beforeAutospacing="0" w:after="0" w:afterAutospacing="0" w:line="360" w:lineRule="auto"/>
        <w:ind w:firstLine="420"/>
        <w:jc w:val="both"/>
        <w:divId w:val="1181703709"/>
        <w:rPr>
          <w:rFonts w:ascii="Times New Roman" w:hAnsi="Times New Roman" w:cs="Times New Roman"/>
          <w:sz w:val="21"/>
          <w:szCs w:val="21"/>
        </w:rPr>
      </w:pPr>
      <w:r>
        <w:rPr>
          <w:rFonts w:cs="Times New Roman" w:hint="eastAsia"/>
          <w:sz w:val="18"/>
          <w:szCs w:val="18"/>
        </w:rPr>
        <w:t>截至</w:t>
      </w:r>
      <w:r>
        <w:rPr>
          <w:rFonts w:ascii="Times New Roman" w:hAnsi="Times New Roman" w:cs="Times New Roman"/>
          <w:sz w:val="18"/>
          <w:szCs w:val="18"/>
        </w:rPr>
        <w:t>2023</w:t>
      </w:r>
      <w:r>
        <w:rPr>
          <w:rFonts w:cs="Times New Roman" w:hint="eastAsia"/>
          <w:sz w:val="18"/>
          <w:szCs w:val="18"/>
        </w:rPr>
        <w:t>年</w:t>
      </w:r>
      <w:r>
        <w:rPr>
          <w:rFonts w:ascii="Times New Roman" w:hAnsi="Times New Roman" w:cs="Times New Roman"/>
          <w:sz w:val="18"/>
          <w:szCs w:val="18"/>
        </w:rPr>
        <w:t>12</w:t>
      </w:r>
      <w:r>
        <w:rPr>
          <w:rFonts w:cs="Times New Roman" w:hint="eastAsia"/>
          <w:sz w:val="18"/>
          <w:szCs w:val="18"/>
        </w:rPr>
        <w:t>月</w:t>
      </w:r>
      <w:r>
        <w:rPr>
          <w:rFonts w:ascii="Times New Roman" w:hAnsi="Times New Roman" w:cs="Times New Roman"/>
          <w:sz w:val="18"/>
          <w:szCs w:val="18"/>
        </w:rPr>
        <w:t>31</w:t>
      </w:r>
      <w:r>
        <w:rPr>
          <w:rFonts w:cs="Times New Roman" w:hint="eastAsia"/>
          <w:sz w:val="18"/>
          <w:szCs w:val="18"/>
        </w:rPr>
        <w:t>日，本公司的带息债务主要为人民币、港币和美元计价的固定利率长短借款，金额合计为人民币</w:t>
      </w:r>
      <w:r>
        <w:rPr>
          <w:rFonts w:ascii="Times New Roman" w:hAnsi="Times New Roman" w:cs="Times New Roman"/>
          <w:sz w:val="18"/>
          <w:szCs w:val="18"/>
        </w:rPr>
        <w:t>82.14</w:t>
      </w:r>
      <w:r>
        <w:rPr>
          <w:rFonts w:cs="Times New Roman" w:hint="eastAsia"/>
          <w:sz w:val="18"/>
          <w:szCs w:val="18"/>
        </w:rPr>
        <w:t>亿元（</w:t>
      </w:r>
      <w:r>
        <w:rPr>
          <w:rFonts w:ascii="Times New Roman" w:hAnsi="Times New Roman" w:cs="Times New Roman"/>
          <w:sz w:val="18"/>
          <w:szCs w:val="18"/>
        </w:rPr>
        <w:t>2022</w:t>
      </w:r>
      <w:r>
        <w:rPr>
          <w:rFonts w:cs="Times New Roman" w:hint="eastAsia"/>
          <w:sz w:val="18"/>
          <w:szCs w:val="18"/>
        </w:rPr>
        <w:t>年</w:t>
      </w:r>
      <w:r>
        <w:rPr>
          <w:rFonts w:ascii="Times New Roman" w:hAnsi="Times New Roman" w:cs="Times New Roman"/>
          <w:sz w:val="18"/>
          <w:szCs w:val="18"/>
        </w:rPr>
        <w:t>12</w:t>
      </w:r>
      <w:r>
        <w:rPr>
          <w:rFonts w:cs="Times New Roman" w:hint="eastAsia"/>
          <w:sz w:val="18"/>
          <w:szCs w:val="18"/>
        </w:rPr>
        <w:t>月</w:t>
      </w:r>
      <w:r>
        <w:rPr>
          <w:rFonts w:ascii="Times New Roman" w:hAnsi="Times New Roman" w:cs="Times New Roman"/>
          <w:sz w:val="18"/>
          <w:szCs w:val="18"/>
        </w:rPr>
        <w:t>31</w:t>
      </w:r>
      <w:r>
        <w:rPr>
          <w:rFonts w:cs="Times New Roman" w:hint="eastAsia"/>
          <w:sz w:val="18"/>
          <w:szCs w:val="18"/>
        </w:rPr>
        <w:t>日：人民币</w:t>
      </w:r>
      <w:r>
        <w:rPr>
          <w:rFonts w:ascii="Times New Roman" w:hAnsi="Times New Roman" w:cs="Times New Roman"/>
          <w:sz w:val="18"/>
          <w:szCs w:val="18"/>
        </w:rPr>
        <w:t>85.68</w:t>
      </w:r>
      <w:r>
        <w:rPr>
          <w:rFonts w:cs="Times New Roman" w:hint="eastAsia"/>
          <w:sz w:val="18"/>
          <w:szCs w:val="18"/>
        </w:rPr>
        <w:t>亿元）。</w:t>
      </w:r>
    </w:p>
    <w:p w:rsidR="000F627F" w:rsidRDefault="000F627F">
      <w:pPr>
        <w:widowControl/>
        <w:numPr>
          <w:ilvl w:val="0"/>
          <w:numId w:val="133"/>
        </w:numPr>
        <w:spacing w:before="100" w:beforeAutospacing="1" w:after="100" w:afterAutospacing="1"/>
        <w:divId w:val="1181703709"/>
        <w:rPr>
          <w:rFonts w:ascii="宋体" w:hAnsi="宋体" w:cs="宋体"/>
          <w:sz w:val="18"/>
          <w:szCs w:val="18"/>
        </w:rPr>
      </w:pPr>
      <w:r>
        <w:rPr>
          <w:rFonts w:hint="eastAsia"/>
          <w:sz w:val="18"/>
          <w:szCs w:val="18"/>
        </w:rPr>
        <w:t>价格风险</w:t>
      </w:r>
    </w:p>
    <w:p w:rsidR="000F627F" w:rsidRDefault="000F627F">
      <w:pPr>
        <w:pStyle w:val="a3"/>
        <w:spacing w:before="0" w:beforeAutospacing="0" w:after="0" w:afterAutospacing="0" w:line="360" w:lineRule="auto"/>
        <w:ind w:firstLine="424"/>
        <w:jc w:val="both"/>
        <w:divId w:val="1181703709"/>
        <w:rPr>
          <w:rFonts w:ascii="Times New Roman" w:hAnsi="Times New Roman" w:cs="Times New Roman"/>
          <w:sz w:val="21"/>
          <w:szCs w:val="21"/>
        </w:rPr>
      </w:pPr>
      <w:r>
        <w:rPr>
          <w:rFonts w:cs="Times New Roman" w:hint="eastAsia"/>
          <w:sz w:val="18"/>
          <w:szCs w:val="18"/>
        </w:rPr>
        <w:t>价格风险指汇率风险和利率风险以外的市场价格变动而发生波动的风险，主要源于商品价格、股票市场指数、权益工具价格以及其他风险变量的变化。</w:t>
      </w:r>
    </w:p>
    <w:p w:rsidR="000D58D8" w:rsidRDefault="000F627F">
      <w:pPr>
        <w:pStyle w:val="3"/>
        <w:spacing w:line="280" w:lineRule="exact"/>
        <w:jc w:val="left"/>
        <w:rPr>
          <w:rFonts w:ascii="宋体" w:hAnsi="宋体" w:cs="宋体"/>
          <w:b/>
          <w:bCs/>
        </w:rPr>
      </w:pPr>
      <w:bookmarkStart w:id="512" w:name="_Toc989399"/>
      <w:r>
        <w:rPr>
          <w:rFonts w:ascii="宋体" w:hAnsi="宋体" w:cs="宋体"/>
          <w:b/>
          <w:bCs/>
        </w:rPr>
        <w:t>2、套期</w:t>
      </w:r>
      <w:bookmarkEnd w:id="512"/>
    </w:p>
    <w:p w:rsidR="000D58D8" w:rsidRDefault="000F627F">
      <w:pPr>
        <w:keepNext/>
        <w:keepLines/>
        <w:spacing w:before="300" w:after="300" w:line="280" w:lineRule="exact"/>
        <w:outlineLvl w:val="4"/>
        <w:rPr>
          <w:rFonts w:ascii="宋体" w:eastAsia="宋体" w:hAnsi="宋体" w:cs="宋体"/>
          <w:b/>
          <w:bCs/>
          <w:sz w:val="18"/>
          <w:szCs w:val="18"/>
        </w:rPr>
      </w:pPr>
      <w:bookmarkStart w:id="513" w:name="_Toc989400"/>
      <w:r>
        <w:rPr>
          <w:rFonts w:ascii="宋体" w:eastAsia="宋体" w:hAnsi="宋体" w:cs="宋体"/>
          <w:b/>
          <w:bCs/>
          <w:sz w:val="18"/>
          <w:szCs w:val="18"/>
        </w:rPr>
        <w:t>（1） 公司开展套期业务进行风险管理</w:t>
      </w:r>
      <w:bookmarkEnd w:id="51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4"/>
        <w:rPr>
          <w:rFonts w:ascii="宋体" w:eastAsia="宋体" w:hAnsi="宋体" w:cs="宋体"/>
          <w:b/>
          <w:bCs/>
          <w:sz w:val="18"/>
          <w:szCs w:val="18"/>
        </w:rPr>
      </w:pPr>
      <w:bookmarkStart w:id="514" w:name="_Toc989401"/>
      <w:r>
        <w:rPr>
          <w:rFonts w:ascii="宋体" w:eastAsia="宋体" w:hAnsi="宋体" w:cs="宋体"/>
          <w:b/>
          <w:bCs/>
          <w:sz w:val="18"/>
          <w:szCs w:val="18"/>
        </w:rPr>
        <w:t>（2） 公司开展符合条件套期业务并应用套期会计</w:t>
      </w:r>
      <w:bookmarkEnd w:id="514"/>
    </w:p>
    <w:p w:rsidR="000F627F" w:rsidRPr="00587BBA" w:rsidRDefault="000F627F" w:rsidP="00587BBA">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587BBA">
        <w:rPr>
          <w:rFonts w:ascii="宋体" w:eastAsia="宋体" w:hAnsi="宋体" w:cs="宋体" w:hint="eastAsia"/>
          <w:sz w:val="18"/>
          <w:szCs w:val="18"/>
        </w:rPr>
        <w:t>：</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515" w:name="_Toc989402"/>
      <w:r>
        <w:rPr>
          <w:rFonts w:ascii="宋体" w:eastAsia="宋体" w:hAnsi="宋体" w:cs="宋体"/>
          <w:b/>
          <w:bCs/>
          <w:sz w:val="18"/>
          <w:szCs w:val="18"/>
        </w:rPr>
        <w:t>（3） 公司开展套期业务进行风险管理、预期能实现风险管理目标但未应用套期会计</w:t>
      </w:r>
      <w:bookmarkEnd w:id="515"/>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516" w:name="_Toc989403"/>
      <w:r>
        <w:rPr>
          <w:rFonts w:ascii="宋体" w:hAnsi="宋体" w:cs="宋体"/>
          <w:b/>
          <w:bCs/>
        </w:rPr>
        <w:lastRenderedPageBreak/>
        <w:t>3、金融资产</w:t>
      </w:r>
      <w:bookmarkEnd w:id="516"/>
    </w:p>
    <w:p w:rsidR="000D58D8" w:rsidRDefault="000F627F">
      <w:pPr>
        <w:keepNext/>
        <w:keepLines/>
        <w:spacing w:before="300" w:after="300" w:line="280" w:lineRule="exact"/>
        <w:outlineLvl w:val="3"/>
        <w:rPr>
          <w:rFonts w:ascii="宋体" w:eastAsia="宋体" w:hAnsi="宋体" w:cs="宋体"/>
          <w:b/>
          <w:bCs/>
          <w:sz w:val="18"/>
          <w:szCs w:val="18"/>
        </w:rPr>
      </w:pPr>
      <w:bookmarkStart w:id="517" w:name="_Toc989404"/>
      <w:r>
        <w:rPr>
          <w:rFonts w:ascii="宋体" w:eastAsia="宋体" w:hAnsi="宋体" w:cs="宋体"/>
          <w:b/>
          <w:bCs/>
          <w:sz w:val="18"/>
          <w:szCs w:val="18"/>
        </w:rPr>
        <w:t>（1） 转移方式分类</w:t>
      </w:r>
      <w:bookmarkEnd w:id="517"/>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 w:val="18"/>
          <w:szCs w:val="18"/>
        </w:rPr>
      </w:pPr>
      <w:bookmarkStart w:id="518" w:name="_Toc989405"/>
      <w:r>
        <w:rPr>
          <w:rFonts w:ascii="宋体" w:eastAsia="宋体" w:hAnsi="宋体" w:cs="宋体"/>
          <w:b/>
          <w:bCs/>
          <w:sz w:val="18"/>
          <w:szCs w:val="18"/>
        </w:rPr>
        <w:t>（2） 因转移而终止确认的金融资产</w:t>
      </w:r>
      <w:bookmarkEnd w:id="518"/>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 w:val="18"/>
          <w:szCs w:val="18"/>
        </w:rPr>
      </w:pPr>
      <w:bookmarkStart w:id="519" w:name="_Toc989406"/>
      <w:r>
        <w:rPr>
          <w:rFonts w:ascii="宋体" w:eastAsia="宋体" w:hAnsi="宋体" w:cs="宋体"/>
          <w:b/>
          <w:bCs/>
          <w:sz w:val="18"/>
          <w:szCs w:val="18"/>
        </w:rPr>
        <w:t>（3） 继续涉入的资产转移金融资产</w:t>
      </w:r>
      <w:bookmarkEnd w:id="51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F627F" w:rsidRPr="00587BBA" w:rsidRDefault="000F627F" w:rsidP="00587BBA">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587BBA">
        <w:rPr>
          <w:rFonts w:hint="eastAsia"/>
          <w:sz w:val="18"/>
          <w:szCs w:val="18"/>
        </w:rPr>
        <w:t>：</w:t>
      </w:r>
      <w:r>
        <w:rPr>
          <w:rFonts w:hint="eastAsia"/>
          <w:sz w:val="18"/>
          <w:szCs w:val="18"/>
        </w:rPr>
        <w:t>无。</w:t>
      </w:r>
    </w:p>
    <w:p w:rsidR="000D58D8" w:rsidRDefault="000F627F">
      <w:pPr>
        <w:pStyle w:val="2"/>
        <w:spacing w:before="300" w:after="300" w:line="320" w:lineRule="exact"/>
        <w:rPr>
          <w:rFonts w:ascii="宋体" w:eastAsia="宋体" w:hAnsi="宋体" w:cs="宋体"/>
          <w:b/>
          <w:bCs/>
          <w:sz w:val="24"/>
          <w:szCs w:val="24"/>
        </w:rPr>
      </w:pPr>
      <w:bookmarkStart w:id="520" w:name="_Toc989407"/>
      <w:r>
        <w:rPr>
          <w:rFonts w:ascii="宋体" w:eastAsia="宋体" w:hAnsi="宋体" w:cs="宋体"/>
          <w:b/>
          <w:bCs/>
          <w:sz w:val="24"/>
          <w:szCs w:val="24"/>
        </w:rPr>
        <w:t>十三、公允价值的披露</w:t>
      </w:r>
      <w:bookmarkEnd w:id="520"/>
    </w:p>
    <w:p w:rsidR="000D58D8" w:rsidRDefault="000F627F">
      <w:pPr>
        <w:pStyle w:val="3"/>
        <w:spacing w:line="280" w:lineRule="exact"/>
        <w:jc w:val="left"/>
        <w:rPr>
          <w:rFonts w:ascii="宋体" w:hAnsi="宋体" w:cs="宋体"/>
          <w:b/>
          <w:bCs/>
        </w:rPr>
      </w:pPr>
      <w:bookmarkStart w:id="521" w:name="_Toc989408"/>
      <w:r>
        <w:rPr>
          <w:rFonts w:ascii="宋体" w:hAnsi="宋体" w:cs="宋体"/>
          <w:b/>
          <w:bCs/>
        </w:rPr>
        <w:t>1、以公允价值计量的资产和负债的期末公允价值</w:t>
      </w:r>
      <w:bookmarkEnd w:id="521"/>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771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期末公允价值</w:t>
            </w:r>
          </w:p>
        </w:tc>
      </w:tr>
      <w:tr w:rsidR="000D58D8">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第一层次公允价值计量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第二层次公允价值计量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第三层次公允价值计量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1.以公允价值计量且其变动计入当期损益的金融资产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172,041,025.39</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59,592,743.55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231,633,768.94</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（2）权益工具投资</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50,392,601.34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50,392,601.34</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（3）衍生金融资产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121,648,424.05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121,648,424.05</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（4）银行理财产品</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17,547,743.55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17,547,743.55</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（5）信托基金</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42,045,000.00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42,045,000.00</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二、非持续的公允价值计量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0D58D8" w:rsidRDefault="000F627F">
      <w:pPr>
        <w:pStyle w:val="3"/>
        <w:spacing w:line="280" w:lineRule="exact"/>
        <w:jc w:val="left"/>
        <w:rPr>
          <w:rFonts w:ascii="宋体" w:hAnsi="宋体" w:cs="宋体"/>
          <w:b/>
          <w:bCs/>
        </w:rPr>
      </w:pPr>
      <w:bookmarkStart w:id="522" w:name="_Toc989409"/>
      <w:r>
        <w:rPr>
          <w:rFonts w:ascii="宋体" w:hAnsi="宋体" w:cs="宋体"/>
          <w:b/>
          <w:bCs/>
        </w:rPr>
        <w:t>2、持续和非持续第一层次公允价值计量项目市价的确定依据</w:t>
      </w:r>
      <w:bookmarkEnd w:id="522"/>
    </w:p>
    <w:p w:rsidR="000F627F" w:rsidRDefault="000F627F">
      <w:pPr>
        <w:pStyle w:val="-3"/>
        <w:snapToGrid w:val="0"/>
        <w:ind w:firstLine="420"/>
        <w:jc w:val="both"/>
        <w:divId w:val="473722201"/>
        <w:rPr>
          <w:sz w:val="18"/>
          <w:szCs w:val="18"/>
        </w:rPr>
      </w:pPr>
      <w:r>
        <w:rPr>
          <w:rFonts w:hint="eastAsia"/>
          <w:sz w:val="18"/>
          <w:szCs w:val="18"/>
        </w:rPr>
        <w:t>本公司在资产负债表</w:t>
      </w:r>
      <w:proofErr w:type="gramStart"/>
      <w:r>
        <w:rPr>
          <w:rFonts w:hint="eastAsia"/>
          <w:sz w:val="18"/>
          <w:szCs w:val="18"/>
        </w:rPr>
        <w:t>日能购获得</w:t>
      </w:r>
      <w:proofErr w:type="gramEnd"/>
      <w:r>
        <w:rPr>
          <w:rFonts w:hint="eastAsia"/>
          <w:sz w:val="18"/>
          <w:szCs w:val="18"/>
        </w:rPr>
        <w:t>期货及股票、货币型基金在活跃市场上报价。</w:t>
      </w:r>
    </w:p>
    <w:p w:rsidR="000D58D8" w:rsidRDefault="000F627F">
      <w:pPr>
        <w:pStyle w:val="3"/>
        <w:spacing w:line="280" w:lineRule="exact"/>
        <w:jc w:val="left"/>
        <w:rPr>
          <w:rFonts w:ascii="宋体" w:hAnsi="宋体" w:cs="宋体"/>
          <w:b/>
          <w:bCs/>
        </w:rPr>
      </w:pPr>
      <w:bookmarkStart w:id="523" w:name="_Toc989410"/>
      <w:r>
        <w:rPr>
          <w:rFonts w:ascii="宋体" w:hAnsi="宋体" w:cs="宋体"/>
          <w:b/>
          <w:bCs/>
        </w:rPr>
        <w:t>3、持续和非持续第二层次公允价值计量项目，采用的估值技术和重要参数的定性及定量信息</w:t>
      </w:r>
      <w:bookmarkEnd w:id="523"/>
    </w:p>
    <w:p w:rsidR="000F627F" w:rsidRDefault="000F627F">
      <w:pPr>
        <w:pStyle w:val="a3"/>
        <w:divId w:val="605776209"/>
      </w:pPr>
      <w:r>
        <w:rPr>
          <w:rFonts w:hint="eastAsia"/>
          <w:sz w:val="18"/>
          <w:szCs w:val="18"/>
        </w:rPr>
        <w:t>无。</w:t>
      </w:r>
    </w:p>
    <w:p w:rsidR="000D58D8" w:rsidRDefault="000F627F">
      <w:pPr>
        <w:pStyle w:val="3"/>
        <w:spacing w:line="280" w:lineRule="exact"/>
        <w:jc w:val="left"/>
        <w:rPr>
          <w:rFonts w:ascii="宋体" w:hAnsi="宋体" w:cs="宋体"/>
          <w:b/>
          <w:bCs/>
        </w:rPr>
      </w:pPr>
      <w:bookmarkStart w:id="524" w:name="_Toc989411"/>
      <w:r>
        <w:rPr>
          <w:rFonts w:ascii="宋体" w:hAnsi="宋体" w:cs="宋体"/>
          <w:b/>
          <w:bCs/>
        </w:rPr>
        <w:t>4、持续和非持续第三层次公允价值计量项目，采用的估值技术和重要参数的定性及定量信息</w:t>
      </w:r>
      <w:bookmarkEnd w:id="524"/>
    </w:p>
    <w:p w:rsidR="000D58D8" w:rsidRDefault="000F627F">
      <w:pPr>
        <w:pStyle w:val="3"/>
        <w:spacing w:line="280" w:lineRule="exact"/>
        <w:jc w:val="left"/>
        <w:rPr>
          <w:rFonts w:ascii="宋体" w:hAnsi="宋体" w:cs="宋体"/>
          <w:b/>
          <w:bCs/>
        </w:rPr>
      </w:pPr>
      <w:bookmarkStart w:id="525" w:name="_Toc989412"/>
      <w:r>
        <w:rPr>
          <w:rFonts w:ascii="宋体" w:hAnsi="宋体" w:cs="宋体"/>
          <w:b/>
          <w:bCs/>
        </w:rPr>
        <w:t>5、持续的第三层次公允价值计量项目，期初与期末账面价值间的调节信息及不可观察参数敏感性分析</w:t>
      </w:r>
      <w:bookmarkEnd w:id="525"/>
    </w:p>
    <w:p w:rsidR="000F627F" w:rsidRDefault="000F627F">
      <w:pPr>
        <w:pStyle w:val="a3"/>
        <w:divId w:val="659966038"/>
      </w:pPr>
      <w:r>
        <w:rPr>
          <w:rFonts w:hint="eastAsia"/>
          <w:sz w:val="18"/>
          <w:szCs w:val="18"/>
        </w:rPr>
        <w:t>无。</w:t>
      </w:r>
    </w:p>
    <w:p w:rsidR="000D58D8" w:rsidRDefault="000F627F">
      <w:pPr>
        <w:pStyle w:val="3"/>
        <w:spacing w:line="280" w:lineRule="exact"/>
        <w:jc w:val="left"/>
        <w:rPr>
          <w:rFonts w:ascii="宋体" w:hAnsi="宋体" w:cs="宋体"/>
          <w:b/>
          <w:bCs/>
        </w:rPr>
      </w:pPr>
      <w:bookmarkStart w:id="526" w:name="_Toc989413"/>
      <w:r>
        <w:rPr>
          <w:rFonts w:ascii="宋体" w:hAnsi="宋体" w:cs="宋体"/>
          <w:b/>
          <w:bCs/>
        </w:rPr>
        <w:lastRenderedPageBreak/>
        <w:t>6、持续的公允价值计量项目，本期内发生各层级之间转换的，转换的原因及确定转换时点的政策</w:t>
      </w:r>
      <w:bookmarkEnd w:id="526"/>
    </w:p>
    <w:p w:rsidR="000F627F" w:rsidRDefault="000F627F">
      <w:pPr>
        <w:pStyle w:val="a3"/>
        <w:divId w:val="551960788"/>
      </w:pPr>
      <w:r>
        <w:rPr>
          <w:rFonts w:hint="eastAsia"/>
          <w:sz w:val="18"/>
          <w:szCs w:val="18"/>
        </w:rPr>
        <w:t>无。</w:t>
      </w:r>
    </w:p>
    <w:p w:rsidR="000D58D8" w:rsidRDefault="000F627F">
      <w:pPr>
        <w:pStyle w:val="3"/>
        <w:spacing w:line="280" w:lineRule="exact"/>
        <w:jc w:val="left"/>
        <w:rPr>
          <w:rFonts w:ascii="宋体" w:hAnsi="宋体" w:cs="宋体"/>
          <w:b/>
          <w:bCs/>
        </w:rPr>
      </w:pPr>
      <w:bookmarkStart w:id="527" w:name="_Toc989414"/>
      <w:r>
        <w:rPr>
          <w:rFonts w:ascii="宋体" w:hAnsi="宋体" w:cs="宋体"/>
          <w:b/>
          <w:bCs/>
        </w:rPr>
        <w:t>7、本期内发生的估值技术变更及变更原因</w:t>
      </w:r>
      <w:bookmarkEnd w:id="527"/>
    </w:p>
    <w:p w:rsidR="000F627F" w:rsidRDefault="000F627F">
      <w:pPr>
        <w:pStyle w:val="a3"/>
        <w:divId w:val="665088883"/>
      </w:pPr>
      <w:r>
        <w:rPr>
          <w:rFonts w:hint="eastAsia"/>
          <w:sz w:val="18"/>
          <w:szCs w:val="18"/>
        </w:rPr>
        <w:t>无。</w:t>
      </w:r>
    </w:p>
    <w:p w:rsidR="000D58D8" w:rsidRDefault="000F627F">
      <w:pPr>
        <w:pStyle w:val="3"/>
        <w:spacing w:line="280" w:lineRule="exact"/>
        <w:jc w:val="left"/>
        <w:rPr>
          <w:rFonts w:ascii="宋体" w:hAnsi="宋体" w:cs="宋体"/>
          <w:b/>
          <w:bCs/>
        </w:rPr>
      </w:pPr>
      <w:bookmarkStart w:id="528" w:name="_Toc989415"/>
      <w:r>
        <w:rPr>
          <w:rFonts w:ascii="宋体" w:hAnsi="宋体" w:cs="宋体"/>
          <w:b/>
          <w:bCs/>
        </w:rPr>
        <w:t>8、不以公允价值计量的金融资产和金融负债的公允价值情况</w:t>
      </w:r>
      <w:bookmarkEnd w:id="528"/>
    </w:p>
    <w:p w:rsidR="000F627F" w:rsidRDefault="000F627F">
      <w:pPr>
        <w:pStyle w:val="a3"/>
        <w:divId w:val="578447000"/>
      </w:pPr>
      <w:r>
        <w:rPr>
          <w:rFonts w:hint="eastAsia"/>
          <w:sz w:val="18"/>
          <w:szCs w:val="18"/>
        </w:rPr>
        <w:t>无。</w:t>
      </w:r>
    </w:p>
    <w:p w:rsidR="000D58D8" w:rsidRDefault="000F627F">
      <w:pPr>
        <w:pStyle w:val="3"/>
        <w:spacing w:line="280" w:lineRule="exact"/>
        <w:jc w:val="left"/>
        <w:rPr>
          <w:rFonts w:ascii="宋体" w:hAnsi="宋体" w:cs="宋体"/>
          <w:b/>
          <w:bCs/>
        </w:rPr>
      </w:pPr>
      <w:bookmarkStart w:id="529" w:name="_Toc989416"/>
      <w:r>
        <w:rPr>
          <w:rFonts w:ascii="宋体" w:hAnsi="宋体" w:cs="宋体"/>
          <w:b/>
          <w:bCs/>
        </w:rPr>
        <w:t>9、其他</w:t>
      </w:r>
      <w:bookmarkEnd w:id="529"/>
    </w:p>
    <w:p w:rsidR="000F627F" w:rsidRDefault="000F627F">
      <w:pPr>
        <w:divId w:val="1850561904"/>
        <w:rPr>
          <w:sz w:val="18"/>
          <w:szCs w:val="18"/>
        </w:rPr>
      </w:pPr>
    </w:p>
    <w:p w:rsidR="000D58D8" w:rsidRDefault="000F627F">
      <w:pPr>
        <w:pStyle w:val="2"/>
        <w:spacing w:before="300" w:after="300" w:line="320" w:lineRule="exact"/>
        <w:rPr>
          <w:rFonts w:ascii="宋体" w:eastAsia="宋体" w:hAnsi="宋体" w:cs="宋体"/>
          <w:b/>
          <w:bCs/>
          <w:sz w:val="24"/>
          <w:szCs w:val="24"/>
        </w:rPr>
      </w:pPr>
      <w:bookmarkStart w:id="530" w:name="_Toc989417"/>
      <w:r>
        <w:rPr>
          <w:rFonts w:ascii="宋体" w:eastAsia="宋体" w:hAnsi="宋体" w:cs="宋体"/>
          <w:b/>
          <w:bCs/>
          <w:sz w:val="24"/>
          <w:szCs w:val="24"/>
        </w:rPr>
        <w:t>十四、关联方及关联交易</w:t>
      </w:r>
      <w:bookmarkEnd w:id="530"/>
    </w:p>
    <w:p w:rsidR="000D58D8" w:rsidRDefault="000F627F">
      <w:pPr>
        <w:pStyle w:val="3"/>
        <w:spacing w:line="280" w:lineRule="exact"/>
        <w:jc w:val="left"/>
        <w:rPr>
          <w:rFonts w:ascii="宋体" w:hAnsi="宋体" w:cs="宋体"/>
          <w:b/>
          <w:bCs/>
        </w:rPr>
      </w:pPr>
      <w:bookmarkStart w:id="531" w:name="_Toc989418"/>
      <w:r>
        <w:rPr>
          <w:rFonts w:ascii="宋体" w:hAnsi="宋体" w:cs="宋体"/>
          <w:b/>
          <w:bCs/>
        </w:rPr>
        <w:t>1、本企业的母公司情况</w:t>
      </w:r>
      <w:bookmarkEnd w:id="531"/>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84"/>
        <w:gridCol w:w="1418"/>
        <w:gridCol w:w="2551"/>
        <w:gridCol w:w="1072"/>
        <w:gridCol w:w="1607"/>
        <w:gridCol w:w="1607"/>
      </w:tblGrid>
      <w:tr w:rsidR="000D58D8" w:rsidTr="00587BBA">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母公司名称</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255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1072"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母公司对本企业的持股比例</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母公司对本企业的表决权比例</w:t>
            </w:r>
          </w:p>
        </w:tc>
      </w:tr>
      <w:tr w:rsidR="000D58D8" w:rsidTr="00587BBA">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41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255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投资兴办实业(具体项目另行申报)；色纺纱、服装经营；纺织设备进出口业务；在合法取得的土地使用权范围内从事房地产开发、经营；计算机应用、软件开发。</w:t>
            </w:r>
          </w:p>
        </w:tc>
        <w:tc>
          <w:tcPr>
            <w:tcW w:w="1072"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41,300.00</w:t>
            </w:r>
          </w:p>
        </w:tc>
        <w:tc>
          <w:tcPr>
            <w:tcW w:w="160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30.62%</w:t>
            </w:r>
          </w:p>
        </w:tc>
        <w:tc>
          <w:tcPr>
            <w:tcW w:w="160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30.62%</w:t>
            </w:r>
          </w:p>
        </w:tc>
      </w:tr>
    </w:tbl>
    <w:p w:rsidR="000F627F" w:rsidRPr="00587BBA" w:rsidRDefault="000F627F" w:rsidP="00587BBA">
      <w:pPr>
        <w:spacing w:before="100" w:after="100" w:line="240" w:lineRule="exact"/>
        <w:rPr>
          <w:rFonts w:ascii="宋体" w:eastAsia="宋体" w:hAnsi="宋体" w:cs="宋体"/>
          <w:sz w:val="18"/>
          <w:szCs w:val="18"/>
        </w:rPr>
      </w:pPr>
      <w:r>
        <w:rPr>
          <w:rFonts w:ascii="宋体" w:eastAsia="宋体" w:hAnsi="宋体" w:cs="宋体"/>
          <w:sz w:val="18"/>
          <w:szCs w:val="18"/>
        </w:rPr>
        <w:t>本企业的母公司情况的说明</w:t>
      </w: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本企业最终控制方是孙伟挺和陈玲芬。</w:t>
      </w:r>
    </w:p>
    <w:p w:rsidR="000F627F" w:rsidRPr="00587BBA" w:rsidRDefault="000F627F" w:rsidP="00587BBA">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532" w:name="_Toc989419"/>
      <w:r>
        <w:rPr>
          <w:rFonts w:ascii="宋体" w:hAnsi="宋体" w:cs="宋体"/>
          <w:b/>
          <w:bCs/>
        </w:rPr>
        <w:t>2、本企业的子公司情况</w:t>
      </w:r>
      <w:bookmarkEnd w:id="53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本企业子公司的情况详见附注十</w:t>
      </w:r>
      <w:proofErr w:type="gramStart"/>
      <w:r>
        <w:rPr>
          <w:rFonts w:ascii="宋体" w:eastAsia="宋体" w:hAnsi="宋体" w:cs="宋体"/>
          <w:sz w:val="18"/>
          <w:szCs w:val="18"/>
        </w:rPr>
        <w:t>1</w:t>
      </w:r>
      <w:proofErr w:type="gramEnd"/>
      <w:r>
        <w:rPr>
          <w:rFonts w:ascii="宋体" w:eastAsia="宋体" w:hAnsi="宋体" w:cs="宋体"/>
          <w:sz w:val="18"/>
          <w:szCs w:val="18"/>
        </w:rPr>
        <w:t>、在子公司中的权益。</w:t>
      </w:r>
    </w:p>
    <w:p w:rsidR="000D58D8" w:rsidRDefault="000F627F">
      <w:pPr>
        <w:pStyle w:val="3"/>
        <w:spacing w:line="280" w:lineRule="exact"/>
        <w:jc w:val="left"/>
        <w:rPr>
          <w:rFonts w:ascii="宋体" w:hAnsi="宋体" w:cs="宋体"/>
          <w:b/>
          <w:bCs/>
        </w:rPr>
      </w:pPr>
      <w:bookmarkStart w:id="533" w:name="_Toc989420"/>
      <w:r>
        <w:rPr>
          <w:rFonts w:ascii="宋体" w:hAnsi="宋体" w:cs="宋体"/>
          <w:b/>
          <w:bCs/>
        </w:rPr>
        <w:t>3、本企业合营和联营企业情况</w:t>
      </w:r>
      <w:bookmarkEnd w:id="53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本企业重要的合营或联营企业详见附注十</w:t>
      </w:r>
      <w:proofErr w:type="gramStart"/>
      <w:r>
        <w:rPr>
          <w:rFonts w:ascii="宋体" w:eastAsia="宋体" w:hAnsi="宋体" w:cs="宋体"/>
          <w:sz w:val="18"/>
          <w:szCs w:val="18"/>
        </w:rPr>
        <w:t>3</w:t>
      </w:r>
      <w:proofErr w:type="gramEnd"/>
      <w:r>
        <w:rPr>
          <w:rFonts w:ascii="宋体" w:eastAsia="宋体" w:hAnsi="宋体" w:cs="宋体"/>
          <w:sz w:val="18"/>
          <w:szCs w:val="18"/>
        </w:rPr>
        <w:t>、在合营安排或联营企业中的权益。</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本期与本公司发生关联方交易，或前期与本公司发生关联方交易形成余额的其他合营或联营企业情况如下：</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合营或联营企业名称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与本企业关系</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福田实业（集团）有限公司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本公司子公司联营企业</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东莞沙田丽海纺织印染有限公司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本公司联营企业福田实业（集团）有限公司的子公司</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江阴福汇纺织</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本公司联营企业福田实业（集团）有限公司的子公司</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盐城福汇纺织</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本公司联营企业福田实业（集团）有限公司的子公司</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汉盛有限公司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本公司联营企业福田实业（集团）有限公司的子公司</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江苏科孚纺织品贸易有限公司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本公司子公司联营企业</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安徽环</w:t>
            </w:r>
            <w:proofErr w:type="gramStart"/>
            <w:r>
              <w:rPr>
                <w:rFonts w:ascii="宋体" w:eastAsia="宋体" w:hAnsi="宋体" w:cs="宋体"/>
                <w:sz w:val="18"/>
                <w:szCs w:val="18"/>
              </w:rPr>
              <w:t>捷供应</w:t>
            </w:r>
            <w:proofErr w:type="gramEnd"/>
            <w:r>
              <w:rPr>
                <w:rFonts w:ascii="宋体" w:eastAsia="宋体" w:hAnsi="宋体" w:cs="宋体"/>
                <w:sz w:val="18"/>
                <w:szCs w:val="18"/>
              </w:rPr>
              <w:t>链管理有限公司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2023年11月28日前系本公司子公司联营企业</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浙江</w:t>
            </w:r>
            <w:proofErr w:type="gramStart"/>
            <w:r>
              <w:rPr>
                <w:rFonts w:ascii="宋体" w:eastAsia="宋体" w:hAnsi="宋体" w:cs="宋体"/>
                <w:sz w:val="18"/>
                <w:szCs w:val="18"/>
              </w:rPr>
              <w:t>华尚产业</w:t>
            </w:r>
            <w:proofErr w:type="gramEnd"/>
            <w:r>
              <w:rPr>
                <w:rFonts w:ascii="宋体" w:eastAsia="宋体" w:hAnsi="宋体" w:cs="宋体"/>
                <w:sz w:val="18"/>
                <w:szCs w:val="18"/>
              </w:rPr>
              <w:t>运营有限公司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本公司子公司联营企业</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pStyle w:val="a3"/>
        <w:divId w:val="1263491683"/>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534" w:name="_Toc989421"/>
      <w:r>
        <w:rPr>
          <w:rFonts w:ascii="宋体" w:hAnsi="宋体" w:cs="宋体"/>
          <w:b/>
          <w:bCs/>
        </w:rPr>
        <w:t>4、其他关联方情况</w:t>
      </w:r>
      <w:bookmarkEnd w:id="534"/>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其他关联方与本企业关系</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宁海华联纺织有限公司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宁海县华兴纺织原料有限公司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实际控制人控制的公司</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浙江华孚纺织有限公司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余姚华联纺织有限公司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浙江万孚投资集团有限公司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安徽新一棉纺织有限公司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深圳市华人投资有限公司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本公司股东、实际控制人控制的公司</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proofErr w:type="gramStart"/>
            <w:r>
              <w:rPr>
                <w:rFonts w:ascii="宋体" w:eastAsia="宋体" w:hAnsi="宋体" w:cs="宋体"/>
                <w:sz w:val="18"/>
                <w:szCs w:val="18"/>
              </w:rPr>
              <w:t>浙江万孚物业管理</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安徽飞亚纺织集团有限公司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本公司股东、与本公司为同一控股股东</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石河子国民村镇银行有限责任公司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本公司持有5%的股权</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上虞市华孚房地产开发有限公司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新疆恒孚棉产业集团有限公司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新疆棉花产业集团有限公司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控股子公司少数股东</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孙伟挺，陈玲芬，陈翰，刁英峰，高卫东，黄亚英，程桂松，王国友，张正，盛永月，熊旭锋，宣刚江</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本公司董事、监事及其他高级管理人员</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新疆纺织工业城有限公司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库车银花棉业有限责任公司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2022年5月前系合并范围内子公司</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市传澄</w:t>
            </w:r>
            <w:proofErr w:type="gramEnd"/>
            <w:r>
              <w:rPr>
                <w:rFonts w:ascii="宋体" w:eastAsia="宋体" w:hAnsi="宋体" w:cs="宋体"/>
                <w:sz w:val="18"/>
                <w:szCs w:val="18"/>
              </w:rPr>
              <w:t>电子商务有限公司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其他关联方</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淡安（江苏）健康产业有限公司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市传澄</w:t>
            </w:r>
            <w:proofErr w:type="gramEnd"/>
            <w:r>
              <w:rPr>
                <w:rFonts w:ascii="宋体" w:eastAsia="宋体" w:hAnsi="宋体" w:cs="宋体"/>
                <w:sz w:val="18"/>
                <w:szCs w:val="18"/>
              </w:rPr>
              <w:t>子公司</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江苏</w:t>
            </w:r>
            <w:proofErr w:type="gramStart"/>
            <w:r>
              <w:rPr>
                <w:rFonts w:ascii="宋体" w:eastAsia="宋体" w:hAnsi="宋体" w:cs="宋体"/>
                <w:sz w:val="18"/>
                <w:szCs w:val="18"/>
              </w:rPr>
              <w:t>传澄文化</w:t>
            </w:r>
            <w:proofErr w:type="gramEnd"/>
            <w:r>
              <w:rPr>
                <w:rFonts w:ascii="宋体" w:eastAsia="宋体" w:hAnsi="宋体" w:cs="宋体"/>
                <w:sz w:val="18"/>
                <w:szCs w:val="18"/>
              </w:rPr>
              <w:t>传播有限公司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市传澄</w:t>
            </w:r>
            <w:proofErr w:type="gramEnd"/>
            <w:r>
              <w:rPr>
                <w:rFonts w:ascii="宋体" w:eastAsia="宋体" w:hAnsi="宋体" w:cs="宋体"/>
                <w:sz w:val="18"/>
                <w:szCs w:val="18"/>
              </w:rPr>
              <w:t>子公司</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上海</w:t>
            </w:r>
            <w:proofErr w:type="gramStart"/>
            <w:r>
              <w:rPr>
                <w:rFonts w:ascii="宋体" w:eastAsia="宋体" w:hAnsi="宋体" w:cs="宋体"/>
                <w:sz w:val="18"/>
                <w:szCs w:val="18"/>
              </w:rPr>
              <w:t>传澄供应</w:t>
            </w:r>
            <w:proofErr w:type="gramEnd"/>
            <w:r>
              <w:rPr>
                <w:rFonts w:ascii="宋体" w:eastAsia="宋体" w:hAnsi="宋体" w:cs="宋体"/>
                <w:sz w:val="18"/>
                <w:szCs w:val="18"/>
              </w:rPr>
              <w:t>链管理有限公司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市传澄</w:t>
            </w:r>
            <w:proofErr w:type="gramEnd"/>
            <w:r>
              <w:rPr>
                <w:rFonts w:ascii="宋体" w:eastAsia="宋体" w:hAnsi="宋体" w:cs="宋体"/>
                <w:sz w:val="18"/>
                <w:szCs w:val="18"/>
              </w:rPr>
              <w:t>子公司</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市大澄企业管理</w:t>
            </w:r>
            <w:proofErr w:type="gramEnd"/>
            <w:r>
              <w:rPr>
                <w:rFonts w:ascii="宋体" w:eastAsia="宋体" w:hAnsi="宋体" w:cs="宋体"/>
                <w:sz w:val="18"/>
                <w:szCs w:val="18"/>
              </w:rPr>
              <w:t>合伙企业（有限合伙）</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市传澄</w:t>
            </w:r>
            <w:proofErr w:type="gramEnd"/>
            <w:r>
              <w:rPr>
                <w:rFonts w:ascii="宋体" w:eastAsia="宋体" w:hAnsi="宋体" w:cs="宋体"/>
                <w:sz w:val="18"/>
                <w:szCs w:val="18"/>
              </w:rPr>
              <w:t>子公司</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吉安供应链管理淮安有限公司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持有子公司阿克苏银星物流有限公司20%股份</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呼图壁县</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2023年6月前系合并范围内子公司</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阿瓦提银花棉业有限责任公司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2022年9月前系合并范围内子公司</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库车</w:t>
            </w:r>
            <w:proofErr w:type="gramStart"/>
            <w:r>
              <w:rPr>
                <w:rFonts w:ascii="宋体" w:eastAsia="宋体" w:hAnsi="宋体" w:cs="宋体"/>
                <w:sz w:val="18"/>
                <w:szCs w:val="18"/>
              </w:rPr>
              <w:t>恒丰棉业</w:t>
            </w:r>
            <w:proofErr w:type="gramEnd"/>
            <w:r>
              <w:rPr>
                <w:rFonts w:ascii="宋体" w:eastAsia="宋体" w:hAnsi="宋体" w:cs="宋体"/>
                <w:sz w:val="18"/>
                <w:szCs w:val="18"/>
              </w:rPr>
              <w:t>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2023年7月前系合并范围内子公司</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新疆棉花产业（集团）叶城棉业有限责任公司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2023年8月前系合并范围内子公司</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阿克苏地区华孚纺织职业培训学校</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安徽昊泰纺织有限公司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浙江万孚投资集团有限公司控股子公司，孙伟挺担任法定代表人</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新疆棉花产业集团泽普棉业有限公司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2023年9月前系合并范围内子公司</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钟耀栋、蔡姗妮</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控股子公司浙江</w:t>
            </w:r>
            <w:proofErr w:type="gramStart"/>
            <w:r>
              <w:rPr>
                <w:rFonts w:ascii="宋体" w:eastAsia="宋体" w:hAnsi="宋体" w:cs="宋体"/>
                <w:sz w:val="18"/>
                <w:szCs w:val="18"/>
              </w:rPr>
              <w:t>鲲驰小</w:t>
            </w:r>
            <w:proofErr w:type="gramEnd"/>
            <w:r>
              <w:rPr>
                <w:rFonts w:ascii="宋体" w:eastAsia="宋体" w:hAnsi="宋体" w:cs="宋体"/>
                <w:sz w:val="18"/>
                <w:szCs w:val="18"/>
              </w:rPr>
              <w:t>股东</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浙江华孚网链投资管理有限公司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与本公司为同一控股股东，孙伟挺担任法定代表人</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浙江博忆纺织科技有限公司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2023年11月前系浙江鲲驰子公司</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新疆生产建设兵团第七</w:t>
            </w:r>
            <w:proofErr w:type="gramStart"/>
            <w:r>
              <w:rPr>
                <w:rFonts w:ascii="宋体" w:eastAsia="宋体" w:hAnsi="宋体" w:cs="宋体"/>
                <w:sz w:val="18"/>
                <w:szCs w:val="18"/>
              </w:rPr>
              <w:t>师国有</w:t>
            </w:r>
            <w:proofErr w:type="gramEnd"/>
            <w:r>
              <w:rPr>
                <w:rFonts w:ascii="宋体" w:eastAsia="宋体" w:hAnsi="宋体" w:cs="宋体"/>
                <w:sz w:val="18"/>
                <w:szCs w:val="18"/>
              </w:rPr>
              <w:t>资本投资运营集团有限公司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2021年2月前系持有</w:t>
            </w:r>
            <w:proofErr w:type="gramStart"/>
            <w:r>
              <w:rPr>
                <w:rFonts w:ascii="宋体" w:eastAsia="宋体" w:hAnsi="宋体" w:cs="宋体"/>
                <w:sz w:val="18"/>
                <w:szCs w:val="18"/>
              </w:rPr>
              <w:t>奎屯锦孚</w:t>
            </w:r>
            <w:proofErr w:type="gramEnd"/>
            <w:r>
              <w:rPr>
                <w:rFonts w:ascii="宋体" w:eastAsia="宋体" w:hAnsi="宋体" w:cs="宋体"/>
                <w:sz w:val="18"/>
                <w:szCs w:val="18"/>
              </w:rPr>
              <w:t>33%的小股东</w:t>
            </w:r>
          </w:p>
        </w:tc>
      </w:tr>
    </w:tbl>
    <w:p w:rsidR="000F627F" w:rsidRPr="00587BBA" w:rsidRDefault="000F627F" w:rsidP="00587BBA">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535" w:name="_Toc989422"/>
      <w:r>
        <w:rPr>
          <w:rFonts w:ascii="宋体" w:hAnsi="宋体" w:cs="宋体"/>
          <w:b/>
          <w:bCs/>
        </w:rPr>
        <w:t>5、关联交易情况</w:t>
      </w:r>
      <w:bookmarkEnd w:id="535"/>
    </w:p>
    <w:p w:rsidR="000D58D8" w:rsidRDefault="000F627F">
      <w:pPr>
        <w:keepNext/>
        <w:keepLines/>
        <w:spacing w:before="300" w:after="300" w:line="280" w:lineRule="exact"/>
        <w:outlineLvl w:val="3"/>
        <w:rPr>
          <w:rFonts w:ascii="宋体" w:eastAsia="宋体" w:hAnsi="宋体" w:cs="宋体"/>
          <w:b/>
          <w:bCs/>
          <w:szCs w:val="21"/>
        </w:rPr>
      </w:pPr>
      <w:bookmarkStart w:id="536" w:name="_Toc989423"/>
      <w:r>
        <w:rPr>
          <w:rFonts w:ascii="宋体" w:eastAsia="宋体" w:hAnsi="宋体" w:cs="宋体"/>
          <w:b/>
          <w:bCs/>
          <w:szCs w:val="21"/>
        </w:rPr>
        <w:t>（1） 购销商品、提供和接受劳务的关联交易</w:t>
      </w:r>
      <w:bookmarkEnd w:id="53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采购商品/接受劳务情况表</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关联方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获批的交易额度</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是否超过交易额度</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江苏科孚纺织品贸易有限公司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采购棉花</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41,067,832.08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18,065,284.68</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安徽环</w:t>
            </w:r>
            <w:proofErr w:type="gramStart"/>
            <w:r>
              <w:rPr>
                <w:rFonts w:ascii="宋体" w:eastAsia="宋体" w:hAnsi="宋体" w:cs="宋体"/>
                <w:sz w:val="18"/>
                <w:szCs w:val="18"/>
              </w:rPr>
              <w:t>捷供应</w:t>
            </w:r>
            <w:proofErr w:type="gramEnd"/>
            <w:r>
              <w:rPr>
                <w:rFonts w:ascii="宋体" w:eastAsia="宋体" w:hAnsi="宋体" w:cs="宋体"/>
                <w:sz w:val="18"/>
                <w:szCs w:val="18"/>
              </w:rPr>
              <w:t>链管理有限公司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仓储物流服务</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189,820,828.76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34,083,408.60</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吉安供应链管理淮安有限公司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仓储物流服务</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800,339.88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呼图壁县</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采购棉花</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90,678,519.11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出售商品/提供劳务情况表</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库车银花棉业有限责任公司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销售皮棉</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185,840.71</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市传澄</w:t>
            </w:r>
            <w:proofErr w:type="gramEnd"/>
            <w:r>
              <w:rPr>
                <w:rFonts w:ascii="宋体" w:eastAsia="宋体" w:hAnsi="宋体" w:cs="宋体"/>
                <w:sz w:val="18"/>
                <w:szCs w:val="18"/>
              </w:rPr>
              <w:t>电子商务有限公司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销售皮棉</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920,499.77</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上海</w:t>
            </w:r>
            <w:proofErr w:type="gramStart"/>
            <w:r>
              <w:rPr>
                <w:rFonts w:ascii="宋体" w:eastAsia="宋体" w:hAnsi="宋体" w:cs="宋体"/>
                <w:sz w:val="18"/>
                <w:szCs w:val="18"/>
              </w:rPr>
              <w:t>传澄供应</w:t>
            </w:r>
            <w:proofErr w:type="gramEnd"/>
            <w:r>
              <w:rPr>
                <w:rFonts w:ascii="宋体" w:eastAsia="宋体" w:hAnsi="宋体" w:cs="宋体"/>
                <w:sz w:val="18"/>
                <w:szCs w:val="18"/>
              </w:rPr>
              <w:t>链管理有限公司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销售商品</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8,065.97</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浙江华孚产业运营有限公司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销售纱线</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132,528.82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阿克苏地区华孚纺织职业培训学校</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服务费</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4,000,200.00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bl>
    <w:p w:rsidR="000F627F" w:rsidRPr="00587BBA" w:rsidRDefault="000F627F" w:rsidP="00587BBA">
      <w:pPr>
        <w:spacing w:before="100" w:after="100" w:line="240" w:lineRule="exact"/>
        <w:rPr>
          <w:rFonts w:ascii="宋体" w:eastAsia="宋体" w:hAnsi="宋体" w:cs="宋体"/>
          <w:sz w:val="18"/>
          <w:szCs w:val="18"/>
        </w:rPr>
      </w:pPr>
      <w:r>
        <w:rPr>
          <w:rFonts w:ascii="宋体" w:eastAsia="宋体" w:hAnsi="宋体" w:cs="宋体"/>
          <w:sz w:val="18"/>
          <w:szCs w:val="18"/>
        </w:rPr>
        <w:t>购销商品、提供和接受劳务的关联交易说明</w:t>
      </w:r>
      <w:r w:rsidR="00587BBA">
        <w:rPr>
          <w:rFonts w:ascii="宋体" w:eastAsia="宋体" w:hAnsi="宋体" w:cs="宋体" w:hint="eastAsia"/>
          <w:sz w:val="18"/>
          <w:szCs w:val="18"/>
        </w:rPr>
        <w:t>：</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537" w:name="_Toc989424"/>
      <w:r>
        <w:rPr>
          <w:rFonts w:ascii="宋体" w:eastAsia="宋体" w:hAnsi="宋体" w:cs="宋体"/>
          <w:b/>
          <w:bCs/>
          <w:szCs w:val="21"/>
        </w:rPr>
        <w:t>（2） 关联受托管理/承包及委托管理/出包情况</w:t>
      </w:r>
      <w:bookmarkEnd w:id="537"/>
    </w:p>
    <w:p w:rsidR="000F627F" w:rsidRDefault="00587BBA">
      <w:pPr>
        <w:divId w:val="1043674942"/>
        <w:rPr>
          <w:sz w:val="18"/>
          <w:szCs w:val="18"/>
        </w:rPr>
      </w:pPr>
      <w:r>
        <w:rPr>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538" w:name="_Toc989425"/>
      <w:r>
        <w:rPr>
          <w:rFonts w:ascii="宋体" w:eastAsia="宋体" w:hAnsi="宋体" w:cs="宋体"/>
          <w:b/>
          <w:bCs/>
          <w:szCs w:val="21"/>
        </w:rPr>
        <w:t>（3） 关联租赁情况</w:t>
      </w:r>
      <w:bookmarkEnd w:id="538"/>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本公司作为出租方：</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承租方名称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租赁资产种类</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本期确认的租赁收入</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上期确认的租赁收入</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市传澄</w:t>
            </w:r>
            <w:proofErr w:type="gramEnd"/>
            <w:r>
              <w:rPr>
                <w:rFonts w:ascii="宋体" w:eastAsia="宋体" w:hAnsi="宋体" w:cs="宋体"/>
                <w:sz w:val="18"/>
                <w:szCs w:val="18"/>
              </w:rPr>
              <w:t>电子商务有限公司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房屋建筑物</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91,743.12</w:t>
            </w:r>
          </w:p>
        </w:tc>
      </w:tr>
    </w:tbl>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本公司作为承租方：</w:t>
      </w:r>
      <w:r w:rsidR="00587BBA">
        <w:rPr>
          <w:rFonts w:ascii="宋体" w:eastAsia="宋体" w:hAnsi="宋体" w:cs="宋体"/>
          <w:sz w:val="18"/>
          <w:szCs w:val="18"/>
        </w:rPr>
        <w:t>无</w:t>
      </w:r>
    </w:p>
    <w:p w:rsidR="000F627F" w:rsidRPr="00587BBA" w:rsidRDefault="000F627F" w:rsidP="00587BBA">
      <w:pPr>
        <w:spacing w:before="100" w:after="100" w:line="240" w:lineRule="exact"/>
        <w:rPr>
          <w:rFonts w:ascii="宋体" w:eastAsia="宋体" w:hAnsi="宋体" w:cs="宋体"/>
          <w:sz w:val="18"/>
          <w:szCs w:val="18"/>
        </w:rPr>
      </w:pPr>
      <w:r>
        <w:rPr>
          <w:rFonts w:ascii="宋体" w:eastAsia="宋体" w:hAnsi="宋体" w:cs="宋体"/>
          <w:sz w:val="18"/>
          <w:szCs w:val="18"/>
        </w:rPr>
        <w:t>关联租赁情况说明</w:t>
      </w:r>
      <w:r w:rsidR="00587BBA">
        <w:rPr>
          <w:rFonts w:ascii="宋体" w:eastAsia="宋体" w:hAnsi="宋体" w:cs="宋体" w:hint="eastAsia"/>
          <w:sz w:val="18"/>
          <w:szCs w:val="18"/>
        </w:rPr>
        <w:t>：</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539" w:name="_Toc989426"/>
      <w:r>
        <w:rPr>
          <w:rFonts w:ascii="宋体" w:eastAsia="宋体" w:hAnsi="宋体" w:cs="宋体"/>
          <w:b/>
          <w:bCs/>
          <w:szCs w:val="21"/>
        </w:rPr>
        <w:t>（4） 关联担保情况</w:t>
      </w:r>
      <w:bookmarkEnd w:id="53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本公司作为担保方</w:t>
      </w:r>
      <w:r w:rsidR="00587BBA">
        <w:rPr>
          <w:rFonts w:ascii="宋体" w:eastAsia="宋体" w:hAnsi="宋体" w:cs="宋体"/>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本公司作为被担保方</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担保是否已经履行完毕</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2023年06月16日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2024年06月16日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37,710,000.00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2020年05月19日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2029年05月18日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2022年05月31日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2023年05月31日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2022年06月17日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2023年06月17日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50,559,082.00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2022年09月27日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2023年09月27日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香港华孚集团有限公司、华孚控股有限公司、孙伟挺、陈玲芬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48,549,224.50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2022年10月20日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2023年01月18日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香港华孚集团有限公司、华孚控股有限公司、孙伟挺、陈玲芬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49,129,850.00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2022年10月24日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2023年10月23日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香港华孚集团有限公司、华孚控股有限公司、孙伟挺、陈玲芬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39,303,880.00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2022年11月22日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2023年02月20日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香港华孚集团有限公司、华孚控股有限公司、孙伟挺、陈玲芬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7,012,169.50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2022年11月23日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2023年02月21日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香港华孚集团有限公司、华孚控股有限公司、孙伟挺、陈玲芬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1,920,530.50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2022年11月23日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2023年02月21日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69,646,000.00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2022年12月21日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2023年04月20日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11,969,818.00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2022年12月20日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2023年12月20日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香港华孚集团有限公司、华孚控股有限公司、孙伟挺、陈玲芬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5,781,644.79</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2022年12月16日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2023年01月16日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香港华孚集团有限公司、华孚控股有限公司、孙伟挺、陈玲芬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5,817,881.95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2022年12月16日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2023年01月16日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香港华孚集团有限公司、华孚控股有限公司、孙伟挺、陈玲芬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11,631,029.30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2022年12月23日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2023年01月23日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3,721,169.13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2022年12月28日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2023年01月28日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2022年02月23日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2023年02月17日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2022年02月23日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2023年02月07日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2022年03月01日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2023年02月23日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2022年03月24日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2023年03月17日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2022年03月24日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2023年03月17日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2022年03月28日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2023年03月24日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2022年05月16日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2023年05月11日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2022年05月25日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2023年04月21日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2022年06月20日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2023年06月16日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2022年07月20日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2023年07月18日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2022年07月20日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2023年07月12日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2022年07月20日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2023年07月18日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2022年07月20日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2023年07月12日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2022年08月24日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2023年02月20日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2022年09月13日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2023年07月19日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2022年11月17日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2023年09月27日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2022年10月17日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2023年10月13日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2022年10月17日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2023年10月13日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2022年10月17日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2023年10月13日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2022年10月20日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2023年07月26日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2022年11月25日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2023年06月28日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2022年06月30日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2023年06月30日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华孚控股有限公司和张晚霞、许栩光夫妇</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2022年07月04日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2023年06月30日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华孚控股有限公司和张晚霞、许栩光夫妇</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2022年07月04日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2023年06月30日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华孚控股有限公司和张晚霞、许栩光夫妇</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2022年07月04日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2023年06月30日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华孚控股有限公司和张晚霞、许栩光夫妇</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2022年07月04日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2023年06月30日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是</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115,000,000.00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2023年04月26日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2024年03月22日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127,000,000.00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2023年05月29日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2024年04月19日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2023年06月16日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2024年05月17日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2023年07月21日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2024年01月18日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2023年07月18日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2024年06月20日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2023年08月04日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2024年02月01日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2023年08月23日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2024年02月19日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2023年08月30日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2024年06月20日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2023年08月30日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2024年07月19日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2023年09月13日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2024年08月22日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50,520,000.00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2023年09月14日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2024年03月11日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49,480,000.00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2023年09月13日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2024年03月11日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2023年09月01日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2024年02月26日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2023年10月19日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2024年04月17日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2023年10月19日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2024年04月17日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2023年10月19日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2024年04月10日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2023年10月19日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2024年04月10日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2023年10月12日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2024年09月06日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150,000,000.00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2023年12月07日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2024年10月11日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46,410,000.00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2023年12月15日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2024年06月14日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30,280,000.00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2023年12月15日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2024年06月14日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23,310,000.00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2023年12月15日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2024年06月14日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45,450,000.00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2023年11月24日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2024年05月22日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20,550,000.00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2023年11月24日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2024年05月22日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34,000,000.00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2023年11月24日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2024年05月22日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否</w:t>
            </w:r>
          </w:p>
        </w:tc>
      </w:tr>
    </w:tbl>
    <w:p w:rsidR="000F627F" w:rsidRPr="00587BBA" w:rsidRDefault="000F627F" w:rsidP="00587BBA">
      <w:pPr>
        <w:spacing w:before="100" w:after="100" w:line="240" w:lineRule="exact"/>
        <w:rPr>
          <w:rFonts w:ascii="宋体" w:eastAsia="宋体" w:hAnsi="宋体" w:cs="宋体"/>
          <w:sz w:val="18"/>
          <w:szCs w:val="18"/>
        </w:rPr>
      </w:pPr>
      <w:r>
        <w:rPr>
          <w:rFonts w:ascii="宋体" w:eastAsia="宋体" w:hAnsi="宋体" w:cs="宋体"/>
          <w:sz w:val="18"/>
          <w:szCs w:val="18"/>
        </w:rPr>
        <w:t>关联担保情况说明</w:t>
      </w:r>
      <w:r w:rsidR="00587BBA">
        <w:rPr>
          <w:rFonts w:ascii="宋体" w:eastAsia="宋体" w:hAnsi="宋体" w:cs="宋体" w:hint="eastAsia"/>
          <w:sz w:val="18"/>
          <w:szCs w:val="18"/>
        </w:rPr>
        <w:t>：</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540" w:name="_Toc989427"/>
      <w:r>
        <w:rPr>
          <w:rFonts w:ascii="宋体" w:eastAsia="宋体" w:hAnsi="宋体" w:cs="宋体"/>
          <w:b/>
          <w:bCs/>
          <w:szCs w:val="21"/>
        </w:rPr>
        <w:t>（5） 关联方资金拆借</w:t>
      </w:r>
      <w:bookmarkEnd w:id="540"/>
    </w:p>
    <w:p w:rsidR="000D58D8" w:rsidRDefault="000F627F">
      <w:pPr>
        <w:keepNext/>
        <w:keepLines/>
        <w:spacing w:before="300" w:after="300" w:line="280" w:lineRule="exact"/>
        <w:outlineLvl w:val="3"/>
        <w:rPr>
          <w:rFonts w:ascii="宋体" w:eastAsia="宋体" w:hAnsi="宋体" w:cs="宋体"/>
          <w:b/>
          <w:bCs/>
          <w:szCs w:val="21"/>
        </w:rPr>
      </w:pPr>
      <w:bookmarkStart w:id="541" w:name="_Toc989428"/>
      <w:r>
        <w:rPr>
          <w:rFonts w:ascii="宋体" w:eastAsia="宋体" w:hAnsi="宋体" w:cs="宋体"/>
          <w:b/>
          <w:bCs/>
          <w:szCs w:val="21"/>
        </w:rPr>
        <w:t>（6） 关联方资产转让、债务重组情况</w:t>
      </w:r>
      <w:bookmarkEnd w:id="541"/>
    </w:p>
    <w:p w:rsidR="000D58D8" w:rsidRDefault="000F627F">
      <w:pPr>
        <w:keepNext/>
        <w:keepLines/>
        <w:spacing w:before="300" w:after="300" w:line="280" w:lineRule="exact"/>
        <w:outlineLvl w:val="3"/>
        <w:rPr>
          <w:rFonts w:ascii="宋体" w:eastAsia="宋体" w:hAnsi="宋体" w:cs="宋体"/>
          <w:b/>
          <w:bCs/>
          <w:szCs w:val="21"/>
        </w:rPr>
      </w:pPr>
      <w:bookmarkStart w:id="542" w:name="_Toc989429"/>
      <w:r>
        <w:rPr>
          <w:rFonts w:ascii="宋体" w:eastAsia="宋体" w:hAnsi="宋体" w:cs="宋体"/>
          <w:b/>
          <w:bCs/>
          <w:szCs w:val="21"/>
        </w:rPr>
        <w:t>（7） 关键管理人员报酬</w:t>
      </w:r>
      <w:bookmarkEnd w:id="542"/>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关键管理人员薪酬</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9,180,000.00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9,360,000.00</w:t>
            </w:r>
          </w:p>
        </w:tc>
      </w:tr>
    </w:tbl>
    <w:p w:rsidR="000D58D8" w:rsidRDefault="000F627F">
      <w:pPr>
        <w:keepNext/>
        <w:keepLines/>
        <w:spacing w:before="300" w:after="300" w:line="280" w:lineRule="exact"/>
        <w:outlineLvl w:val="3"/>
        <w:rPr>
          <w:rFonts w:ascii="宋体" w:eastAsia="宋体" w:hAnsi="宋体" w:cs="宋体"/>
          <w:b/>
          <w:bCs/>
          <w:szCs w:val="21"/>
        </w:rPr>
      </w:pPr>
      <w:bookmarkStart w:id="543" w:name="_Toc989430"/>
      <w:r>
        <w:rPr>
          <w:rFonts w:ascii="宋体" w:eastAsia="宋体" w:hAnsi="宋体" w:cs="宋体"/>
          <w:b/>
          <w:bCs/>
          <w:szCs w:val="21"/>
        </w:rPr>
        <w:t>（8） 其他关联交易</w:t>
      </w:r>
      <w:bookmarkEnd w:id="543"/>
    </w:p>
    <w:p w:rsidR="000F627F" w:rsidRDefault="000F627F">
      <w:pPr>
        <w:pStyle w:val="a3"/>
        <w:divId w:val="1468547070"/>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544" w:name="_Toc989431"/>
      <w:r>
        <w:rPr>
          <w:rFonts w:ascii="宋体" w:hAnsi="宋体" w:cs="宋体"/>
          <w:b/>
          <w:bCs/>
        </w:rPr>
        <w:t>6、关联方应收应付款项</w:t>
      </w:r>
      <w:bookmarkEnd w:id="544"/>
    </w:p>
    <w:p w:rsidR="000D58D8" w:rsidRDefault="000F627F">
      <w:pPr>
        <w:keepNext/>
        <w:keepLines/>
        <w:spacing w:before="300" w:after="300" w:line="280" w:lineRule="exact"/>
        <w:outlineLvl w:val="3"/>
        <w:rPr>
          <w:rFonts w:ascii="宋体" w:eastAsia="宋体" w:hAnsi="宋体" w:cs="宋体"/>
          <w:b/>
          <w:bCs/>
          <w:szCs w:val="21"/>
        </w:rPr>
      </w:pPr>
      <w:bookmarkStart w:id="545" w:name="_Toc989432"/>
      <w:r>
        <w:rPr>
          <w:rFonts w:ascii="宋体" w:eastAsia="宋体" w:hAnsi="宋体" w:cs="宋体"/>
          <w:b/>
          <w:bCs/>
          <w:szCs w:val="21"/>
        </w:rPr>
        <w:t>（1） 应收项目</w:t>
      </w:r>
      <w:bookmarkEnd w:id="545"/>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7"/>
        <w:gridCol w:w="1606"/>
        <w:gridCol w:w="1606"/>
        <w:gridCol w:w="1607"/>
        <w:gridCol w:w="1606"/>
        <w:gridCol w:w="1607"/>
      </w:tblGrid>
      <w:tr w:rsidR="000D58D8">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应收账款</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江阴</w:t>
            </w:r>
            <w:proofErr w:type="gramStart"/>
            <w:r>
              <w:rPr>
                <w:rFonts w:ascii="宋体" w:eastAsia="宋体" w:hAnsi="宋体" w:cs="宋体"/>
                <w:sz w:val="18"/>
                <w:szCs w:val="18"/>
              </w:rPr>
              <w:t>市传澄</w:t>
            </w:r>
            <w:proofErr w:type="gramEnd"/>
            <w:r>
              <w:rPr>
                <w:rFonts w:ascii="宋体" w:eastAsia="宋体" w:hAnsi="宋体" w:cs="宋体"/>
                <w:sz w:val="18"/>
                <w:szCs w:val="18"/>
              </w:rPr>
              <w:t>电子商务有限公司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112,963.97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11,296.40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124,453.11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6,222.66</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库车银花棉业有限责任公司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244,800.00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12,240.00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210,000.00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10,500.00</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阿瓦提银花棉业有限责任公司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570,000.00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28,500.00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呼图壁县</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511,000.00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25,550.00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库车</w:t>
            </w:r>
            <w:proofErr w:type="gramStart"/>
            <w:r>
              <w:rPr>
                <w:rFonts w:ascii="宋体" w:eastAsia="宋体" w:hAnsi="宋体" w:cs="宋体"/>
                <w:sz w:val="18"/>
                <w:szCs w:val="18"/>
              </w:rPr>
              <w:t>恒丰棉业</w:t>
            </w:r>
            <w:proofErr w:type="gramEnd"/>
            <w:r>
              <w:rPr>
                <w:rFonts w:ascii="宋体" w:eastAsia="宋体" w:hAnsi="宋体" w:cs="宋体"/>
                <w:sz w:val="18"/>
                <w:szCs w:val="18"/>
              </w:rPr>
              <w:t>有限责任公司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182,000.00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9,100.00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预付账款</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呼图壁县</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117,859,346.61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安徽环</w:t>
            </w:r>
            <w:proofErr w:type="gramStart"/>
            <w:r>
              <w:rPr>
                <w:rFonts w:ascii="宋体" w:eastAsia="宋体" w:hAnsi="宋体" w:cs="宋体"/>
                <w:sz w:val="18"/>
                <w:szCs w:val="18"/>
              </w:rPr>
              <w:t>捷供应</w:t>
            </w:r>
            <w:proofErr w:type="gramEnd"/>
            <w:r>
              <w:rPr>
                <w:rFonts w:ascii="宋体" w:eastAsia="宋体" w:hAnsi="宋体" w:cs="宋体"/>
                <w:sz w:val="18"/>
                <w:szCs w:val="18"/>
              </w:rPr>
              <w:t>链管理有限公司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3,079,386.96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江苏科孚纺织品贸易有限公司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4,183,152.66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其他应收款</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新疆棉花产业集团有限公司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93,562.80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93,562.80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5,803,479.86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5,782,783.89</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第七</w:t>
            </w:r>
            <w:proofErr w:type="gramStart"/>
            <w:r>
              <w:rPr>
                <w:rFonts w:ascii="宋体" w:eastAsia="宋体" w:hAnsi="宋体" w:cs="宋体"/>
                <w:sz w:val="18"/>
                <w:szCs w:val="18"/>
              </w:rPr>
              <w:t>师国有</w:t>
            </w:r>
            <w:proofErr w:type="gramEnd"/>
            <w:r>
              <w:rPr>
                <w:rFonts w:ascii="宋体" w:eastAsia="宋体" w:hAnsi="宋体" w:cs="宋体"/>
                <w:sz w:val="18"/>
                <w:szCs w:val="18"/>
              </w:rPr>
              <w:t>资产经营有限公司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371,904.51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371,904.51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371,904.51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371,904.51</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江阴</w:t>
            </w:r>
            <w:proofErr w:type="gramStart"/>
            <w:r>
              <w:rPr>
                <w:rFonts w:ascii="宋体" w:eastAsia="宋体" w:hAnsi="宋体" w:cs="宋体"/>
                <w:sz w:val="18"/>
                <w:szCs w:val="18"/>
              </w:rPr>
              <w:t>市传澄</w:t>
            </w:r>
            <w:proofErr w:type="gramEnd"/>
            <w:r>
              <w:rPr>
                <w:rFonts w:ascii="宋体" w:eastAsia="宋体" w:hAnsi="宋体" w:cs="宋体"/>
                <w:sz w:val="18"/>
                <w:szCs w:val="18"/>
              </w:rPr>
              <w:t>电子商务有限公司及其子公司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21,963,897.78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7,078,495.11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21,963,897.78</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3,054,247.56</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新疆棉花产业（集团）叶城棉业有限责任公司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55,882.00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2,794.10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其他非流动资产</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浙江华孚网链投资管理有限公司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205,125,725.95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bl>
    <w:p w:rsidR="000D58D8" w:rsidRDefault="000F627F">
      <w:pPr>
        <w:keepNext/>
        <w:keepLines/>
        <w:spacing w:before="300" w:after="300" w:line="280" w:lineRule="exact"/>
        <w:outlineLvl w:val="3"/>
        <w:rPr>
          <w:rFonts w:ascii="宋体" w:eastAsia="宋体" w:hAnsi="宋体" w:cs="宋体"/>
          <w:b/>
          <w:bCs/>
          <w:szCs w:val="21"/>
        </w:rPr>
      </w:pPr>
      <w:bookmarkStart w:id="546" w:name="_Toc989433"/>
      <w:r>
        <w:rPr>
          <w:rFonts w:ascii="宋体" w:eastAsia="宋体" w:hAnsi="宋体" w:cs="宋体"/>
          <w:b/>
          <w:bCs/>
          <w:szCs w:val="21"/>
        </w:rPr>
        <w:t>（2） 应付项目</w:t>
      </w:r>
      <w:bookmarkEnd w:id="546"/>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应付账款</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安徽环</w:t>
            </w:r>
            <w:proofErr w:type="gramStart"/>
            <w:r>
              <w:rPr>
                <w:rFonts w:ascii="宋体" w:eastAsia="宋体" w:hAnsi="宋体" w:cs="宋体"/>
                <w:sz w:val="18"/>
                <w:szCs w:val="18"/>
              </w:rPr>
              <w:t>捷供应</w:t>
            </w:r>
            <w:proofErr w:type="gramEnd"/>
            <w:r>
              <w:rPr>
                <w:rFonts w:ascii="宋体" w:eastAsia="宋体" w:hAnsi="宋体" w:cs="宋体"/>
                <w:sz w:val="18"/>
                <w:szCs w:val="18"/>
              </w:rPr>
              <w:t>链管理有限公司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5,324,895.70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合同负债</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上海</w:t>
            </w:r>
            <w:proofErr w:type="gramStart"/>
            <w:r>
              <w:rPr>
                <w:rFonts w:ascii="宋体" w:eastAsia="宋体" w:hAnsi="宋体" w:cs="宋体"/>
                <w:sz w:val="18"/>
                <w:szCs w:val="18"/>
              </w:rPr>
              <w:t>传澄供应</w:t>
            </w:r>
            <w:proofErr w:type="gramEnd"/>
            <w:r>
              <w:rPr>
                <w:rFonts w:ascii="宋体" w:eastAsia="宋体" w:hAnsi="宋体" w:cs="宋体"/>
                <w:sz w:val="18"/>
                <w:szCs w:val="18"/>
              </w:rPr>
              <w:t>链管理有限公司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792.04</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库车</w:t>
            </w:r>
            <w:proofErr w:type="gramStart"/>
            <w:r>
              <w:rPr>
                <w:rFonts w:ascii="宋体" w:eastAsia="宋体" w:hAnsi="宋体" w:cs="宋体"/>
                <w:sz w:val="18"/>
                <w:szCs w:val="18"/>
              </w:rPr>
              <w:t>恒丰棉业</w:t>
            </w:r>
            <w:proofErr w:type="gramEnd"/>
            <w:r>
              <w:rPr>
                <w:rFonts w:ascii="宋体" w:eastAsia="宋体" w:hAnsi="宋体" w:cs="宋体"/>
                <w:sz w:val="18"/>
                <w:szCs w:val="18"/>
              </w:rPr>
              <w:t>有限责任公司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15,485,619.45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浙江博忆纺织科技有限公司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77,973.54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吉安供应链管理淮安有限公司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100,507.00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其他应付款</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新疆</w:t>
            </w:r>
            <w:proofErr w:type="gramStart"/>
            <w:r>
              <w:rPr>
                <w:rFonts w:ascii="宋体" w:eastAsia="宋体" w:hAnsi="宋体" w:cs="宋体"/>
                <w:sz w:val="18"/>
                <w:szCs w:val="18"/>
              </w:rPr>
              <w:t>新润气流纺</w:t>
            </w:r>
            <w:proofErr w:type="gramEnd"/>
            <w:r>
              <w:rPr>
                <w:rFonts w:ascii="宋体" w:eastAsia="宋体" w:hAnsi="宋体" w:cs="宋体"/>
                <w:sz w:val="18"/>
                <w:szCs w:val="18"/>
              </w:rPr>
              <w:t>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517,275.12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517,753.12</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安徽环</w:t>
            </w:r>
            <w:proofErr w:type="gramStart"/>
            <w:r>
              <w:rPr>
                <w:rFonts w:ascii="宋体" w:eastAsia="宋体" w:hAnsi="宋体" w:cs="宋体"/>
                <w:sz w:val="18"/>
                <w:szCs w:val="18"/>
              </w:rPr>
              <w:t>捷供应</w:t>
            </w:r>
            <w:proofErr w:type="gramEnd"/>
            <w:r>
              <w:rPr>
                <w:rFonts w:ascii="宋体" w:eastAsia="宋体" w:hAnsi="宋体" w:cs="宋体"/>
                <w:sz w:val="18"/>
                <w:szCs w:val="18"/>
              </w:rPr>
              <w:t>链管理有限公司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1,441,643.08</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3,135,743.29</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w:t>
            </w:r>
            <w:proofErr w:type="gramStart"/>
            <w:r>
              <w:rPr>
                <w:rFonts w:ascii="宋体" w:eastAsia="宋体" w:hAnsi="宋体" w:cs="宋体"/>
                <w:sz w:val="18"/>
                <w:szCs w:val="18"/>
              </w:rPr>
              <w:t>钟耀栋</w:t>
            </w:r>
            <w:proofErr w:type="gramEnd"/>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1,539,654.00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 泽普棉业有限公司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197,975.45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bl>
    <w:p w:rsidR="000D58D8" w:rsidRDefault="000F627F">
      <w:pPr>
        <w:pStyle w:val="3"/>
        <w:spacing w:line="280" w:lineRule="exact"/>
        <w:jc w:val="left"/>
        <w:rPr>
          <w:rFonts w:ascii="宋体" w:hAnsi="宋体" w:cs="宋体"/>
          <w:b/>
          <w:bCs/>
        </w:rPr>
      </w:pPr>
      <w:bookmarkStart w:id="547" w:name="_Toc989434"/>
      <w:r>
        <w:rPr>
          <w:rFonts w:ascii="宋体" w:hAnsi="宋体" w:cs="宋体"/>
          <w:b/>
          <w:bCs/>
        </w:rPr>
        <w:t>7、关联方承诺</w:t>
      </w:r>
      <w:bookmarkEnd w:id="547"/>
    </w:p>
    <w:p w:rsidR="000F627F" w:rsidRDefault="000F627F">
      <w:pPr>
        <w:pStyle w:val="a3"/>
        <w:divId w:val="432627736"/>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548" w:name="_Toc989435"/>
      <w:r>
        <w:rPr>
          <w:rFonts w:ascii="宋体" w:hAnsi="宋体" w:cs="宋体"/>
          <w:b/>
          <w:bCs/>
        </w:rPr>
        <w:lastRenderedPageBreak/>
        <w:t>8、其他</w:t>
      </w:r>
      <w:bookmarkEnd w:id="548"/>
    </w:p>
    <w:p w:rsidR="000F627F" w:rsidRPr="00587BBA" w:rsidRDefault="000F627F">
      <w:pPr>
        <w:pStyle w:val="a3"/>
        <w:spacing w:before="120" w:beforeAutospacing="0" w:after="0" w:afterAutospacing="0" w:line="360" w:lineRule="auto"/>
        <w:ind w:firstLine="420"/>
        <w:jc w:val="both"/>
        <w:divId w:val="590163558"/>
        <w:rPr>
          <w:rFonts w:asciiTheme="minorEastAsia" w:eastAsiaTheme="minorEastAsia" w:hAnsiTheme="minorEastAsia" w:cs="Times New Roman"/>
          <w:sz w:val="21"/>
          <w:szCs w:val="21"/>
        </w:rPr>
      </w:pPr>
      <w:r w:rsidRPr="00587BBA">
        <w:rPr>
          <w:rFonts w:asciiTheme="minorEastAsia" w:eastAsiaTheme="minorEastAsia" w:hAnsiTheme="minorEastAsia" w:cs="Times New Roman" w:hint="eastAsia"/>
          <w:sz w:val="18"/>
          <w:szCs w:val="18"/>
        </w:rPr>
        <w:t>注</w:t>
      </w:r>
      <w:r w:rsidRPr="00587BBA">
        <w:rPr>
          <w:rFonts w:asciiTheme="minorEastAsia" w:eastAsiaTheme="minorEastAsia" w:hAnsiTheme="minorEastAsia" w:cs="Times New Roman"/>
          <w:sz w:val="18"/>
          <w:szCs w:val="18"/>
        </w:rPr>
        <w:t>1</w:t>
      </w:r>
      <w:r w:rsidRPr="00587BBA">
        <w:rPr>
          <w:rFonts w:asciiTheme="minorEastAsia" w:eastAsiaTheme="minorEastAsia" w:hAnsiTheme="minorEastAsia" w:cs="Times New Roman" w:hint="eastAsia"/>
          <w:sz w:val="18"/>
          <w:szCs w:val="18"/>
        </w:rPr>
        <w:t>：</w:t>
      </w:r>
      <w:r w:rsidRPr="00587BBA">
        <w:rPr>
          <w:rFonts w:asciiTheme="minorEastAsia" w:eastAsiaTheme="minorEastAsia" w:hAnsiTheme="minorEastAsia" w:cs="Times New Roman"/>
          <w:sz w:val="18"/>
          <w:szCs w:val="18"/>
        </w:rPr>
        <w:t>2023</w:t>
      </w:r>
      <w:r w:rsidRPr="00587BBA">
        <w:rPr>
          <w:rFonts w:asciiTheme="minorEastAsia" w:eastAsiaTheme="minorEastAsia" w:hAnsiTheme="minorEastAsia" w:cs="Times New Roman" w:hint="eastAsia"/>
          <w:sz w:val="18"/>
          <w:szCs w:val="18"/>
        </w:rPr>
        <w:t>年</w:t>
      </w:r>
      <w:r w:rsidRPr="00587BBA">
        <w:rPr>
          <w:rFonts w:asciiTheme="minorEastAsia" w:eastAsiaTheme="minorEastAsia" w:hAnsiTheme="minorEastAsia" w:cs="Times New Roman"/>
          <w:sz w:val="18"/>
          <w:szCs w:val="18"/>
        </w:rPr>
        <w:t>9</w:t>
      </w:r>
      <w:r w:rsidRPr="00587BBA">
        <w:rPr>
          <w:rFonts w:asciiTheme="minorEastAsia" w:eastAsiaTheme="minorEastAsia" w:hAnsiTheme="minorEastAsia" w:cs="Times New Roman" w:hint="eastAsia"/>
          <w:sz w:val="18"/>
          <w:szCs w:val="18"/>
        </w:rPr>
        <w:t>月初，华孚时尚子公司与呼图壁县</w:t>
      </w:r>
      <w:proofErr w:type="gramStart"/>
      <w:r w:rsidRPr="00587BBA">
        <w:rPr>
          <w:rFonts w:asciiTheme="minorEastAsia" w:eastAsiaTheme="minorEastAsia" w:hAnsiTheme="minorEastAsia" w:cs="Times New Roman" w:hint="eastAsia"/>
          <w:sz w:val="18"/>
          <w:szCs w:val="18"/>
        </w:rPr>
        <w:t>宏盛棉业</w:t>
      </w:r>
      <w:proofErr w:type="gramEnd"/>
      <w:r w:rsidRPr="00587BBA">
        <w:rPr>
          <w:rFonts w:asciiTheme="minorEastAsia" w:eastAsiaTheme="minorEastAsia" w:hAnsiTheme="minorEastAsia" w:cs="Times New Roman" w:hint="eastAsia"/>
          <w:sz w:val="18"/>
          <w:szCs w:val="18"/>
        </w:rPr>
        <w:t>有限公司签订《棉花购销合同》，自呼图壁宏盛公司采购</w:t>
      </w:r>
      <w:r w:rsidRPr="00587BBA">
        <w:rPr>
          <w:rFonts w:asciiTheme="minorEastAsia" w:eastAsiaTheme="minorEastAsia" w:hAnsiTheme="minorEastAsia" w:cs="Times New Roman"/>
          <w:sz w:val="18"/>
          <w:szCs w:val="18"/>
        </w:rPr>
        <w:t>1.5</w:t>
      </w:r>
      <w:r w:rsidRPr="00587BBA">
        <w:rPr>
          <w:rFonts w:asciiTheme="minorEastAsia" w:eastAsiaTheme="minorEastAsia" w:hAnsiTheme="minorEastAsia" w:cs="Times New Roman" w:hint="eastAsia"/>
          <w:sz w:val="18"/>
          <w:szCs w:val="18"/>
        </w:rPr>
        <w:t>万吨皮棉，采购单价暂定，并按照</w:t>
      </w:r>
      <w:r w:rsidRPr="00587BBA">
        <w:rPr>
          <w:rFonts w:asciiTheme="minorEastAsia" w:eastAsiaTheme="minorEastAsia" w:hAnsiTheme="minorEastAsia" w:cs="Times New Roman"/>
          <w:sz w:val="18"/>
          <w:szCs w:val="18"/>
        </w:rPr>
        <w:t>1.35</w:t>
      </w:r>
      <w:r w:rsidRPr="00587BBA">
        <w:rPr>
          <w:rFonts w:asciiTheme="minorEastAsia" w:eastAsiaTheme="minorEastAsia" w:hAnsiTheme="minorEastAsia" w:cs="Times New Roman" w:hint="eastAsia"/>
          <w:sz w:val="18"/>
          <w:szCs w:val="18"/>
        </w:rPr>
        <w:t>万元</w:t>
      </w:r>
      <w:r w:rsidRPr="00587BBA">
        <w:rPr>
          <w:rFonts w:asciiTheme="minorEastAsia" w:eastAsiaTheme="minorEastAsia" w:hAnsiTheme="minorEastAsia" w:cs="Times New Roman"/>
          <w:sz w:val="18"/>
          <w:szCs w:val="18"/>
        </w:rPr>
        <w:t>/</w:t>
      </w:r>
      <w:r w:rsidRPr="00587BBA">
        <w:rPr>
          <w:rFonts w:asciiTheme="minorEastAsia" w:eastAsiaTheme="minorEastAsia" w:hAnsiTheme="minorEastAsia" w:cs="Times New Roman" w:hint="eastAsia"/>
          <w:sz w:val="18"/>
          <w:szCs w:val="18"/>
        </w:rPr>
        <w:t>吨的单价向对方预付货款</w:t>
      </w:r>
      <w:r w:rsidRPr="00587BBA">
        <w:rPr>
          <w:rFonts w:asciiTheme="minorEastAsia" w:eastAsiaTheme="minorEastAsia" w:hAnsiTheme="minorEastAsia" w:cs="Times New Roman"/>
          <w:sz w:val="18"/>
          <w:szCs w:val="18"/>
        </w:rPr>
        <w:t>2</w:t>
      </w:r>
      <w:r w:rsidRPr="00587BBA">
        <w:rPr>
          <w:rFonts w:asciiTheme="minorEastAsia" w:eastAsiaTheme="minorEastAsia" w:hAnsiTheme="minorEastAsia" w:cs="Times New Roman" w:hint="eastAsia"/>
          <w:sz w:val="18"/>
          <w:szCs w:val="18"/>
        </w:rPr>
        <w:t>亿元，截止</w:t>
      </w:r>
      <w:r w:rsidRPr="00587BBA">
        <w:rPr>
          <w:rFonts w:asciiTheme="minorEastAsia" w:eastAsiaTheme="minorEastAsia" w:hAnsiTheme="minorEastAsia" w:cs="Times New Roman"/>
          <w:sz w:val="18"/>
          <w:szCs w:val="18"/>
        </w:rPr>
        <w:t>2023</w:t>
      </w:r>
      <w:r w:rsidRPr="00587BBA">
        <w:rPr>
          <w:rFonts w:asciiTheme="minorEastAsia" w:eastAsiaTheme="minorEastAsia" w:hAnsiTheme="minorEastAsia" w:cs="Times New Roman" w:hint="eastAsia"/>
          <w:sz w:val="18"/>
          <w:szCs w:val="18"/>
        </w:rPr>
        <w:t>年</w:t>
      </w:r>
      <w:r w:rsidRPr="00587BBA">
        <w:rPr>
          <w:rFonts w:asciiTheme="minorEastAsia" w:eastAsiaTheme="minorEastAsia" w:hAnsiTheme="minorEastAsia" w:cs="Times New Roman"/>
          <w:sz w:val="18"/>
          <w:szCs w:val="18"/>
        </w:rPr>
        <w:t>12</w:t>
      </w:r>
      <w:r w:rsidRPr="00587BBA">
        <w:rPr>
          <w:rFonts w:asciiTheme="minorEastAsia" w:eastAsiaTheme="minorEastAsia" w:hAnsiTheme="minorEastAsia" w:cs="Times New Roman" w:hint="eastAsia"/>
          <w:sz w:val="18"/>
          <w:szCs w:val="18"/>
        </w:rPr>
        <w:t>月</w:t>
      </w:r>
      <w:r w:rsidRPr="00587BBA">
        <w:rPr>
          <w:rFonts w:asciiTheme="minorEastAsia" w:eastAsiaTheme="minorEastAsia" w:hAnsiTheme="minorEastAsia" w:cs="Times New Roman"/>
          <w:sz w:val="18"/>
          <w:szCs w:val="18"/>
        </w:rPr>
        <w:t>31</w:t>
      </w:r>
      <w:r w:rsidRPr="00587BBA">
        <w:rPr>
          <w:rFonts w:asciiTheme="minorEastAsia" w:eastAsiaTheme="minorEastAsia" w:hAnsiTheme="minorEastAsia" w:cs="Times New Roman" w:hint="eastAsia"/>
          <w:sz w:val="18"/>
          <w:szCs w:val="18"/>
        </w:rPr>
        <w:t>日，</w:t>
      </w:r>
      <w:proofErr w:type="gramStart"/>
      <w:r w:rsidRPr="00587BBA">
        <w:rPr>
          <w:rFonts w:asciiTheme="minorEastAsia" w:eastAsiaTheme="minorEastAsia" w:hAnsiTheme="minorEastAsia" w:cs="Times New Roman" w:hint="eastAsia"/>
          <w:sz w:val="18"/>
          <w:szCs w:val="18"/>
        </w:rPr>
        <w:t>已暂估入库</w:t>
      </w:r>
      <w:proofErr w:type="gramEnd"/>
      <w:r w:rsidRPr="00587BBA">
        <w:rPr>
          <w:rFonts w:asciiTheme="minorEastAsia" w:eastAsiaTheme="minorEastAsia" w:hAnsiTheme="minorEastAsia" w:cs="Times New Roman"/>
          <w:sz w:val="18"/>
          <w:szCs w:val="18"/>
        </w:rPr>
        <w:t>6,085.501</w:t>
      </w:r>
      <w:r w:rsidRPr="00587BBA">
        <w:rPr>
          <w:rFonts w:asciiTheme="minorEastAsia" w:eastAsiaTheme="minorEastAsia" w:hAnsiTheme="minorEastAsia" w:cs="Times New Roman" w:hint="eastAsia"/>
          <w:sz w:val="18"/>
          <w:szCs w:val="18"/>
        </w:rPr>
        <w:t>吨并冲预付账款</w:t>
      </w:r>
      <w:r w:rsidRPr="00587BBA">
        <w:rPr>
          <w:rFonts w:asciiTheme="minorEastAsia" w:eastAsiaTheme="minorEastAsia" w:hAnsiTheme="minorEastAsia" w:cs="Times New Roman"/>
          <w:sz w:val="18"/>
          <w:szCs w:val="18"/>
        </w:rPr>
        <w:t>82,140,653.39</w:t>
      </w:r>
      <w:r w:rsidRPr="00587BBA">
        <w:rPr>
          <w:rFonts w:asciiTheme="minorEastAsia" w:eastAsiaTheme="minorEastAsia" w:hAnsiTheme="minorEastAsia" w:cs="Times New Roman" w:hint="eastAsia"/>
          <w:sz w:val="18"/>
          <w:szCs w:val="18"/>
        </w:rPr>
        <w:t>元，预付账款余额为</w:t>
      </w:r>
      <w:r w:rsidRPr="00587BBA">
        <w:rPr>
          <w:rFonts w:asciiTheme="minorEastAsia" w:eastAsiaTheme="minorEastAsia" w:hAnsiTheme="minorEastAsia" w:cs="Times New Roman"/>
          <w:sz w:val="18"/>
          <w:szCs w:val="18"/>
        </w:rPr>
        <w:t>117,859,346.61</w:t>
      </w:r>
      <w:r w:rsidRPr="00587BBA">
        <w:rPr>
          <w:rFonts w:asciiTheme="minorEastAsia" w:eastAsiaTheme="minorEastAsia" w:hAnsiTheme="minorEastAsia" w:cs="Times New Roman" w:hint="eastAsia"/>
          <w:sz w:val="18"/>
          <w:szCs w:val="18"/>
        </w:rPr>
        <w:t>元。截止报告出具日入库</w:t>
      </w:r>
      <w:r w:rsidRPr="00587BBA">
        <w:rPr>
          <w:rFonts w:asciiTheme="minorEastAsia" w:eastAsiaTheme="minorEastAsia" w:hAnsiTheme="minorEastAsia" w:cs="Times New Roman"/>
          <w:sz w:val="18"/>
          <w:szCs w:val="18"/>
        </w:rPr>
        <w:t>8,566.233</w:t>
      </w:r>
      <w:r w:rsidRPr="00587BBA">
        <w:rPr>
          <w:rFonts w:asciiTheme="minorEastAsia" w:eastAsiaTheme="minorEastAsia" w:hAnsiTheme="minorEastAsia" w:cs="Times New Roman" w:hint="eastAsia"/>
          <w:sz w:val="18"/>
          <w:szCs w:val="18"/>
        </w:rPr>
        <w:t>吨，总计入库总量为</w:t>
      </w:r>
      <w:r w:rsidRPr="00587BBA">
        <w:rPr>
          <w:rFonts w:asciiTheme="minorEastAsia" w:eastAsiaTheme="minorEastAsia" w:hAnsiTheme="minorEastAsia" w:cs="Times New Roman"/>
          <w:sz w:val="18"/>
          <w:szCs w:val="18"/>
        </w:rPr>
        <w:t>14,651.734</w:t>
      </w:r>
      <w:r w:rsidRPr="00587BBA">
        <w:rPr>
          <w:rFonts w:asciiTheme="minorEastAsia" w:eastAsiaTheme="minorEastAsia" w:hAnsiTheme="minorEastAsia" w:cs="Times New Roman" w:hint="eastAsia"/>
          <w:sz w:val="18"/>
          <w:szCs w:val="18"/>
        </w:rPr>
        <w:t>吨。</w:t>
      </w:r>
    </w:p>
    <w:p w:rsidR="000F627F" w:rsidRPr="00587BBA" w:rsidRDefault="000F627F" w:rsidP="00587BBA">
      <w:pPr>
        <w:pStyle w:val="a3"/>
        <w:spacing w:before="120" w:beforeAutospacing="0" w:after="0" w:afterAutospacing="0" w:line="360" w:lineRule="auto"/>
        <w:ind w:firstLine="420"/>
        <w:jc w:val="both"/>
        <w:divId w:val="590163558"/>
        <w:rPr>
          <w:rFonts w:asciiTheme="minorEastAsia" w:eastAsiaTheme="minorEastAsia" w:hAnsiTheme="minorEastAsia" w:cs="Times New Roman"/>
          <w:sz w:val="18"/>
          <w:szCs w:val="18"/>
        </w:rPr>
      </w:pPr>
      <w:r w:rsidRPr="00587BBA">
        <w:rPr>
          <w:rFonts w:asciiTheme="minorEastAsia" w:eastAsiaTheme="minorEastAsia" w:hAnsiTheme="minorEastAsia" w:cs="Times New Roman" w:hint="eastAsia"/>
          <w:sz w:val="18"/>
          <w:szCs w:val="18"/>
        </w:rPr>
        <w:t>注2：2023年4月28日，子公司浙江华孚色纺有限公司与关联方浙江华孚网链投资管理有限公司签订</w:t>
      </w:r>
      <w:proofErr w:type="gramStart"/>
      <w:r w:rsidRPr="00587BBA">
        <w:rPr>
          <w:rFonts w:asciiTheme="minorEastAsia" w:eastAsiaTheme="minorEastAsia" w:hAnsiTheme="minorEastAsia" w:cs="Times New Roman" w:hint="eastAsia"/>
          <w:sz w:val="18"/>
          <w:szCs w:val="18"/>
        </w:rPr>
        <w:t>上虞吋尚总部</w:t>
      </w:r>
      <w:proofErr w:type="gramEnd"/>
      <w:r w:rsidRPr="00587BBA">
        <w:rPr>
          <w:rFonts w:asciiTheme="minorEastAsia" w:eastAsiaTheme="minorEastAsia" w:hAnsiTheme="minorEastAsia" w:cs="Times New Roman" w:hint="eastAsia"/>
          <w:sz w:val="18"/>
          <w:szCs w:val="18"/>
        </w:rPr>
        <w:t>物业购买框架协议，约定浙江华孚网链投资管理有限公司将位于浙江省上虞的标的资产暂定作价30,000.00万元销售给浙江色纺，房屋暂定整体采用成本法估价，计划2024年6月交房时评估重新作价，该项关联交易已通过公司第八届董事会第四次会议，于2023年4月29日进行公告。</w:t>
      </w:r>
    </w:p>
    <w:p w:rsidR="000D58D8" w:rsidRDefault="000F627F">
      <w:pPr>
        <w:pStyle w:val="2"/>
        <w:spacing w:before="300" w:after="300" w:line="320" w:lineRule="exact"/>
        <w:rPr>
          <w:rFonts w:ascii="宋体" w:eastAsia="宋体" w:hAnsi="宋体" w:cs="宋体"/>
          <w:b/>
          <w:bCs/>
          <w:sz w:val="24"/>
          <w:szCs w:val="24"/>
        </w:rPr>
      </w:pPr>
      <w:bookmarkStart w:id="549" w:name="_Toc989436"/>
      <w:r>
        <w:rPr>
          <w:rFonts w:ascii="宋体" w:eastAsia="宋体" w:hAnsi="宋体" w:cs="宋体"/>
          <w:b/>
          <w:bCs/>
          <w:sz w:val="24"/>
          <w:szCs w:val="24"/>
        </w:rPr>
        <w:t>十五、股份支付</w:t>
      </w:r>
      <w:bookmarkEnd w:id="549"/>
    </w:p>
    <w:p w:rsidR="000D58D8" w:rsidRDefault="000F627F">
      <w:pPr>
        <w:pStyle w:val="3"/>
        <w:spacing w:line="280" w:lineRule="exact"/>
        <w:jc w:val="left"/>
        <w:rPr>
          <w:rFonts w:ascii="宋体" w:hAnsi="宋体" w:cs="宋体"/>
          <w:b/>
          <w:bCs/>
        </w:rPr>
      </w:pPr>
      <w:bookmarkStart w:id="550" w:name="_Toc989437"/>
      <w:r>
        <w:rPr>
          <w:rFonts w:ascii="宋体" w:hAnsi="宋体" w:cs="宋体"/>
          <w:b/>
          <w:bCs/>
        </w:rPr>
        <w:t>1、股份支付总体情况</w:t>
      </w:r>
      <w:bookmarkEnd w:id="55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期末发行在外的股票期权或其他权益工具</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D58D8">
      <w:pPr>
        <w:spacing w:line="0" w:lineRule="atLeast"/>
      </w:pP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授予对象类别</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期末发行在外的股票期权</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期末发行在外的其他权益工具</w:t>
            </w:r>
          </w:p>
        </w:tc>
      </w:tr>
      <w:tr w:rsidR="000D58D8">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行权价格的范围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合同剩余期限</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行权价格的范围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合同剩余期限</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公司员工</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4.41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2024年度</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bl>
    <w:p w:rsidR="000F627F" w:rsidRPr="00FC6DFE" w:rsidRDefault="000F627F" w:rsidP="00FC6D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FC6DFE">
        <w:rPr>
          <w:sz w:val="18"/>
          <w:szCs w:val="18"/>
        </w:rPr>
        <w:t>无</w:t>
      </w:r>
    </w:p>
    <w:p w:rsidR="000D58D8" w:rsidRDefault="000F627F">
      <w:pPr>
        <w:pStyle w:val="3"/>
        <w:spacing w:line="280" w:lineRule="exact"/>
        <w:jc w:val="left"/>
        <w:rPr>
          <w:rFonts w:ascii="宋体" w:hAnsi="宋体" w:cs="宋体"/>
          <w:b/>
          <w:bCs/>
        </w:rPr>
      </w:pPr>
      <w:bookmarkStart w:id="551" w:name="_Toc989438"/>
      <w:r>
        <w:rPr>
          <w:rFonts w:ascii="宋体" w:hAnsi="宋体" w:cs="宋体"/>
          <w:b/>
          <w:bCs/>
        </w:rPr>
        <w:t>2、以权益结算的股份支付情况</w:t>
      </w:r>
      <w:bookmarkEnd w:id="55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本期估计与上期估计有重大差异的原因</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rsidP="00FC6DFE">
            <w:pPr>
              <w:spacing w:line="240" w:lineRule="exact"/>
              <w:jc w:val="right"/>
              <w:rPr>
                <w:rFonts w:ascii="宋体" w:eastAsia="宋体" w:hAnsi="宋体" w:cs="宋体"/>
                <w:sz w:val="18"/>
                <w:szCs w:val="18"/>
              </w:rPr>
            </w:pPr>
            <w:r>
              <w:rPr>
                <w:rFonts w:ascii="宋体" w:eastAsia="宋体" w:hAnsi="宋体" w:cs="宋体"/>
                <w:sz w:val="18"/>
                <w:szCs w:val="18"/>
              </w:rPr>
              <w:t>无</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以权益结算的股份支付计入资本公积的累计金额</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rsidP="00FC6DFE">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本期以权益结算的股份支付确认的费用总额</w:t>
            </w:r>
          </w:p>
        </w:tc>
        <w:tc>
          <w:tcPr>
            <w:tcW w:w="4820" w:type="dxa"/>
            <w:tcBorders>
              <w:top w:val="single" w:sz="2" w:space="0" w:color="auto"/>
              <w:left w:val="single" w:sz="2" w:space="0" w:color="auto"/>
              <w:bottom w:val="single" w:sz="2" w:space="0" w:color="auto"/>
              <w:right w:val="single" w:sz="2" w:space="0" w:color="auto"/>
            </w:tcBorders>
            <w:vAlign w:val="center"/>
          </w:tcPr>
          <w:p w:rsidR="000D58D8" w:rsidRDefault="000F627F" w:rsidP="00FC6DFE">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0F627F" w:rsidRPr="00FC6DFE" w:rsidRDefault="000F627F" w:rsidP="00FC6D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552" w:name="_Toc989439"/>
      <w:r>
        <w:rPr>
          <w:rFonts w:ascii="宋体" w:hAnsi="宋体" w:cs="宋体"/>
          <w:b/>
          <w:bCs/>
        </w:rPr>
        <w:t>3、以现金结算的股份支付情况</w:t>
      </w:r>
      <w:bookmarkEnd w:id="55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553" w:name="_Toc989440"/>
      <w:r>
        <w:rPr>
          <w:rFonts w:ascii="宋体" w:hAnsi="宋体" w:cs="宋体"/>
          <w:b/>
          <w:bCs/>
        </w:rPr>
        <w:t>4、本期股份支付费用</w:t>
      </w:r>
      <w:bookmarkEnd w:id="55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554" w:name="_Toc989441"/>
      <w:r>
        <w:rPr>
          <w:rFonts w:ascii="宋体" w:hAnsi="宋体" w:cs="宋体"/>
          <w:b/>
          <w:bCs/>
        </w:rPr>
        <w:lastRenderedPageBreak/>
        <w:t>5、股份支付的修改、终止情况</w:t>
      </w:r>
      <w:bookmarkEnd w:id="554"/>
    </w:p>
    <w:p w:rsidR="000F627F" w:rsidRDefault="000F627F">
      <w:pPr>
        <w:pStyle w:val="a3"/>
        <w:divId w:val="102193888"/>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555" w:name="_Toc989442"/>
      <w:r>
        <w:rPr>
          <w:rFonts w:ascii="宋体" w:hAnsi="宋体" w:cs="宋体"/>
          <w:b/>
          <w:bCs/>
        </w:rPr>
        <w:t xml:space="preserve">6、其他 </w:t>
      </w:r>
      <w:bookmarkEnd w:id="555"/>
    </w:p>
    <w:p w:rsidR="000F627F" w:rsidRDefault="000F627F">
      <w:pPr>
        <w:pStyle w:val="a3"/>
        <w:divId w:val="1899196185"/>
        <w:rPr>
          <w:sz w:val="18"/>
          <w:szCs w:val="18"/>
        </w:rPr>
      </w:pPr>
      <w:r>
        <w:rPr>
          <w:rFonts w:hint="eastAsia"/>
          <w:sz w:val="18"/>
          <w:szCs w:val="18"/>
        </w:rPr>
        <w:t>无。</w:t>
      </w:r>
    </w:p>
    <w:p w:rsidR="000D58D8" w:rsidRDefault="000F627F">
      <w:pPr>
        <w:pStyle w:val="2"/>
        <w:spacing w:before="300" w:after="300" w:line="320" w:lineRule="exact"/>
        <w:rPr>
          <w:rFonts w:ascii="宋体" w:eastAsia="宋体" w:hAnsi="宋体" w:cs="宋体"/>
          <w:b/>
          <w:bCs/>
          <w:sz w:val="24"/>
          <w:szCs w:val="24"/>
        </w:rPr>
      </w:pPr>
      <w:bookmarkStart w:id="556" w:name="_Toc989443"/>
      <w:r>
        <w:rPr>
          <w:rFonts w:ascii="宋体" w:eastAsia="宋体" w:hAnsi="宋体" w:cs="宋体"/>
          <w:b/>
          <w:bCs/>
          <w:sz w:val="24"/>
          <w:szCs w:val="24"/>
        </w:rPr>
        <w:t>十六、承诺及或有事项</w:t>
      </w:r>
      <w:bookmarkEnd w:id="556"/>
    </w:p>
    <w:p w:rsidR="000D58D8" w:rsidRDefault="000F627F">
      <w:pPr>
        <w:pStyle w:val="3"/>
        <w:spacing w:line="280" w:lineRule="exact"/>
        <w:jc w:val="left"/>
        <w:rPr>
          <w:rFonts w:ascii="宋体" w:hAnsi="宋体" w:cs="宋体"/>
          <w:b/>
          <w:bCs/>
        </w:rPr>
      </w:pPr>
      <w:bookmarkStart w:id="557" w:name="_Toc989444"/>
      <w:r>
        <w:rPr>
          <w:rFonts w:ascii="宋体" w:hAnsi="宋体" w:cs="宋体"/>
          <w:b/>
          <w:bCs/>
        </w:rPr>
        <w:t>1、重要承诺事项</w:t>
      </w:r>
      <w:bookmarkEnd w:id="557"/>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资产负债表</w:t>
      </w:r>
      <w:proofErr w:type="gramStart"/>
      <w:r>
        <w:rPr>
          <w:rFonts w:ascii="宋体" w:eastAsia="宋体" w:hAnsi="宋体" w:cs="宋体"/>
          <w:sz w:val="18"/>
          <w:szCs w:val="18"/>
        </w:rPr>
        <w:t>日存在</w:t>
      </w:r>
      <w:proofErr w:type="gramEnd"/>
      <w:r>
        <w:rPr>
          <w:rFonts w:ascii="宋体" w:eastAsia="宋体" w:hAnsi="宋体" w:cs="宋体"/>
          <w:sz w:val="18"/>
          <w:szCs w:val="18"/>
        </w:rPr>
        <w:t>的重要承诺</w:t>
      </w:r>
    </w:p>
    <w:p w:rsidR="000F627F" w:rsidRDefault="000F627F">
      <w:pPr>
        <w:pStyle w:val="a3"/>
        <w:spacing w:before="0" w:beforeAutospacing="0" w:after="0" w:afterAutospacing="0" w:line="360" w:lineRule="auto"/>
        <w:ind w:firstLine="420"/>
        <w:jc w:val="both"/>
        <w:divId w:val="951089228"/>
        <w:rPr>
          <w:rFonts w:ascii="Times New Roman" w:hAnsi="Times New Roman" w:cs="Times New Roman"/>
          <w:sz w:val="21"/>
          <w:szCs w:val="21"/>
        </w:rPr>
      </w:pPr>
      <w:r>
        <w:rPr>
          <w:rFonts w:cs="Times New Roman" w:hint="eastAsia"/>
          <w:sz w:val="18"/>
          <w:szCs w:val="18"/>
        </w:rPr>
        <w:t>本公司不存在需要披露的重要承诺事项。</w:t>
      </w:r>
    </w:p>
    <w:p w:rsidR="000D58D8" w:rsidRDefault="000F627F">
      <w:pPr>
        <w:pStyle w:val="3"/>
        <w:spacing w:line="280" w:lineRule="exact"/>
        <w:jc w:val="left"/>
        <w:rPr>
          <w:rFonts w:ascii="宋体" w:hAnsi="宋体" w:cs="宋体"/>
          <w:b/>
          <w:bCs/>
        </w:rPr>
      </w:pPr>
      <w:bookmarkStart w:id="558" w:name="_Toc989445"/>
      <w:r>
        <w:rPr>
          <w:rFonts w:ascii="宋体" w:hAnsi="宋体" w:cs="宋体"/>
          <w:b/>
          <w:bCs/>
        </w:rPr>
        <w:t>2、或有事项</w:t>
      </w:r>
      <w:bookmarkEnd w:id="558"/>
    </w:p>
    <w:p w:rsidR="000D58D8" w:rsidRDefault="000F627F">
      <w:pPr>
        <w:keepNext/>
        <w:keepLines/>
        <w:spacing w:before="300" w:after="300" w:line="280" w:lineRule="exact"/>
        <w:outlineLvl w:val="3"/>
        <w:rPr>
          <w:rFonts w:ascii="宋体" w:eastAsia="宋体" w:hAnsi="宋体" w:cs="宋体"/>
          <w:b/>
          <w:bCs/>
          <w:szCs w:val="21"/>
        </w:rPr>
      </w:pPr>
      <w:bookmarkStart w:id="559" w:name="_Toc989446"/>
      <w:r>
        <w:rPr>
          <w:rFonts w:ascii="宋体" w:eastAsia="宋体" w:hAnsi="宋体" w:cs="宋体"/>
          <w:b/>
          <w:bCs/>
          <w:szCs w:val="21"/>
        </w:rPr>
        <w:t>（1） 资产负债表</w:t>
      </w:r>
      <w:proofErr w:type="gramStart"/>
      <w:r>
        <w:rPr>
          <w:rFonts w:ascii="宋体" w:eastAsia="宋体" w:hAnsi="宋体" w:cs="宋体"/>
          <w:b/>
          <w:bCs/>
          <w:szCs w:val="21"/>
        </w:rPr>
        <w:t>日存在</w:t>
      </w:r>
      <w:proofErr w:type="gramEnd"/>
      <w:r>
        <w:rPr>
          <w:rFonts w:ascii="宋体" w:eastAsia="宋体" w:hAnsi="宋体" w:cs="宋体"/>
          <w:b/>
          <w:bCs/>
          <w:szCs w:val="21"/>
        </w:rPr>
        <w:t>的重要或有事项</w:t>
      </w:r>
      <w:bookmarkEnd w:id="559"/>
    </w:p>
    <w:p w:rsidR="000F627F" w:rsidRDefault="000F627F">
      <w:pPr>
        <w:pStyle w:val="a3"/>
        <w:spacing w:before="0" w:beforeAutospacing="0" w:after="0" w:afterAutospacing="0" w:line="360" w:lineRule="auto"/>
        <w:ind w:firstLine="420"/>
        <w:jc w:val="both"/>
        <w:divId w:val="663624675"/>
        <w:rPr>
          <w:rFonts w:ascii="Times New Roman" w:hAnsi="Times New Roman" w:cs="Times New Roman"/>
          <w:sz w:val="21"/>
          <w:szCs w:val="21"/>
        </w:rPr>
      </w:pPr>
      <w:r>
        <w:rPr>
          <w:rFonts w:cs="Times New Roman" w:hint="eastAsia"/>
          <w:sz w:val="18"/>
          <w:szCs w:val="18"/>
        </w:rPr>
        <w:t>本公司不存在需要披露的重要或有事项。</w:t>
      </w:r>
    </w:p>
    <w:p w:rsidR="000D58D8" w:rsidRDefault="000F627F">
      <w:pPr>
        <w:keepNext/>
        <w:keepLines/>
        <w:spacing w:before="300" w:after="300" w:line="280" w:lineRule="exact"/>
        <w:outlineLvl w:val="3"/>
        <w:rPr>
          <w:rFonts w:ascii="宋体" w:eastAsia="宋体" w:hAnsi="宋体" w:cs="宋体"/>
          <w:b/>
          <w:bCs/>
          <w:szCs w:val="21"/>
        </w:rPr>
      </w:pPr>
      <w:bookmarkStart w:id="560" w:name="_Toc989447"/>
      <w:r>
        <w:rPr>
          <w:rFonts w:ascii="宋体" w:eastAsia="宋体" w:hAnsi="宋体" w:cs="宋体"/>
          <w:b/>
          <w:bCs/>
          <w:szCs w:val="21"/>
        </w:rPr>
        <w:t>（2） 公司没有需要披露的重要或有事项，也应予以说明</w:t>
      </w:r>
      <w:bookmarkEnd w:id="56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公司不存在需要披露的重要或有事项。</w:t>
      </w:r>
    </w:p>
    <w:p w:rsidR="000D58D8" w:rsidRDefault="000F627F">
      <w:pPr>
        <w:pStyle w:val="3"/>
        <w:spacing w:line="280" w:lineRule="exact"/>
        <w:jc w:val="left"/>
        <w:rPr>
          <w:rFonts w:ascii="宋体" w:hAnsi="宋体" w:cs="宋体"/>
          <w:b/>
          <w:bCs/>
        </w:rPr>
      </w:pPr>
      <w:bookmarkStart w:id="561" w:name="_Toc989448"/>
      <w:r>
        <w:rPr>
          <w:rFonts w:ascii="宋体" w:hAnsi="宋体" w:cs="宋体"/>
          <w:b/>
          <w:bCs/>
        </w:rPr>
        <w:t>3、其他</w:t>
      </w:r>
      <w:bookmarkEnd w:id="561"/>
    </w:p>
    <w:p w:rsidR="000F627F" w:rsidRDefault="000F627F">
      <w:pPr>
        <w:pStyle w:val="a3"/>
        <w:divId w:val="1961566797"/>
        <w:rPr>
          <w:sz w:val="18"/>
          <w:szCs w:val="18"/>
        </w:rPr>
      </w:pPr>
      <w:r>
        <w:rPr>
          <w:rFonts w:hint="eastAsia"/>
          <w:sz w:val="18"/>
          <w:szCs w:val="18"/>
        </w:rPr>
        <w:t>无。</w:t>
      </w:r>
    </w:p>
    <w:p w:rsidR="000D58D8" w:rsidRDefault="000F627F">
      <w:pPr>
        <w:pStyle w:val="2"/>
        <w:spacing w:before="300" w:after="300" w:line="320" w:lineRule="exact"/>
        <w:rPr>
          <w:rFonts w:ascii="宋体" w:eastAsia="宋体" w:hAnsi="宋体" w:cs="宋体"/>
          <w:b/>
          <w:bCs/>
          <w:sz w:val="24"/>
          <w:szCs w:val="24"/>
        </w:rPr>
      </w:pPr>
      <w:bookmarkStart w:id="562" w:name="_Toc989449"/>
      <w:r>
        <w:rPr>
          <w:rFonts w:ascii="宋体" w:eastAsia="宋体" w:hAnsi="宋体" w:cs="宋体"/>
          <w:b/>
          <w:bCs/>
          <w:sz w:val="24"/>
          <w:szCs w:val="24"/>
        </w:rPr>
        <w:t>十七、资产负债表日后事项</w:t>
      </w:r>
      <w:bookmarkEnd w:id="562"/>
    </w:p>
    <w:p w:rsidR="000D58D8" w:rsidRDefault="000F627F">
      <w:pPr>
        <w:pStyle w:val="3"/>
        <w:spacing w:line="280" w:lineRule="exact"/>
        <w:jc w:val="left"/>
        <w:rPr>
          <w:rFonts w:ascii="宋体" w:hAnsi="宋体" w:cs="宋体"/>
          <w:b/>
          <w:bCs/>
        </w:rPr>
      </w:pPr>
      <w:bookmarkStart w:id="563" w:name="_Toc989450"/>
      <w:r>
        <w:rPr>
          <w:rFonts w:ascii="宋体" w:hAnsi="宋体" w:cs="宋体"/>
          <w:b/>
          <w:bCs/>
        </w:rPr>
        <w:t>1、重要的非调整事项</w:t>
      </w:r>
      <w:bookmarkEnd w:id="563"/>
    </w:p>
    <w:p w:rsidR="000D58D8" w:rsidRDefault="000F627F">
      <w:pPr>
        <w:pStyle w:val="3"/>
        <w:spacing w:line="280" w:lineRule="exact"/>
        <w:jc w:val="left"/>
        <w:rPr>
          <w:rFonts w:ascii="宋体" w:hAnsi="宋体" w:cs="宋体"/>
          <w:b/>
          <w:bCs/>
        </w:rPr>
      </w:pPr>
      <w:bookmarkStart w:id="564" w:name="_Toc989451"/>
      <w:r>
        <w:rPr>
          <w:rFonts w:ascii="宋体" w:hAnsi="宋体" w:cs="宋体"/>
          <w:b/>
          <w:bCs/>
        </w:rPr>
        <w:t>2、利润分配情况</w:t>
      </w:r>
      <w:bookmarkEnd w:id="564"/>
    </w:p>
    <w:p w:rsidR="000D58D8" w:rsidRDefault="000F627F">
      <w:pPr>
        <w:pStyle w:val="3"/>
        <w:spacing w:line="280" w:lineRule="exact"/>
        <w:jc w:val="left"/>
        <w:rPr>
          <w:rFonts w:ascii="宋体" w:hAnsi="宋体" w:cs="宋体"/>
          <w:b/>
          <w:bCs/>
        </w:rPr>
      </w:pPr>
      <w:bookmarkStart w:id="565" w:name="_Toc989452"/>
      <w:r>
        <w:rPr>
          <w:rFonts w:ascii="宋体" w:hAnsi="宋体" w:cs="宋体"/>
          <w:b/>
          <w:bCs/>
        </w:rPr>
        <w:t>3、销售退回</w:t>
      </w:r>
      <w:bookmarkEnd w:id="565"/>
    </w:p>
    <w:p w:rsidR="000F627F" w:rsidRDefault="000F627F">
      <w:pPr>
        <w:pStyle w:val="a3"/>
        <w:divId w:val="1878423779"/>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566" w:name="_Toc989453"/>
      <w:r>
        <w:rPr>
          <w:rFonts w:ascii="宋体" w:hAnsi="宋体" w:cs="宋体"/>
          <w:b/>
          <w:bCs/>
        </w:rPr>
        <w:t>4、其他资产负债表日后事项说明</w:t>
      </w:r>
      <w:bookmarkEnd w:id="566"/>
    </w:p>
    <w:p w:rsidR="000F627F" w:rsidRDefault="000F627F">
      <w:pPr>
        <w:pStyle w:val="a3"/>
        <w:spacing w:before="0" w:beforeAutospacing="0" w:after="0" w:afterAutospacing="0" w:line="360" w:lineRule="auto"/>
        <w:ind w:firstLine="420"/>
        <w:jc w:val="both"/>
        <w:divId w:val="1256403622"/>
        <w:rPr>
          <w:rFonts w:ascii="Times New Roman" w:hAnsi="Times New Roman" w:cs="Times New Roman"/>
          <w:sz w:val="21"/>
          <w:szCs w:val="21"/>
        </w:rPr>
      </w:pPr>
      <w:r>
        <w:rPr>
          <w:rFonts w:cs="Times New Roman" w:hint="eastAsia"/>
          <w:sz w:val="18"/>
          <w:szCs w:val="18"/>
        </w:rPr>
        <w:t>截至财务报告批准报出日止，本公司无其他应披露未披露的重大资产负债表日后事项。</w:t>
      </w:r>
    </w:p>
    <w:p w:rsidR="000D58D8" w:rsidRDefault="000F627F">
      <w:pPr>
        <w:pStyle w:val="2"/>
        <w:spacing w:before="300" w:after="300" w:line="320" w:lineRule="exact"/>
        <w:rPr>
          <w:rFonts w:ascii="宋体" w:eastAsia="宋体" w:hAnsi="宋体" w:cs="宋体"/>
          <w:b/>
          <w:bCs/>
          <w:sz w:val="24"/>
          <w:szCs w:val="24"/>
        </w:rPr>
      </w:pPr>
      <w:bookmarkStart w:id="567" w:name="_Toc989454"/>
      <w:r>
        <w:rPr>
          <w:rFonts w:ascii="宋体" w:eastAsia="宋体" w:hAnsi="宋体" w:cs="宋体"/>
          <w:b/>
          <w:bCs/>
          <w:sz w:val="24"/>
          <w:szCs w:val="24"/>
        </w:rPr>
        <w:lastRenderedPageBreak/>
        <w:t>十八、其他重要事项</w:t>
      </w:r>
      <w:bookmarkEnd w:id="567"/>
    </w:p>
    <w:p w:rsidR="000D58D8" w:rsidRDefault="000F627F">
      <w:pPr>
        <w:pStyle w:val="3"/>
        <w:spacing w:line="280" w:lineRule="exact"/>
        <w:jc w:val="left"/>
        <w:rPr>
          <w:rFonts w:ascii="宋体" w:hAnsi="宋体" w:cs="宋体"/>
          <w:b/>
          <w:bCs/>
        </w:rPr>
      </w:pPr>
      <w:bookmarkStart w:id="568" w:name="_Toc989455"/>
      <w:r>
        <w:rPr>
          <w:rFonts w:ascii="宋体" w:hAnsi="宋体" w:cs="宋体"/>
          <w:b/>
          <w:bCs/>
        </w:rPr>
        <w:t>1、前期会计差错更正</w:t>
      </w:r>
      <w:bookmarkEnd w:id="568"/>
    </w:p>
    <w:p w:rsidR="000D58D8" w:rsidRDefault="000F627F">
      <w:pPr>
        <w:keepNext/>
        <w:keepLines/>
        <w:spacing w:before="300" w:after="300" w:line="280" w:lineRule="exact"/>
        <w:outlineLvl w:val="3"/>
        <w:rPr>
          <w:rFonts w:ascii="宋体" w:eastAsia="宋体" w:hAnsi="宋体" w:cs="宋体"/>
          <w:b/>
          <w:bCs/>
          <w:szCs w:val="21"/>
        </w:rPr>
      </w:pPr>
      <w:bookmarkStart w:id="569" w:name="_Toc989456"/>
      <w:r>
        <w:rPr>
          <w:rFonts w:ascii="宋体" w:eastAsia="宋体" w:hAnsi="宋体" w:cs="宋体"/>
          <w:b/>
          <w:bCs/>
          <w:szCs w:val="21"/>
        </w:rPr>
        <w:t>（1） 追溯重述法</w:t>
      </w:r>
      <w:bookmarkEnd w:id="569"/>
    </w:p>
    <w:p w:rsidR="000D58D8" w:rsidRDefault="000F627F">
      <w:pPr>
        <w:keepNext/>
        <w:keepLines/>
        <w:spacing w:before="300" w:after="300" w:line="280" w:lineRule="exact"/>
        <w:outlineLvl w:val="3"/>
        <w:rPr>
          <w:rFonts w:ascii="宋体" w:eastAsia="宋体" w:hAnsi="宋体" w:cs="宋体"/>
          <w:b/>
          <w:bCs/>
          <w:szCs w:val="21"/>
        </w:rPr>
      </w:pPr>
      <w:bookmarkStart w:id="570" w:name="_Toc989457"/>
      <w:r>
        <w:rPr>
          <w:rFonts w:ascii="宋体" w:eastAsia="宋体" w:hAnsi="宋体" w:cs="宋体"/>
          <w:b/>
          <w:bCs/>
          <w:szCs w:val="21"/>
        </w:rPr>
        <w:t>（2） 未来适用法</w:t>
      </w:r>
      <w:bookmarkEnd w:id="570"/>
    </w:p>
    <w:p w:rsidR="000D58D8" w:rsidRDefault="000F627F">
      <w:pPr>
        <w:pStyle w:val="3"/>
        <w:spacing w:line="280" w:lineRule="exact"/>
        <w:jc w:val="left"/>
        <w:rPr>
          <w:rFonts w:ascii="宋体" w:hAnsi="宋体" w:cs="宋体"/>
          <w:b/>
          <w:bCs/>
        </w:rPr>
      </w:pPr>
      <w:bookmarkStart w:id="571" w:name="_Toc989458"/>
      <w:r>
        <w:rPr>
          <w:rFonts w:ascii="宋体" w:hAnsi="宋体" w:cs="宋体"/>
          <w:b/>
          <w:bCs/>
        </w:rPr>
        <w:t>2、债务重组</w:t>
      </w:r>
      <w:bookmarkEnd w:id="571"/>
    </w:p>
    <w:p w:rsidR="000F627F" w:rsidRDefault="000F627F">
      <w:pPr>
        <w:pStyle w:val="a3"/>
        <w:divId w:val="267546368"/>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572" w:name="_Toc989459"/>
      <w:r>
        <w:rPr>
          <w:rFonts w:ascii="宋体" w:hAnsi="宋体" w:cs="宋体"/>
          <w:b/>
          <w:bCs/>
        </w:rPr>
        <w:t>3、资产置换</w:t>
      </w:r>
      <w:bookmarkEnd w:id="572"/>
    </w:p>
    <w:p w:rsidR="000D58D8" w:rsidRDefault="000F627F">
      <w:pPr>
        <w:keepNext/>
        <w:keepLines/>
        <w:spacing w:before="300" w:after="300" w:line="280" w:lineRule="exact"/>
        <w:outlineLvl w:val="3"/>
        <w:rPr>
          <w:rFonts w:ascii="宋体" w:eastAsia="宋体" w:hAnsi="宋体" w:cs="宋体"/>
          <w:b/>
          <w:bCs/>
          <w:szCs w:val="21"/>
        </w:rPr>
      </w:pPr>
      <w:bookmarkStart w:id="573" w:name="_Toc989460"/>
      <w:r>
        <w:rPr>
          <w:rFonts w:ascii="宋体" w:eastAsia="宋体" w:hAnsi="宋体" w:cs="宋体"/>
          <w:b/>
          <w:bCs/>
          <w:szCs w:val="21"/>
        </w:rPr>
        <w:t>（1） 非货币性资产交换</w:t>
      </w:r>
      <w:bookmarkEnd w:id="573"/>
    </w:p>
    <w:p w:rsidR="000F627F" w:rsidRDefault="000F627F">
      <w:pPr>
        <w:pStyle w:val="a3"/>
        <w:divId w:val="253512658"/>
        <w:rPr>
          <w:sz w:val="18"/>
          <w:szCs w:val="18"/>
        </w:rPr>
      </w:pP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574" w:name="_Toc989461"/>
      <w:r>
        <w:rPr>
          <w:rFonts w:ascii="宋体" w:eastAsia="宋体" w:hAnsi="宋体" w:cs="宋体"/>
          <w:b/>
          <w:bCs/>
          <w:szCs w:val="21"/>
        </w:rPr>
        <w:t>（2） 其他资产置换</w:t>
      </w:r>
      <w:bookmarkEnd w:id="574"/>
    </w:p>
    <w:p w:rsidR="000F627F" w:rsidRDefault="000F627F">
      <w:pPr>
        <w:pStyle w:val="a3"/>
        <w:divId w:val="1457140096"/>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575" w:name="_Toc989462"/>
      <w:r>
        <w:rPr>
          <w:rFonts w:ascii="宋体" w:hAnsi="宋体" w:cs="宋体"/>
          <w:b/>
          <w:bCs/>
        </w:rPr>
        <w:t>4、年金计划</w:t>
      </w:r>
      <w:bookmarkEnd w:id="575"/>
    </w:p>
    <w:p w:rsidR="000F627F" w:rsidRDefault="000F627F">
      <w:pPr>
        <w:pStyle w:val="a3"/>
        <w:divId w:val="331496975"/>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576" w:name="_Toc989463"/>
      <w:r>
        <w:rPr>
          <w:rFonts w:ascii="宋体" w:hAnsi="宋体" w:cs="宋体"/>
          <w:b/>
          <w:bCs/>
        </w:rPr>
        <w:t>5、终止经营</w:t>
      </w:r>
      <w:bookmarkEnd w:id="576"/>
    </w:p>
    <w:p w:rsidR="000F627F" w:rsidRPr="00FC6DFE" w:rsidRDefault="000F627F" w:rsidP="00FC6D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577" w:name="_Toc989464"/>
      <w:r>
        <w:rPr>
          <w:rFonts w:ascii="宋体" w:hAnsi="宋体" w:cs="宋体"/>
          <w:b/>
          <w:bCs/>
        </w:rPr>
        <w:t>6、分部信息</w:t>
      </w:r>
      <w:bookmarkEnd w:id="577"/>
    </w:p>
    <w:p w:rsidR="000D58D8" w:rsidRDefault="000F627F">
      <w:pPr>
        <w:keepNext/>
        <w:keepLines/>
        <w:spacing w:before="300" w:after="300" w:line="280" w:lineRule="exact"/>
        <w:outlineLvl w:val="3"/>
        <w:rPr>
          <w:rFonts w:ascii="宋体" w:eastAsia="宋体" w:hAnsi="宋体" w:cs="宋体"/>
          <w:b/>
          <w:bCs/>
          <w:szCs w:val="21"/>
        </w:rPr>
      </w:pPr>
      <w:bookmarkStart w:id="578" w:name="_Toc989465"/>
      <w:r>
        <w:rPr>
          <w:rFonts w:ascii="宋体" w:eastAsia="宋体" w:hAnsi="宋体" w:cs="宋体"/>
          <w:b/>
          <w:bCs/>
          <w:szCs w:val="21"/>
        </w:rPr>
        <w:t>（1） 报告分部的确定依据与会计政策</w:t>
      </w:r>
      <w:bookmarkEnd w:id="578"/>
    </w:p>
    <w:p w:rsidR="000F627F" w:rsidRDefault="000F627F">
      <w:pPr>
        <w:pStyle w:val="a3"/>
        <w:divId w:val="1411198266"/>
        <w:rPr>
          <w:sz w:val="18"/>
          <w:szCs w:val="18"/>
        </w:rPr>
      </w:pP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579" w:name="_Toc989466"/>
      <w:r>
        <w:rPr>
          <w:rFonts w:ascii="宋体" w:eastAsia="宋体" w:hAnsi="宋体" w:cs="宋体"/>
          <w:b/>
          <w:bCs/>
          <w:szCs w:val="21"/>
        </w:rPr>
        <w:t>（2） 报告分部的财务信息</w:t>
      </w:r>
      <w:bookmarkEnd w:id="579"/>
    </w:p>
    <w:p w:rsidR="000D58D8" w:rsidRDefault="000F627F">
      <w:pPr>
        <w:keepNext/>
        <w:keepLines/>
        <w:spacing w:before="300" w:after="300" w:line="280" w:lineRule="exact"/>
        <w:outlineLvl w:val="3"/>
        <w:rPr>
          <w:rFonts w:ascii="宋体" w:eastAsia="宋体" w:hAnsi="宋体" w:cs="宋体"/>
          <w:b/>
          <w:bCs/>
          <w:szCs w:val="21"/>
        </w:rPr>
      </w:pPr>
      <w:bookmarkStart w:id="580" w:name="_Toc989467"/>
      <w:r>
        <w:rPr>
          <w:rFonts w:ascii="宋体" w:eastAsia="宋体" w:hAnsi="宋体" w:cs="宋体"/>
          <w:b/>
          <w:bCs/>
          <w:szCs w:val="21"/>
        </w:rPr>
        <w:t>（3） 公司</w:t>
      </w:r>
      <w:proofErr w:type="gramStart"/>
      <w:r>
        <w:rPr>
          <w:rFonts w:ascii="宋体" w:eastAsia="宋体" w:hAnsi="宋体" w:cs="宋体"/>
          <w:b/>
          <w:bCs/>
          <w:szCs w:val="21"/>
        </w:rPr>
        <w:t>无报告</w:t>
      </w:r>
      <w:proofErr w:type="gramEnd"/>
      <w:r>
        <w:rPr>
          <w:rFonts w:ascii="宋体" w:eastAsia="宋体" w:hAnsi="宋体" w:cs="宋体"/>
          <w:b/>
          <w:bCs/>
          <w:szCs w:val="21"/>
        </w:rPr>
        <w:t>分部的，或者不能披露各报告分部的资产总额和负债总额的，应说明原因</w:t>
      </w:r>
      <w:bookmarkEnd w:id="580"/>
    </w:p>
    <w:p w:rsidR="000F627F" w:rsidRDefault="000F627F">
      <w:pPr>
        <w:pStyle w:val="a3"/>
        <w:divId w:val="837043348"/>
        <w:rPr>
          <w:sz w:val="18"/>
          <w:szCs w:val="18"/>
        </w:rPr>
      </w:pP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581" w:name="_Toc989468"/>
      <w:r>
        <w:rPr>
          <w:rFonts w:ascii="宋体" w:eastAsia="宋体" w:hAnsi="宋体" w:cs="宋体"/>
          <w:b/>
          <w:bCs/>
          <w:szCs w:val="21"/>
        </w:rPr>
        <w:t>（4） 其他说明</w:t>
      </w:r>
      <w:bookmarkEnd w:id="581"/>
    </w:p>
    <w:p w:rsidR="000F627F" w:rsidRDefault="000F627F">
      <w:pPr>
        <w:pStyle w:val="a3"/>
        <w:divId w:val="1996298524"/>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582" w:name="_Toc989469"/>
      <w:r>
        <w:rPr>
          <w:rFonts w:ascii="宋体" w:hAnsi="宋体" w:cs="宋体"/>
          <w:b/>
          <w:bCs/>
        </w:rPr>
        <w:lastRenderedPageBreak/>
        <w:t>7、其他对投资者决策有影响的重要交易和事项</w:t>
      </w:r>
      <w:bookmarkEnd w:id="582"/>
    </w:p>
    <w:p w:rsidR="000F627F" w:rsidRDefault="000F627F">
      <w:pPr>
        <w:pStyle w:val="a3"/>
        <w:divId w:val="1558857529"/>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583" w:name="_Toc989470"/>
      <w:r>
        <w:rPr>
          <w:rFonts w:ascii="宋体" w:hAnsi="宋体" w:cs="宋体"/>
          <w:b/>
          <w:bCs/>
        </w:rPr>
        <w:t>8、其他</w:t>
      </w:r>
      <w:bookmarkEnd w:id="583"/>
    </w:p>
    <w:p w:rsidR="000F627F" w:rsidRDefault="000F627F">
      <w:pPr>
        <w:pStyle w:val="a3"/>
        <w:divId w:val="2128886097"/>
        <w:rPr>
          <w:sz w:val="18"/>
          <w:szCs w:val="18"/>
        </w:rPr>
      </w:pPr>
      <w:r>
        <w:rPr>
          <w:rFonts w:hint="eastAsia"/>
          <w:sz w:val="18"/>
          <w:szCs w:val="18"/>
        </w:rPr>
        <w:t>无。</w:t>
      </w:r>
    </w:p>
    <w:p w:rsidR="000D58D8" w:rsidRDefault="000F627F">
      <w:pPr>
        <w:pStyle w:val="2"/>
        <w:spacing w:before="300" w:after="300" w:line="320" w:lineRule="exact"/>
        <w:rPr>
          <w:rFonts w:ascii="宋体" w:eastAsia="宋体" w:hAnsi="宋体" w:cs="宋体"/>
          <w:b/>
          <w:bCs/>
          <w:sz w:val="24"/>
          <w:szCs w:val="24"/>
        </w:rPr>
      </w:pPr>
      <w:bookmarkStart w:id="584" w:name="_Toc989471"/>
      <w:r>
        <w:rPr>
          <w:rFonts w:ascii="宋体" w:eastAsia="宋体" w:hAnsi="宋体" w:cs="宋体"/>
          <w:b/>
          <w:bCs/>
          <w:sz w:val="24"/>
          <w:szCs w:val="24"/>
        </w:rPr>
        <w:t>十九、母公司财务报表主要项目注释</w:t>
      </w:r>
      <w:bookmarkEnd w:id="584"/>
    </w:p>
    <w:p w:rsidR="000D58D8" w:rsidRDefault="000F627F">
      <w:pPr>
        <w:pStyle w:val="3"/>
        <w:spacing w:line="280" w:lineRule="exact"/>
        <w:jc w:val="left"/>
        <w:rPr>
          <w:rFonts w:ascii="宋体" w:hAnsi="宋体" w:cs="宋体"/>
          <w:b/>
          <w:bCs/>
        </w:rPr>
      </w:pPr>
      <w:bookmarkStart w:id="585" w:name="_Toc989472"/>
      <w:r>
        <w:rPr>
          <w:rFonts w:ascii="宋体" w:hAnsi="宋体" w:cs="宋体"/>
          <w:b/>
          <w:bCs/>
        </w:rPr>
        <w:t>1、应收账款</w:t>
      </w:r>
      <w:bookmarkEnd w:id="585"/>
    </w:p>
    <w:p w:rsidR="000D58D8" w:rsidRDefault="000F627F">
      <w:pPr>
        <w:keepNext/>
        <w:keepLines/>
        <w:spacing w:before="300" w:after="300" w:line="280" w:lineRule="exact"/>
        <w:outlineLvl w:val="3"/>
        <w:rPr>
          <w:rFonts w:ascii="宋体" w:eastAsia="宋体" w:hAnsi="宋体" w:cs="宋体"/>
          <w:b/>
          <w:bCs/>
          <w:szCs w:val="21"/>
        </w:rPr>
      </w:pPr>
      <w:bookmarkStart w:id="586" w:name="_Toc989473"/>
      <w:r>
        <w:rPr>
          <w:rFonts w:ascii="宋体" w:eastAsia="宋体" w:hAnsi="宋体" w:cs="宋体"/>
          <w:b/>
          <w:bCs/>
          <w:szCs w:val="21"/>
        </w:rPr>
        <w:t xml:space="preserve">（1） </w:t>
      </w:r>
      <w:proofErr w:type="gramStart"/>
      <w:r>
        <w:rPr>
          <w:rFonts w:ascii="宋体" w:eastAsia="宋体" w:hAnsi="宋体" w:cs="宋体"/>
          <w:b/>
          <w:bCs/>
          <w:szCs w:val="21"/>
        </w:rPr>
        <w:t>按账龄</w:t>
      </w:r>
      <w:proofErr w:type="gramEnd"/>
      <w:r>
        <w:rPr>
          <w:rFonts w:ascii="宋体" w:eastAsia="宋体" w:hAnsi="宋体" w:cs="宋体"/>
          <w:b/>
          <w:bCs/>
          <w:szCs w:val="21"/>
        </w:rPr>
        <w:t>披露</w:t>
      </w:r>
      <w:bookmarkEnd w:id="586"/>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12,254,558.26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113,650.34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12,254,558.26</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113,650.34</w:t>
            </w:r>
          </w:p>
        </w:tc>
      </w:tr>
    </w:tbl>
    <w:p w:rsidR="000D58D8" w:rsidRDefault="000F627F">
      <w:pPr>
        <w:keepNext/>
        <w:keepLines/>
        <w:spacing w:before="300" w:after="300" w:line="280" w:lineRule="exact"/>
        <w:outlineLvl w:val="3"/>
        <w:rPr>
          <w:rFonts w:ascii="宋体" w:eastAsia="宋体" w:hAnsi="宋体" w:cs="宋体"/>
          <w:b/>
          <w:bCs/>
          <w:szCs w:val="21"/>
        </w:rPr>
      </w:pPr>
      <w:bookmarkStart w:id="587" w:name="_Toc989474"/>
      <w:r>
        <w:rPr>
          <w:rFonts w:ascii="宋体" w:eastAsia="宋体" w:hAnsi="宋体" w:cs="宋体"/>
          <w:b/>
          <w:bCs/>
          <w:szCs w:val="21"/>
        </w:rPr>
        <w:t>（2） 按坏账计提方法分类披露</w:t>
      </w:r>
      <w:bookmarkEnd w:id="58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5"/>
        <w:gridCol w:w="876"/>
        <w:gridCol w:w="877"/>
        <w:gridCol w:w="876"/>
        <w:gridCol w:w="877"/>
        <w:gridCol w:w="876"/>
        <w:gridCol w:w="876"/>
        <w:gridCol w:w="877"/>
        <w:gridCol w:w="876"/>
        <w:gridCol w:w="877"/>
        <w:gridCol w:w="876"/>
      </w:tblGrid>
      <w:tr w:rsidR="000D58D8">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0D58D8">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12,254,558.26</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498,178.82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4.07%</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11,756,379.44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113,650.34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5,682.52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107,967.82</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预期信用风险组合</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9,963,576.46</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81.31%</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498,178.82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9,465,397.64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113,650.34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5,682.52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107,967.82</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性质组合</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2,290,981.80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18.69%</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2,290,981.80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12,254,558.26</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498,178.82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4.07%</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11,756,379.44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113,650.34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5,682.52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107,967.82</w:t>
            </w:r>
          </w:p>
        </w:tc>
      </w:tr>
    </w:tbl>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按组合计提坏账准备：预期信用风险组合</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1年以内</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9,963,576.46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498,178.82</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1－2年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2－3年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3－4年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4－5年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5年以上</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9,963,576.46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498,178.82</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F627F" w:rsidRPr="00FC6DFE" w:rsidRDefault="000F627F" w:rsidP="00FC6DFE">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Cs w:val="21"/>
        </w:rPr>
      </w:pPr>
      <w:bookmarkStart w:id="588" w:name="_Toc989475"/>
      <w:r>
        <w:rPr>
          <w:rFonts w:ascii="宋体" w:eastAsia="宋体" w:hAnsi="宋体" w:cs="宋体"/>
          <w:b/>
          <w:bCs/>
          <w:szCs w:val="21"/>
        </w:rPr>
        <w:t>（3） 本期计提、收回或转回的坏账准备情况</w:t>
      </w:r>
      <w:bookmarkEnd w:id="588"/>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0D58D8">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按单项计提坏账准备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按组合计提坏账准备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其中：预期信用风险组合</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5,682.52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492,496.30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498,178.82</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性质组合</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5,682.52</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492,496.30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498,178.82</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其中本期坏账准备收回或转回金额重要的：</w:t>
      </w:r>
    </w:p>
    <w:p w:rsidR="000F627F" w:rsidRDefault="00FC6DFE">
      <w:pPr>
        <w:divId w:val="67465509"/>
        <w:rPr>
          <w:sz w:val="18"/>
          <w:szCs w:val="18"/>
        </w:rPr>
      </w:pPr>
      <w:r>
        <w:rPr>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589" w:name="_Toc989476"/>
      <w:r>
        <w:rPr>
          <w:rFonts w:ascii="宋体" w:eastAsia="宋体" w:hAnsi="宋体" w:cs="宋体"/>
          <w:b/>
          <w:bCs/>
          <w:szCs w:val="21"/>
        </w:rPr>
        <w:t>（4） 本期实际核销的应收账款情况</w:t>
      </w:r>
      <w:bookmarkEnd w:id="589"/>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应收账款核销说明：</w:t>
      </w:r>
    </w:p>
    <w:p w:rsidR="000F627F" w:rsidRDefault="000F627F">
      <w:pPr>
        <w:pStyle w:val="a3"/>
        <w:divId w:val="955331201"/>
        <w:rPr>
          <w:sz w:val="18"/>
          <w:szCs w:val="18"/>
        </w:rPr>
      </w:pP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590" w:name="_Toc989477"/>
      <w:r>
        <w:rPr>
          <w:rFonts w:ascii="宋体" w:eastAsia="宋体" w:hAnsi="宋体" w:cs="宋体"/>
          <w:b/>
          <w:bCs/>
          <w:szCs w:val="21"/>
        </w:rPr>
        <w:t>（5） 按欠款方归集的期末余额前五名的应收账款和合同资产情况</w:t>
      </w:r>
      <w:bookmarkEnd w:id="590"/>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合同资产期末余额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应收账款和合同资产期末余额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占应收账款和合同资产期末余额合计数的比例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应收账款坏账准备和合同资产减值准备期末余额</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第一名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9,572,228.72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9,572,228.72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78.11%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478,611.44</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第二名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2,290,981.80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2,290,981.80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18.69%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第三名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391,347.74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391,347.74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3.20%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19,567.39</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12,254,558.26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12,254,558.26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498,178.83</w:t>
            </w:r>
          </w:p>
        </w:tc>
      </w:tr>
    </w:tbl>
    <w:p w:rsidR="000D58D8" w:rsidRDefault="000F627F">
      <w:pPr>
        <w:pStyle w:val="3"/>
        <w:spacing w:line="280" w:lineRule="exact"/>
        <w:jc w:val="left"/>
        <w:rPr>
          <w:rFonts w:ascii="宋体" w:hAnsi="宋体" w:cs="宋体"/>
          <w:b/>
          <w:bCs/>
        </w:rPr>
      </w:pPr>
      <w:bookmarkStart w:id="591" w:name="_Toc989478"/>
      <w:r>
        <w:rPr>
          <w:rFonts w:ascii="宋体" w:hAnsi="宋体" w:cs="宋体"/>
          <w:b/>
          <w:bCs/>
        </w:rPr>
        <w:t>2、其他应收款</w:t>
      </w:r>
      <w:bookmarkEnd w:id="591"/>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116,709,427.72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163,704,476.95</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116,709,427.72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163,704,476.95</w:t>
            </w:r>
          </w:p>
        </w:tc>
      </w:tr>
    </w:tbl>
    <w:p w:rsidR="000D58D8" w:rsidRDefault="000F627F">
      <w:pPr>
        <w:keepNext/>
        <w:keepLines/>
        <w:spacing w:before="300" w:after="300" w:line="280" w:lineRule="exact"/>
        <w:outlineLvl w:val="3"/>
        <w:rPr>
          <w:rFonts w:ascii="宋体" w:eastAsia="宋体" w:hAnsi="宋体" w:cs="宋体"/>
          <w:b/>
          <w:bCs/>
          <w:sz w:val="18"/>
          <w:szCs w:val="18"/>
        </w:rPr>
      </w:pPr>
      <w:bookmarkStart w:id="592" w:name="_Toc989479"/>
      <w:r>
        <w:rPr>
          <w:rFonts w:ascii="宋体" w:eastAsia="宋体" w:hAnsi="宋体" w:cs="宋体"/>
          <w:b/>
          <w:bCs/>
          <w:sz w:val="18"/>
          <w:szCs w:val="18"/>
        </w:rPr>
        <w:lastRenderedPageBreak/>
        <w:t>（1） 应收利息</w:t>
      </w:r>
      <w:bookmarkEnd w:id="592"/>
    </w:p>
    <w:p w:rsidR="00FC6DFE" w:rsidRDefault="000F627F" w:rsidP="00FC6DFE">
      <w:pPr>
        <w:keepNext/>
        <w:keepLines/>
        <w:spacing w:before="300" w:after="300" w:line="280" w:lineRule="exact"/>
        <w:outlineLvl w:val="4"/>
        <w:rPr>
          <w:rFonts w:ascii="宋体" w:eastAsia="宋体" w:hAnsi="宋体" w:cs="宋体"/>
          <w:b/>
          <w:bCs/>
          <w:sz w:val="18"/>
          <w:szCs w:val="18"/>
        </w:rPr>
      </w:pPr>
      <w:bookmarkStart w:id="593" w:name="_Toc989480"/>
      <w:r>
        <w:rPr>
          <w:rFonts w:ascii="宋体" w:eastAsia="宋体" w:hAnsi="宋体" w:cs="宋体"/>
          <w:b/>
          <w:bCs/>
          <w:sz w:val="18"/>
          <w:szCs w:val="18"/>
        </w:rPr>
        <w:t>1） 应收利息分类</w:t>
      </w:r>
      <w:bookmarkStart w:id="594" w:name="_Toc989481"/>
      <w:bookmarkEnd w:id="593"/>
    </w:p>
    <w:p w:rsidR="000D58D8" w:rsidRDefault="000F627F" w:rsidP="00FC6DFE">
      <w:pPr>
        <w:keepNext/>
        <w:keepLines/>
        <w:spacing w:before="300" w:after="300" w:line="280" w:lineRule="exact"/>
        <w:outlineLvl w:val="4"/>
        <w:rPr>
          <w:rFonts w:ascii="宋体" w:eastAsia="宋体" w:hAnsi="宋体" w:cs="宋体"/>
          <w:b/>
          <w:bCs/>
          <w:sz w:val="18"/>
          <w:szCs w:val="18"/>
        </w:rPr>
      </w:pPr>
      <w:r>
        <w:rPr>
          <w:rFonts w:ascii="宋体" w:eastAsia="宋体" w:hAnsi="宋体" w:cs="宋体"/>
          <w:b/>
          <w:bCs/>
          <w:sz w:val="18"/>
          <w:szCs w:val="18"/>
        </w:rPr>
        <w:t>2） 重要逾期利息</w:t>
      </w:r>
      <w:bookmarkEnd w:id="594"/>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pStyle w:val="a3"/>
        <w:divId w:val="160892919"/>
        <w:rPr>
          <w:sz w:val="18"/>
          <w:szCs w:val="18"/>
        </w:rPr>
      </w:pPr>
      <w:r>
        <w:rPr>
          <w:rFonts w:hint="eastAsia"/>
          <w:sz w:val="18"/>
          <w:szCs w:val="18"/>
        </w:rPr>
        <w:t>无。</w:t>
      </w:r>
    </w:p>
    <w:p w:rsidR="000D58D8" w:rsidRDefault="000F627F">
      <w:pPr>
        <w:keepNext/>
        <w:keepLines/>
        <w:spacing w:before="300" w:after="300" w:line="280" w:lineRule="exact"/>
        <w:outlineLvl w:val="4"/>
        <w:rPr>
          <w:rFonts w:ascii="宋体" w:eastAsia="宋体" w:hAnsi="宋体" w:cs="宋体"/>
          <w:b/>
          <w:bCs/>
          <w:sz w:val="18"/>
          <w:szCs w:val="18"/>
        </w:rPr>
      </w:pPr>
      <w:bookmarkStart w:id="595" w:name="_Toc989482"/>
      <w:r>
        <w:rPr>
          <w:rFonts w:ascii="宋体" w:eastAsia="宋体" w:hAnsi="宋体" w:cs="宋体"/>
          <w:b/>
          <w:bCs/>
          <w:sz w:val="18"/>
          <w:szCs w:val="18"/>
        </w:rPr>
        <w:t>3） 按坏账计提方法分类披露</w:t>
      </w:r>
      <w:bookmarkEnd w:id="595"/>
    </w:p>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4"/>
        <w:rPr>
          <w:rFonts w:ascii="宋体" w:eastAsia="宋体" w:hAnsi="宋体" w:cs="宋体"/>
          <w:b/>
          <w:bCs/>
          <w:sz w:val="18"/>
          <w:szCs w:val="18"/>
        </w:rPr>
      </w:pPr>
      <w:bookmarkStart w:id="596" w:name="_Toc989483"/>
      <w:r>
        <w:rPr>
          <w:rFonts w:ascii="宋体" w:eastAsia="宋体" w:hAnsi="宋体" w:cs="宋体"/>
          <w:b/>
          <w:bCs/>
          <w:sz w:val="18"/>
          <w:szCs w:val="18"/>
        </w:rPr>
        <w:t>4） 本期计提、收回或转回的坏账准备的情况</w:t>
      </w:r>
      <w:bookmarkEnd w:id="596"/>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pStyle w:val="a3"/>
        <w:divId w:val="446586316"/>
        <w:rPr>
          <w:sz w:val="18"/>
          <w:szCs w:val="18"/>
        </w:rPr>
      </w:pPr>
      <w:r>
        <w:rPr>
          <w:rFonts w:hint="eastAsia"/>
          <w:sz w:val="18"/>
          <w:szCs w:val="18"/>
        </w:rPr>
        <w:t>无。</w:t>
      </w:r>
    </w:p>
    <w:p w:rsidR="000D58D8" w:rsidRDefault="000F627F">
      <w:pPr>
        <w:keepNext/>
        <w:keepLines/>
        <w:spacing w:before="300" w:after="300" w:line="280" w:lineRule="exact"/>
        <w:outlineLvl w:val="4"/>
        <w:rPr>
          <w:rFonts w:ascii="宋体" w:eastAsia="宋体" w:hAnsi="宋体" w:cs="宋体"/>
          <w:b/>
          <w:bCs/>
          <w:sz w:val="18"/>
          <w:szCs w:val="18"/>
        </w:rPr>
      </w:pPr>
      <w:bookmarkStart w:id="597" w:name="_Toc989484"/>
      <w:r>
        <w:rPr>
          <w:rFonts w:ascii="宋体" w:eastAsia="宋体" w:hAnsi="宋体" w:cs="宋体"/>
          <w:b/>
          <w:bCs/>
          <w:sz w:val="18"/>
          <w:szCs w:val="18"/>
        </w:rPr>
        <w:t>5） 本期实际核销的应收利息情况</w:t>
      </w:r>
      <w:bookmarkEnd w:id="59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0D58D8">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其中重要的应收利息核销情况</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核销原因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履行的核销程序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款项是否由关联交易产生</w:t>
            </w:r>
          </w:p>
        </w:tc>
      </w:tr>
    </w:tbl>
    <w:p w:rsidR="000F627F" w:rsidRPr="00FC6DFE" w:rsidRDefault="000F627F" w:rsidP="00FC6DFE">
      <w:pPr>
        <w:spacing w:before="100" w:after="100" w:line="240" w:lineRule="exact"/>
        <w:rPr>
          <w:rFonts w:ascii="宋体" w:eastAsia="宋体" w:hAnsi="宋体" w:cs="宋体"/>
          <w:sz w:val="18"/>
          <w:szCs w:val="18"/>
        </w:rPr>
      </w:pPr>
      <w:r>
        <w:rPr>
          <w:rFonts w:ascii="宋体" w:eastAsia="宋体" w:hAnsi="宋体" w:cs="宋体"/>
          <w:sz w:val="18"/>
          <w:szCs w:val="18"/>
        </w:rPr>
        <w:t>核销说明：</w:t>
      </w:r>
      <w:r>
        <w:rPr>
          <w:rFonts w:hint="eastAsia"/>
          <w:sz w:val="18"/>
          <w:szCs w:val="18"/>
        </w:rPr>
        <w:t>无。</w:t>
      </w:r>
    </w:p>
    <w:p w:rsidR="000F627F" w:rsidRPr="00FC6DFE" w:rsidRDefault="000F627F" w:rsidP="00FC6D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598" w:name="_Toc989485"/>
      <w:r>
        <w:rPr>
          <w:rFonts w:ascii="宋体" w:eastAsia="宋体" w:hAnsi="宋体" w:cs="宋体"/>
          <w:b/>
          <w:bCs/>
          <w:sz w:val="18"/>
          <w:szCs w:val="18"/>
        </w:rPr>
        <w:t>（2） 应收股利</w:t>
      </w:r>
      <w:bookmarkEnd w:id="598"/>
    </w:p>
    <w:p w:rsidR="000D58D8" w:rsidRDefault="000F627F">
      <w:pPr>
        <w:keepNext/>
        <w:keepLines/>
        <w:spacing w:before="300" w:after="300" w:line="280" w:lineRule="exact"/>
        <w:outlineLvl w:val="4"/>
        <w:rPr>
          <w:rFonts w:ascii="宋体" w:eastAsia="宋体" w:hAnsi="宋体" w:cs="宋体"/>
          <w:b/>
          <w:bCs/>
          <w:sz w:val="18"/>
          <w:szCs w:val="18"/>
        </w:rPr>
      </w:pPr>
      <w:bookmarkStart w:id="599" w:name="_Toc989486"/>
      <w:r>
        <w:rPr>
          <w:rFonts w:ascii="宋体" w:eastAsia="宋体" w:hAnsi="宋体" w:cs="宋体"/>
          <w:b/>
          <w:bCs/>
          <w:sz w:val="18"/>
          <w:szCs w:val="18"/>
        </w:rPr>
        <w:t>1） 应收股利分类</w:t>
      </w:r>
      <w:bookmarkEnd w:id="599"/>
    </w:p>
    <w:p w:rsidR="000D58D8" w:rsidRDefault="000F627F">
      <w:pPr>
        <w:keepNext/>
        <w:keepLines/>
        <w:spacing w:before="300" w:after="300" w:line="280" w:lineRule="exact"/>
        <w:outlineLvl w:val="4"/>
        <w:rPr>
          <w:rFonts w:ascii="宋体" w:eastAsia="宋体" w:hAnsi="宋体" w:cs="宋体"/>
          <w:b/>
          <w:bCs/>
          <w:sz w:val="18"/>
          <w:szCs w:val="18"/>
        </w:rPr>
      </w:pPr>
      <w:bookmarkStart w:id="600" w:name="_Toc989487"/>
      <w:r>
        <w:rPr>
          <w:rFonts w:ascii="宋体" w:eastAsia="宋体" w:hAnsi="宋体" w:cs="宋体"/>
          <w:b/>
          <w:bCs/>
          <w:sz w:val="18"/>
          <w:szCs w:val="18"/>
        </w:rPr>
        <w:t>2） 重要的账龄超过1年的应收股利</w:t>
      </w:r>
      <w:bookmarkEnd w:id="600"/>
    </w:p>
    <w:p w:rsidR="000D58D8" w:rsidRDefault="000F627F">
      <w:pPr>
        <w:keepNext/>
        <w:keepLines/>
        <w:spacing w:before="300" w:after="300" w:line="280" w:lineRule="exact"/>
        <w:outlineLvl w:val="4"/>
        <w:rPr>
          <w:rFonts w:ascii="宋体" w:eastAsia="宋体" w:hAnsi="宋体" w:cs="宋体"/>
          <w:b/>
          <w:bCs/>
          <w:sz w:val="18"/>
          <w:szCs w:val="18"/>
        </w:rPr>
      </w:pPr>
      <w:bookmarkStart w:id="601" w:name="_Toc989488"/>
      <w:r>
        <w:rPr>
          <w:rFonts w:ascii="宋体" w:eastAsia="宋体" w:hAnsi="宋体" w:cs="宋体"/>
          <w:b/>
          <w:bCs/>
          <w:sz w:val="18"/>
          <w:szCs w:val="18"/>
        </w:rPr>
        <w:t>3） 按坏账计提方法分类披露</w:t>
      </w:r>
      <w:bookmarkEnd w:id="60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4"/>
        <w:rPr>
          <w:rFonts w:ascii="宋体" w:eastAsia="宋体" w:hAnsi="宋体" w:cs="宋体"/>
          <w:b/>
          <w:bCs/>
          <w:szCs w:val="21"/>
        </w:rPr>
      </w:pPr>
      <w:bookmarkStart w:id="602" w:name="_Toc989489"/>
      <w:r>
        <w:rPr>
          <w:rFonts w:ascii="宋体" w:eastAsia="宋体" w:hAnsi="宋体" w:cs="宋体"/>
          <w:b/>
          <w:bCs/>
          <w:szCs w:val="21"/>
        </w:rPr>
        <w:t>4） 本期计提、收回或转回的坏账准备的情况</w:t>
      </w:r>
      <w:bookmarkEnd w:id="602"/>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pStyle w:val="a3"/>
        <w:divId w:val="138688395"/>
        <w:rPr>
          <w:sz w:val="18"/>
          <w:szCs w:val="18"/>
        </w:rPr>
      </w:pPr>
      <w:r>
        <w:rPr>
          <w:rFonts w:hint="eastAsia"/>
          <w:sz w:val="18"/>
          <w:szCs w:val="18"/>
        </w:rPr>
        <w:t>无。</w:t>
      </w:r>
    </w:p>
    <w:p w:rsidR="000D58D8" w:rsidRDefault="000F627F">
      <w:pPr>
        <w:keepNext/>
        <w:keepLines/>
        <w:spacing w:before="300" w:after="300" w:line="280" w:lineRule="exact"/>
        <w:outlineLvl w:val="4"/>
        <w:rPr>
          <w:rFonts w:ascii="宋体" w:eastAsia="宋体" w:hAnsi="宋体" w:cs="宋体"/>
          <w:b/>
          <w:bCs/>
          <w:szCs w:val="21"/>
        </w:rPr>
      </w:pPr>
      <w:bookmarkStart w:id="603" w:name="_Toc989490"/>
      <w:r>
        <w:rPr>
          <w:rFonts w:ascii="宋体" w:eastAsia="宋体" w:hAnsi="宋体" w:cs="宋体"/>
          <w:b/>
          <w:bCs/>
          <w:szCs w:val="21"/>
        </w:rPr>
        <w:lastRenderedPageBreak/>
        <w:t>5） 本期实际核销的应收股利情况</w:t>
      </w:r>
      <w:bookmarkEnd w:id="60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核销说明：</w:t>
      </w:r>
    </w:p>
    <w:p w:rsidR="000F627F" w:rsidRDefault="000F627F">
      <w:pPr>
        <w:pStyle w:val="a3"/>
        <w:divId w:val="2013602918"/>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pStyle w:val="a3"/>
        <w:divId w:val="1726442998"/>
        <w:rPr>
          <w:sz w:val="18"/>
          <w:szCs w:val="18"/>
        </w:rPr>
      </w:pP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 w:val="18"/>
          <w:szCs w:val="18"/>
        </w:rPr>
      </w:pPr>
      <w:bookmarkStart w:id="604" w:name="_Toc989491"/>
      <w:r>
        <w:rPr>
          <w:rFonts w:ascii="宋体" w:eastAsia="宋体" w:hAnsi="宋体" w:cs="宋体"/>
          <w:b/>
          <w:bCs/>
          <w:sz w:val="18"/>
          <w:szCs w:val="18"/>
        </w:rPr>
        <w:t>（3） 其他应收款</w:t>
      </w:r>
      <w:bookmarkEnd w:id="604"/>
    </w:p>
    <w:p w:rsidR="000D58D8" w:rsidRDefault="000F627F">
      <w:pPr>
        <w:keepNext/>
        <w:keepLines/>
        <w:spacing w:before="300" w:after="300" w:line="280" w:lineRule="exact"/>
        <w:outlineLvl w:val="4"/>
        <w:rPr>
          <w:rFonts w:ascii="宋体" w:eastAsia="宋体" w:hAnsi="宋体" w:cs="宋体"/>
          <w:b/>
          <w:bCs/>
          <w:sz w:val="18"/>
          <w:szCs w:val="18"/>
        </w:rPr>
      </w:pPr>
      <w:bookmarkStart w:id="605" w:name="_Toc989492"/>
      <w:r>
        <w:rPr>
          <w:rFonts w:ascii="宋体" w:eastAsia="宋体" w:hAnsi="宋体" w:cs="宋体"/>
          <w:b/>
          <w:bCs/>
          <w:sz w:val="18"/>
          <w:szCs w:val="18"/>
        </w:rPr>
        <w:t>1） 其他应收款按款项性质分类情况</w:t>
      </w:r>
      <w:bookmarkEnd w:id="605"/>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暂借款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143,285.23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21,369,916.68</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员工借款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132,580.03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合并范围外关联方往来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19,115,777.77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19,115,777.77</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合并范围内关联方往来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103,985,990.09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127,967,890.31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代垫款</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减：坏账准备</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-6,535,625.37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-4,886,687.84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116,709,427.72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163,704,476.95</w:t>
            </w:r>
          </w:p>
        </w:tc>
      </w:tr>
    </w:tbl>
    <w:p w:rsidR="000D58D8" w:rsidRDefault="000F627F">
      <w:pPr>
        <w:keepNext/>
        <w:keepLines/>
        <w:spacing w:before="300" w:after="300" w:line="280" w:lineRule="exact"/>
        <w:outlineLvl w:val="4"/>
        <w:rPr>
          <w:rFonts w:ascii="宋体" w:eastAsia="宋体" w:hAnsi="宋体" w:cs="宋体"/>
          <w:b/>
          <w:bCs/>
          <w:sz w:val="18"/>
          <w:szCs w:val="18"/>
        </w:rPr>
      </w:pPr>
      <w:bookmarkStart w:id="606" w:name="_Toc989493"/>
      <w:r>
        <w:rPr>
          <w:rFonts w:ascii="宋体" w:eastAsia="宋体" w:hAnsi="宋体" w:cs="宋体"/>
          <w:b/>
          <w:bCs/>
          <w:sz w:val="18"/>
          <w:szCs w:val="18"/>
        </w:rPr>
        <w:t xml:space="preserve">2） </w:t>
      </w:r>
      <w:proofErr w:type="gramStart"/>
      <w:r>
        <w:rPr>
          <w:rFonts w:ascii="宋体" w:eastAsia="宋体" w:hAnsi="宋体" w:cs="宋体"/>
          <w:b/>
          <w:bCs/>
          <w:sz w:val="18"/>
          <w:szCs w:val="18"/>
        </w:rPr>
        <w:t>按账龄</w:t>
      </w:r>
      <w:proofErr w:type="gramEnd"/>
      <w:r>
        <w:rPr>
          <w:rFonts w:ascii="宋体" w:eastAsia="宋体" w:hAnsi="宋体" w:cs="宋体"/>
          <w:b/>
          <w:bCs/>
          <w:sz w:val="18"/>
          <w:szCs w:val="18"/>
        </w:rPr>
        <w:t>披露</w:t>
      </w:r>
      <w:bookmarkEnd w:id="606"/>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104,124,275.32</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130,929,584.76</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2,084,444.44</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27,955,467.24</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7,331,333.33</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9,700,000.00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9,705,000.00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6,112.79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3至4年</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9,700,000.00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6,112.79</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4至5年</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123,245,053.09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168,591,164.79</w:t>
            </w:r>
          </w:p>
        </w:tc>
      </w:tr>
    </w:tbl>
    <w:p w:rsidR="000D58D8" w:rsidRDefault="000F627F">
      <w:pPr>
        <w:keepNext/>
        <w:keepLines/>
        <w:spacing w:before="300" w:after="300" w:line="280" w:lineRule="exact"/>
        <w:outlineLvl w:val="4"/>
        <w:rPr>
          <w:rFonts w:ascii="宋体" w:eastAsia="宋体" w:hAnsi="宋体" w:cs="宋体"/>
          <w:b/>
          <w:bCs/>
          <w:sz w:val="18"/>
          <w:szCs w:val="18"/>
        </w:rPr>
      </w:pPr>
      <w:bookmarkStart w:id="607" w:name="_Toc989494"/>
      <w:r>
        <w:rPr>
          <w:rFonts w:ascii="宋体" w:eastAsia="宋体" w:hAnsi="宋体" w:cs="宋体"/>
          <w:b/>
          <w:bCs/>
          <w:sz w:val="18"/>
          <w:szCs w:val="18"/>
        </w:rPr>
        <w:t>3） 按坏账计提方法分类披露</w:t>
      </w:r>
      <w:bookmarkEnd w:id="60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5"/>
        <w:gridCol w:w="876"/>
        <w:gridCol w:w="877"/>
        <w:gridCol w:w="876"/>
        <w:gridCol w:w="877"/>
        <w:gridCol w:w="876"/>
        <w:gridCol w:w="876"/>
        <w:gridCol w:w="877"/>
        <w:gridCol w:w="876"/>
        <w:gridCol w:w="877"/>
        <w:gridCol w:w="876"/>
      </w:tblGrid>
      <w:tr w:rsidR="000D58D8">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0D58D8">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123,245,053.09</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6,535,625.37</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5.30%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116,709,427.72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168,591,164.79</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4,886,687.84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163,704,476.95</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预期信用风险组合</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19,259,063.00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15.63%</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6,535,625.37</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33.94%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12,723,437.63</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40,623,274.48</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24.10%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4,886,687.84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12.03%</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35,736,586.64</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合并范围内关联方组合</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103,985,990.09</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84.37%</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103,985,990.09</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127,967,890.31</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75.90%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127,967,890.31</w:t>
            </w:r>
          </w:p>
        </w:tc>
      </w:tr>
      <w:tr w:rsidR="000D58D8">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123,245,053.09</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6,535,625.37</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39.24%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116,709,427.72</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168,591,164.79</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4,886,687.84</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14.93%</w:t>
            </w:r>
          </w:p>
        </w:tc>
        <w:tc>
          <w:tcPr>
            <w:tcW w:w="87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163,704,476.95</w:t>
            </w:r>
          </w:p>
        </w:tc>
      </w:tr>
    </w:tbl>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按组合计提坏账准备：预期信用风险组合</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1年以内</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138,285.23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6,914.26</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1－2年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2,084,444.44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208,444.44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2－3年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7,331,333.33</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1,466,266.67</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3－4年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9,700,000.00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4,850,000.00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4－5年</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4,000.00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5年以上</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19,259,063.00</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6,535,625.37</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bl>
    <w:p w:rsidR="000F627F" w:rsidRPr="00FC6DFE" w:rsidRDefault="000F627F" w:rsidP="00FC6DFE">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按预期信用损失一般模型计提坏账准备：</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0D58D8">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2023年1月1日余额</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4,886,687.84</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4,886,687.84</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2023年1月1日余额在本期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1,648,937.53</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1,648,937.53</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2023年12月31日余额</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6,535,625.37</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6,535,625.37</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各阶段划分依据和坏账准备计提比例</w:t>
      </w:r>
    </w:p>
    <w:p w:rsidR="000F627F" w:rsidRDefault="000F627F">
      <w:pPr>
        <w:pStyle w:val="a3"/>
        <w:divId w:val="1678851116"/>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4"/>
        <w:rPr>
          <w:rFonts w:ascii="宋体" w:eastAsia="宋体" w:hAnsi="宋体" w:cs="宋体"/>
          <w:b/>
          <w:bCs/>
          <w:sz w:val="18"/>
          <w:szCs w:val="18"/>
        </w:rPr>
      </w:pPr>
      <w:bookmarkStart w:id="608" w:name="_Toc989495"/>
      <w:r>
        <w:rPr>
          <w:rFonts w:ascii="宋体" w:eastAsia="宋体" w:hAnsi="宋体" w:cs="宋体"/>
          <w:b/>
          <w:bCs/>
          <w:sz w:val="18"/>
          <w:szCs w:val="18"/>
        </w:rPr>
        <w:t>4） 本期计提、收回或转回的坏账准备情况</w:t>
      </w:r>
      <w:bookmarkEnd w:id="608"/>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0D58D8">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0D58D8">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转销或核销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按单项计提坏</w:t>
            </w:r>
            <w:r>
              <w:rPr>
                <w:rFonts w:ascii="宋体" w:eastAsia="宋体" w:hAnsi="宋体" w:cs="宋体"/>
                <w:sz w:val="18"/>
                <w:szCs w:val="18"/>
              </w:rPr>
              <w:lastRenderedPageBreak/>
              <w:t>账准备</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lastRenderedPageBreak/>
              <w:t>按组合计提坏账准备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其中：预期信用风险组合</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4,886,687.84</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1,648,937.53</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6,535,625.37</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合并范围内关联方组合</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4,886,687.84</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1,648,937.53</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6,535,625.37</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其中本期坏账准备转回或收回金额重要的：</w:t>
      </w:r>
    </w:p>
    <w:p w:rsidR="000D58D8" w:rsidRDefault="000F627F">
      <w:pPr>
        <w:keepNext/>
        <w:keepLines/>
        <w:spacing w:before="300" w:after="300" w:line="280" w:lineRule="exact"/>
        <w:outlineLvl w:val="4"/>
        <w:rPr>
          <w:rFonts w:ascii="宋体" w:eastAsia="宋体" w:hAnsi="宋体" w:cs="宋体"/>
          <w:b/>
          <w:bCs/>
          <w:sz w:val="18"/>
          <w:szCs w:val="18"/>
        </w:rPr>
      </w:pPr>
      <w:bookmarkStart w:id="609" w:name="_Toc989496"/>
      <w:r>
        <w:rPr>
          <w:rFonts w:ascii="宋体" w:eastAsia="宋体" w:hAnsi="宋体" w:cs="宋体"/>
          <w:b/>
          <w:bCs/>
          <w:sz w:val="18"/>
          <w:szCs w:val="18"/>
        </w:rPr>
        <w:t>5） 本期实际核销的其他应收款情况</w:t>
      </w:r>
      <w:bookmarkEnd w:id="609"/>
    </w:p>
    <w:p w:rsidR="000F627F" w:rsidRPr="00FC6DFE" w:rsidRDefault="000F627F" w:rsidP="00FC6DFE">
      <w:pPr>
        <w:spacing w:before="100" w:after="100" w:line="240" w:lineRule="exact"/>
        <w:rPr>
          <w:rFonts w:ascii="宋体" w:eastAsia="宋体" w:hAnsi="宋体" w:cs="宋体"/>
          <w:sz w:val="18"/>
          <w:szCs w:val="18"/>
        </w:rPr>
      </w:pPr>
      <w:r>
        <w:rPr>
          <w:rFonts w:ascii="宋体" w:eastAsia="宋体" w:hAnsi="宋体" w:cs="宋体"/>
          <w:sz w:val="18"/>
          <w:szCs w:val="18"/>
        </w:rPr>
        <w:t>其他应收款核销说明：</w:t>
      </w:r>
      <w:r>
        <w:rPr>
          <w:rFonts w:hint="eastAsia"/>
          <w:sz w:val="18"/>
          <w:szCs w:val="18"/>
        </w:rPr>
        <w:t>无。</w:t>
      </w:r>
    </w:p>
    <w:p w:rsidR="000D58D8" w:rsidRDefault="000F627F">
      <w:pPr>
        <w:keepNext/>
        <w:keepLines/>
        <w:spacing w:before="300" w:after="300" w:line="280" w:lineRule="exact"/>
        <w:outlineLvl w:val="4"/>
        <w:rPr>
          <w:rFonts w:ascii="宋体" w:eastAsia="宋体" w:hAnsi="宋体" w:cs="宋体"/>
          <w:b/>
          <w:bCs/>
          <w:sz w:val="18"/>
          <w:szCs w:val="18"/>
        </w:rPr>
      </w:pPr>
      <w:bookmarkStart w:id="610" w:name="_Toc989497"/>
      <w:r>
        <w:rPr>
          <w:rFonts w:ascii="宋体" w:eastAsia="宋体" w:hAnsi="宋体" w:cs="宋体"/>
          <w:b/>
          <w:bCs/>
          <w:sz w:val="18"/>
          <w:szCs w:val="18"/>
        </w:rPr>
        <w:t>6） 按欠款方归集的期末余额前五名的其他应收款情况</w:t>
      </w:r>
      <w:bookmarkEnd w:id="610"/>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第一名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合并范围内关联方往来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1-2年</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81,673,246.56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2-3年</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66.27%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第二名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合并范围外关联方往来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1,129,444.45</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1-2年</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0.92%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112,944.45</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1,016,666.66</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2-3年</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0.82%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203,333.33</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9,700,000.00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3-4年</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7.87%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4,850,000.00</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第三名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合并范围内关联方往来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10,725,229.39</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8.70%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第四名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合并范围内关联方往来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8,880,275.87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7.21%</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第五名</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合并范围外关联方往来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955,000.00</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1-2年</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0.77%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95,500.00</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6,314,666.67</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2-3年</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1,262,933.33</w:t>
            </w:r>
          </w:p>
        </w:tc>
      </w:tr>
      <w:tr w:rsidR="000D58D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120,444,529.60</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97.72%</w:t>
            </w:r>
          </w:p>
        </w:tc>
        <w:tc>
          <w:tcPr>
            <w:tcW w:w="1606"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6,524,711.11</w:t>
            </w:r>
          </w:p>
        </w:tc>
      </w:tr>
    </w:tbl>
    <w:p w:rsidR="000D58D8" w:rsidRDefault="000F627F">
      <w:pPr>
        <w:keepNext/>
        <w:keepLines/>
        <w:spacing w:before="300" w:after="300" w:line="280" w:lineRule="exact"/>
        <w:outlineLvl w:val="4"/>
        <w:rPr>
          <w:rFonts w:ascii="宋体" w:eastAsia="宋体" w:hAnsi="宋体" w:cs="宋体"/>
          <w:b/>
          <w:bCs/>
          <w:sz w:val="18"/>
          <w:szCs w:val="18"/>
        </w:rPr>
      </w:pPr>
      <w:bookmarkStart w:id="611" w:name="_Toc989498"/>
      <w:r>
        <w:rPr>
          <w:rFonts w:ascii="宋体" w:eastAsia="宋体" w:hAnsi="宋体" w:cs="宋体"/>
          <w:b/>
          <w:bCs/>
          <w:sz w:val="18"/>
          <w:szCs w:val="18"/>
        </w:rPr>
        <w:t>7） 因资金集中管理而列报于其他应收款</w:t>
      </w:r>
      <w:bookmarkEnd w:id="611"/>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0F627F" w:rsidRDefault="000F627F">
      <w:pPr>
        <w:pStyle w:val="a3"/>
        <w:divId w:val="29575743"/>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612" w:name="_Toc989499"/>
      <w:r>
        <w:rPr>
          <w:rFonts w:ascii="宋体" w:hAnsi="宋体" w:cs="宋体"/>
          <w:b/>
          <w:bCs/>
        </w:rPr>
        <w:t>3、长期股权投资</w:t>
      </w:r>
      <w:bookmarkEnd w:id="612"/>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0D58D8">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D58D8">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对子公司投资</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4,126,298,998.00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4,126,298,998.00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4,414,907,400.06</w:t>
            </w:r>
          </w:p>
        </w:tc>
      </w:tr>
      <w:tr w:rsidR="000D58D8">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4,126,298,998.00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4,126,298,998.00</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4,414,907,400.06</w:t>
            </w:r>
          </w:p>
        </w:tc>
      </w:tr>
    </w:tbl>
    <w:p w:rsidR="000D58D8" w:rsidRDefault="000F627F">
      <w:pPr>
        <w:keepNext/>
        <w:keepLines/>
        <w:spacing w:before="300" w:after="300" w:line="280" w:lineRule="exact"/>
        <w:outlineLvl w:val="3"/>
        <w:rPr>
          <w:rFonts w:ascii="宋体" w:eastAsia="宋体" w:hAnsi="宋体" w:cs="宋体"/>
          <w:b/>
          <w:bCs/>
          <w:szCs w:val="21"/>
        </w:rPr>
      </w:pPr>
      <w:bookmarkStart w:id="613" w:name="_Toc989500"/>
      <w:r>
        <w:rPr>
          <w:rFonts w:ascii="宋体" w:eastAsia="宋体" w:hAnsi="宋体" w:cs="宋体"/>
          <w:b/>
          <w:bCs/>
          <w:szCs w:val="21"/>
        </w:rPr>
        <w:lastRenderedPageBreak/>
        <w:t>（1） 对子公司投资</w:t>
      </w:r>
      <w:bookmarkEnd w:id="613"/>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0D58D8">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减值准备期初余额</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0D58D8">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vMerge/>
            <w:tcBorders>
              <w:top w:val="single" w:sz="2" w:space="0" w:color="auto"/>
              <w:left w:val="single" w:sz="2" w:space="0" w:color="auto"/>
              <w:bottom w:val="single" w:sz="2" w:space="0" w:color="auto"/>
              <w:right w:val="single" w:sz="2" w:space="0" w:color="auto"/>
            </w:tcBorders>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深圳市华孚进出口有限公司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2,126,565,336.11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2,126,565,336.11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浙江金华华孚纺织有限公司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44,257,636.45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31,424,931.56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12,832,704.89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浙江缙云华孚纺织有限公司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29,754,027.50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29,754,027.50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浙江华孚色纺有限公司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360,000,000.00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232,735,626.89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127,264,373.11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淮北中新纺织有限公司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5,306,183.89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205,306,183.89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奎屯锦孚纺织有限公司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154,330,400.00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154,330,400.00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深圳华孚网链投资有限公司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500,000,000.00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新疆华孚棉业集团有限公司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1,000,000,000.00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5,306,183.89</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293,914,585.95</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4,126,298,998.00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bl>
    <w:p w:rsidR="000D58D8" w:rsidRDefault="000F627F">
      <w:pPr>
        <w:keepNext/>
        <w:keepLines/>
        <w:spacing w:before="300" w:after="300" w:line="280" w:lineRule="exact"/>
        <w:outlineLvl w:val="3"/>
        <w:rPr>
          <w:rFonts w:ascii="宋体" w:eastAsia="宋体" w:hAnsi="宋体" w:cs="宋体"/>
          <w:b/>
          <w:bCs/>
          <w:szCs w:val="21"/>
        </w:rPr>
      </w:pPr>
      <w:bookmarkStart w:id="614" w:name="_Toc989501"/>
      <w:r>
        <w:rPr>
          <w:rFonts w:ascii="宋体" w:eastAsia="宋体" w:hAnsi="宋体" w:cs="宋体"/>
          <w:b/>
          <w:bCs/>
          <w:szCs w:val="21"/>
        </w:rPr>
        <w:t>（2） 对联营、合营企业投资</w:t>
      </w:r>
      <w:bookmarkEnd w:id="614"/>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1"/>
        <w:gridCol w:w="741"/>
        <w:gridCol w:w="741"/>
        <w:gridCol w:w="741"/>
        <w:gridCol w:w="741"/>
        <w:gridCol w:w="741"/>
        <w:gridCol w:w="741"/>
        <w:gridCol w:w="741"/>
        <w:gridCol w:w="741"/>
        <w:gridCol w:w="741"/>
        <w:gridCol w:w="745"/>
        <w:gridCol w:w="741"/>
        <w:gridCol w:w="743"/>
      </w:tblGrid>
      <w:tr w:rsidR="000D58D8">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减值准备期初余额</w:t>
            </w:r>
          </w:p>
        </w:tc>
        <w:tc>
          <w:tcPr>
            <w:tcW w:w="5932"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0D58D8">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vAlign w:val="center"/>
          </w:tcPr>
          <w:p w:rsidR="000D58D8" w:rsidRDefault="000D58D8"/>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权益法下确认的投资损益</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其他综合收益调整</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其他权益变动</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宣告发放现金股利或利润</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一、合营企业</w:t>
            </w:r>
          </w:p>
        </w:tc>
      </w:tr>
      <w:tr w:rsidR="000D58D8">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二、联营企业</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可收回金额按公允价值减去处置费用后的净额确定</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可收回金额按预计未来现金流量的现值确定</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前述信息与以前年度减值测试采用的信息或外部信息明显不一致的差异原因</w:t>
      </w:r>
    </w:p>
    <w:p w:rsidR="000F627F" w:rsidRDefault="000F627F">
      <w:pPr>
        <w:pStyle w:val="a3"/>
        <w:divId w:val="1860926841"/>
        <w:rPr>
          <w:sz w:val="18"/>
          <w:szCs w:val="18"/>
        </w:rPr>
      </w:pP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公司以前年度减值测试采用信息与当年实际情况明显不一致的差异原因</w:t>
      </w:r>
    </w:p>
    <w:p w:rsidR="000F627F" w:rsidRDefault="000F627F">
      <w:pPr>
        <w:pStyle w:val="a3"/>
        <w:divId w:val="1259364259"/>
        <w:rPr>
          <w:sz w:val="18"/>
          <w:szCs w:val="18"/>
        </w:rPr>
      </w:pPr>
      <w:r>
        <w:rPr>
          <w:rFonts w:hint="eastAsia"/>
          <w:sz w:val="18"/>
          <w:szCs w:val="18"/>
        </w:rPr>
        <w:t>无。</w:t>
      </w:r>
    </w:p>
    <w:p w:rsidR="000D58D8" w:rsidRDefault="000F627F">
      <w:pPr>
        <w:keepNext/>
        <w:keepLines/>
        <w:spacing w:before="300" w:after="300" w:line="280" w:lineRule="exact"/>
        <w:outlineLvl w:val="3"/>
        <w:rPr>
          <w:rFonts w:ascii="宋体" w:eastAsia="宋体" w:hAnsi="宋体" w:cs="宋体"/>
          <w:b/>
          <w:bCs/>
          <w:szCs w:val="21"/>
        </w:rPr>
      </w:pPr>
      <w:bookmarkStart w:id="615" w:name="_Toc989502"/>
      <w:r>
        <w:rPr>
          <w:rFonts w:ascii="宋体" w:eastAsia="宋体" w:hAnsi="宋体" w:cs="宋体"/>
          <w:b/>
          <w:bCs/>
          <w:szCs w:val="21"/>
        </w:rPr>
        <w:t>（3） 其他说明</w:t>
      </w:r>
      <w:bookmarkEnd w:id="615"/>
    </w:p>
    <w:p w:rsidR="000F627F" w:rsidRDefault="000F627F">
      <w:pPr>
        <w:pStyle w:val="a3"/>
        <w:divId w:val="280454603"/>
        <w:rPr>
          <w:sz w:val="18"/>
          <w:szCs w:val="18"/>
        </w:rPr>
      </w:pPr>
      <w:r>
        <w:rPr>
          <w:rFonts w:hint="eastAsia"/>
          <w:sz w:val="18"/>
          <w:szCs w:val="18"/>
        </w:rPr>
        <w:t>无。</w:t>
      </w:r>
    </w:p>
    <w:p w:rsidR="000D58D8" w:rsidRDefault="000F627F">
      <w:pPr>
        <w:pStyle w:val="3"/>
        <w:spacing w:line="280" w:lineRule="exact"/>
        <w:jc w:val="left"/>
        <w:rPr>
          <w:rFonts w:ascii="宋体" w:hAnsi="宋体" w:cs="宋体"/>
          <w:b/>
          <w:bCs/>
        </w:rPr>
      </w:pPr>
      <w:bookmarkStart w:id="616" w:name="_Toc989503"/>
      <w:r>
        <w:rPr>
          <w:rFonts w:ascii="宋体" w:hAnsi="宋体" w:cs="宋体"/>
          <w:b/>
          <w:bCs/>
        </w:rPr>
        <w:t>4、营业收入和营业成本</w:t>
      </w:r>
      <w:bookmarkEnd w:id="616"/>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0D58D8">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1,133,827,091.65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1,061,010,388.40</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1,055,434,220.49</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1,003,896,232.47</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2,934,791.56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1,756,081.82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2,621,600.96</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1,781,774.68</w:t>
            </w:r>
          </w:p>
        </w:tc>
      </w:tr>
      <w:tr w:rsidR="000D58D8">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1,136,761,883.21</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1,062,766,470.22</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1,058,055,821.45</w:t>
            </w:r>
          </w:p>
        </w:tc>
        <w:tc>
          <w:tcPr>
            <w:tcW w:w="1928"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1,005,678,007.15</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营业收入、营业成本的分解信息：</w:t>
      </w:r>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0D58D8">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分部1</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分部2</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0D58D8">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业务类型</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纱线</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958,925,201.11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897,600,571.14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958,925,201.11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897,600,571.14</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原、色棉纤</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174,901,890.54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163,409,817.26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174,901,890.54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163,409,817.26</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其他</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2,934,791.56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1,756,081.82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2,934,791.56</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1,756,081.82</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境外销售</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境内销售</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1,136,761,883.21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1,062,766,470.22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1,136,761,883.21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1,062,766,470.22</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合同类型</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在某一时点转让</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1,136,371,420.27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1,060,956,606.00</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1,136,371,420.27</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1,060,956,606.00</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在某一时</w:t>
            </w:r>
            <w:r>
              <w:rPr>
                <w:rFonts w:ascii="宋体" w:eastAsia="宋体" w:hAnsi="宋体" w:cs="宋体"/>
                <w:sz w:val="18"/>
                <w:szCs w:val="18"/>
              </w:rPr>
              <w:lastRenderedPageBreak/>
              <w:t>段内转让</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390,462.9</w:t>
            </w:r>
            <w:r>
              <w:rPr>
                <w:rFonts w:ascii="宋体" w:eastAsia="宋体" w:hAnsi="宋体" w:cs="宋体"/>
                <w:sz w:val="18"/>
                <w:szCs w:val="18"/>
              </w:rPr>
              <w:lastRenderedPageBreak/>
              <w:t>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1,809,864</w:t>
            </w:r>
            <w:r>
              <w:rPr>
                <w:rFonts w:ascii="宋体" w:eastAsia="宋体" w:hAnsi="宋体" w:cs="宋体"/>
                <w:sz w:val="18"/>
                <w:szCs w:val="18"/>
              </w:rPr>
              <w:lastRenderedPageBreak/>
              <w:t>.22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390,462.9</w:t>
            </w:r>
            <w:r>
              <w:rPr>
                <w:rFonts w:ascii="宋体" w:eastAsia="宋体" w:hAnsi="宋体" w:cs="宋体"/>
                <w:sz w:val="18"/>
                <w:szCs w:val="18"/>
              </w:rPr>
              <w:lastRenderedPageBreak/>
              <w:t>4</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lastRenderedPageBreak/>
              <w:t>1,809,864</w:t>
            </w:r>
            <w:r>
              <w:rPr>
                <w:rFonts w:ascii="宋体" w:eastAsia="宋体" w:hAnsi="宋体" w:cs="宋体"/>
                <w:sz w:val="18"/>
                <w:szCs w:val="18"/>
              </w:rPr>
              <w:lastRenderedPageBreak/>
              <w:t>.22</w:t>
            </w: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按合同期限分类</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按销售渠道分类</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r>
      <w:tr w:rsidR="000D58D8">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1,136,761,883.21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1,062,766,470.22</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1,136,761,883.21</w:t>
            </w:r>
          </w:p>
        </w:tc>
        <w:tc>
          <w:tcPr>
            <w:tcW w:w="1071"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1,062,766,470.22</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与履约义务相关的信息：</w:t>
      </w:r>
    </w:p>
    <w:p w:rsidR="000F627F" w:rsidRPr="00FC6DFE" w:rsidRDefault="000F627F" w:rsidP="00FC6D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FC6DFE">
        <w:rPr>
          <w:rFonts w:ascii="宋体" w:eastAsia="宋体" w:hAnsi="宋体" w:cs="宋体" w:hint="eastAsia"/>
          <w:sz w:val="18"/>
          <w:szCs w:val="18"/>
        </w:rPr>
        <w:t>：</w:t>
      </w:r>
      <w:r>
        <w:rPr>
          <w:rFonts w:hint="eastAsia"/>
          <w:sz w:val="18"/>
          <w:szCs w:val="18"/>
        </w:rPr>
        <w:t>无。</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与分摊至剩余履约义务的交易价格相关的信息：</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本报告</w:t>
      </w:r>
      <w:proofErr w:type="gramStart"/>
      <w:r>
        <w:rPr>
          <w:rFonts w:ascii="宋体" w:eastAsia="宋体" w:hAnsi="宋体" w:cs="宋体"/>
          <w:sz w:val="18"/>
          <w:szCs w:val="18"/>
        </w:rPr>
        <w:t>期末已</w:t>
      </w:r>
      <w:proofErr w:type="gramEnd"/>
      <w:r>
        <w:rPr>
          <w:rFonts w:ascii="宋体" w:eastAsia="宋体" w:hAnsi="宋体" w:cs="宋体"/>
          <w:sz w:val="18"/>
          <w:szCs w:val="18"/>
        </w:rPr>
        <w:t>签订合同、但尚未履行或尚未履行完毕的履约义务所对应的收入金额为0.00元，其中，元预计将于年度确认收入，元预计将于年度确认收入，元预计将于年度确认收入。</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重大合同变更或重大交易价格调整</w:t>
      </w:r>
    </w:p>
    <w:p w:rsidR="000F627F" w:rsidRPr="00FC6DFE" w:rsidRDefault="000F627F" w:rsidP="00FC6DFE">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0D58D8" w:rsidRDefault="000F627F">
      <w:pPr>
        <w:pStyle w:val="3"/>
        <w:spacing w:line="280" w:lineRule="exact"/>
        <w:jc w:val="left"/>
        <w:rPr>
          <w:rFonts w:ascii="宋体" w:hAnsi="宋体" w:cs="宋体"/>
          <w:b/>
          <w:bCs/>
        </w:rPr>
      </w:pPr>
      <w:bookmarkStart w:id="617" w:name="_Toc989504"/>
      <w:r>
        <w:rPr>
          <w:rFonts w:ascii="宋体" w:hAnsi="宋体" w:cs="宋体"/>
          <w:b/>
          <w:bCs/>
        </w:rPr>
        <w:t>5、投资收益</w:t>
      </w:r>
      <w:bookmarkEnd w:id="617"/>
    </w:p>
    <w:p w:rsidR="000D58D8" w:rsidRDefault="000F627F">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处置交易性金融资产取得的投资收益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-4,615,000.00</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jc w:val="right"/>
              <w:rPr>
                <w:rFonts w:ascii="宋体" w:eastAsia="宋体" w:hAnsi="宋体" w:cs="宋体"/>
                <w:sz w:val="18"/>
                <w:szCs w:val="18"/>
              </w:rPr>
            </w:pP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其他权益工具投资在持有期间取得的股利收入</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6,046,343.59</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18,268,975.43</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子公司分红取得的投资收益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340,024,115.91</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449,964,163.90</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rPr>
                <w:rFonts w:ascii="宋体" w:eastAsia="宋体" w:hAnsi="宋体" w:cs="宋体"/>
                <w:sz w:val="18"/>
                <w:szCs w:val="18"/>
              </w:rPr>
            </w:pPr>
            <w:r>
              <w:rPr>
                <w:rFonts w:ascii="宋体" w:eastAsia="宋体" w:hAnsi="宋体" w:cs="宋体"/>
                <w:sz w:val="18"/>
                <w:szCs w:val="18"/>
              </w:rPr>
              <w:t>理财产品收益</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1,668,510.07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615,506.11</w:t>
            </w:r>
          </w:p>
        </w:tc>
      </w:tr>
      <w:tr w:rsidR="000D58D8">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343,123,969.57</w:t>
            </w:r>
          </w:p>
        </w:tc>
        <w:tc>
          <w:tcPr>
            <w:tcW w:w="3213"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468,848,645.44</w:t>
            </w:r>
          </w:p>
        </w:tc>
      </w:tr>
    </w:tbl>
    <w:p w:rsidR="000D58D8" w:rsidRDefault="000F627F">
      <w:pPr>
        <w:pStyle w:val="3"/>
        <w:spacing w:line="280" w:lineRule="exact"/>
        <w:jc w:val="left"/>
        <w:rPr>
          <w:rFonts w:ascii="宋体" w:hAnsi="宋体" w:cs="宋体"/>
          <w:b/>
          <w:bCs/>
        </w:rPr>
      </w:pPr>
      <w:bookmarkStart w:id="618" w:name="_Toc989505"/>
      <w:r>
        <w:rPr>
          <w:rFonts w:ascii="宋体" w:hAnsi="宋体" w:cs="宋体"/>
          <w:b/>
          <w:bCs/>
        </w:rPr>
        <w:t>6、其他</w:t>
      </w:r>
      <w:bookmarkEnd w:id="618"/>
    </w:p>
    <w:p w:rsidR="000F627F" w:rsidRDefault="000F627F">
      <w:pPr>
        <w:pStyle w:val="a3"/>
        <w:divId w:val="1292176436"/>
        <w:rPr>
          <w:sz w:val="18"/>
          <w:szCs w:val="18"/>
        </w:rPr>
      </w:pPr>
      <w:r>
        <w:rPr>
          <w:rFonts w:hint="eastAsia"/>
          <w:sz w:val="18"/>
          <w:szCs w:val="18"/>
        </w:rPr>
        <w:t>无。</w:t>
      </w:r>
    </w:p>
    <w:p w:rsidR="000D58D8" w:rsidRDefault="000F627F">
      <w:pPr>
        <w:pStyle w:val="2"/>
        <w:spacing w:before="300" w:after="300" w:line="320" w:lineRule="exact"/>
        <w:rPr>
          <w:rFonts w:ascii="宋体" w:eastAsia="宋体" w:hAnsi="宋体" w:cs="宋体"/>
          <w:b/>
          <w:bCs/>
          <w:sz w:val="24"/>
          <w:szCs w:val="24"/>
        </w:rPr>
      </w:pPr>
      <w:bookmarkStart w:id="619" w:name="_Toc989506"/>
      <w:r>
        <w:rPr>
          <w:rFonts w:ascii="宋体" w:eastAsia="宋体" w:hAnsi="宋体" w:cs="宋体"/>
          <w:b/>
          <w:bCs/>
          <w:sz w:val="24"/>
          <w:szCs w:val="24"/>
        </w:rPr>
        <w:t>二十、补充资料</w:t>
      </w:r>
      <w:bookmarkEnd w:id="619"/>
    </w:p>
    <w:p w:rsidR="000D58D8" w:rsidRDefault="000F627F">
      <w:pPr>
        <w:pStyle w:val="3"/>
        <w:spacing w:line="280" w:lineRule="exact"/>
        <w:jc w:val="left"/>
        <w:rPr>
          <w:rFonts w:ascii="宋体" w:hAnsi="宋体" w:cs="宋体"/>
          <w:b/>
          <w:bCs/>
        </w:rPr>
      </w:pPr>
      <w:bookmarkStart w:id="620" w:name="_Toc989507"/>
      <w:r>
        <w:rPr>
          <w:rFonts w:ascii="宋体" w:hAnsi="宋体" w:cs="宋体"/>
          <w:b/>
          <w:bCs/>
        </w:rPr>
        <w:t>1、当期非经常性损益明细表</w:t>
      </w:r>
      <w:bookmarkEnd w:id="620"/>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0D58D8" w:rsidRDefault="000F627F">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29"/>
        <w:gridCol w:w="1984"/>
        <w:gridCol w:w="1026"/>
      </w:tblGrid>
      <w:tr w:rsidR="000D58D8" w:rsidTr="00FC6DFE">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84"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0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说明</w:t>
            </w:r>
          </w:p>
        </w:tc>
      </w:tr>
      <w:tr w:rsidR="000D58D8" w:rsidTr="00FC6DFE">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非流动性资产处置损益</w:t>
            </w:r>
          </w:p>
        </w:tc>
        <w:tc>
          <w:tcPr>
            <w:tcW w:w="19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174,483,688.35</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FC6DFE">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计入当期损益的政府补助（与公司正常经营业务密切相关，符合国家政策规定、按照确定的标准享有、对公司损益产生持续影响的政府补助除外）</w:t>
            </w:r>
          </w:p>
        </w:tc>
        <w:tc>
          <w:tcPr>
            <w:tcW w:w="19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199,259,485.30</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FC6DFE">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除同公司正常经营业务相关的有效套期保值业务外，非金融企业持有金融资产和金融负债产生的公允价值变动损益以及处置金融资产和金融负债产生的损益</w:t>
            </w:r>
          </w:p>
        </w:tc>
        <w:tc>
          <w:tcPr>
            <w:tcW w:w="19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-16,425,097.75</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FC6DFE">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委托他人投资或管理资产的损益</w:t>
            </w:r>
          </w:p>
        </w:tc>
        <w:tc>
          <w:tcPr>
            <w:tcW w:w="19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7,098,457.97</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FC6DFE">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单独进行减值测试的应收款项减值准备转回</w:t>
            </w:r>
          </w:p>
        </w:tc>
        <w:tc>
          <w:tcPr>
            <w:tcW w:w="19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-2,583,115.46</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FC6DFE">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19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11,050,464.90</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FC6DFE">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减：所得税影响额</w:t>
            </w:r>
          </w:p>
        </w:tc>
        <w:tc>
          <w:tcPr>
            <w:tcW w:w="19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51,429,960.93</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FC6DFE">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少数股东权益影响额（税后）</w:t>
            </w:r>
          </w:p>
        </w:tc>
        <w:tc>
          <w:tcPr>
            <w:tcW w:w="19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4,720,203.21</w:t>
            </w:r>
          </w:p>
        </w:tc>
        <w:tc>
          <w:tcPr>
            <w:tcW w:w="1026" w:type="dxa"/>
            <w:tcBorders>
              <w:top w:val="single" w:sz="2" w:space="0" w:color="auto"/>
              <w:left w:val="single" w:sz="2" w:space="0" w:color="auto"/>
              <w:bottom w:val="single" w:sz="2" w:space="0" w:color="auto"/>
              <w:right w:val="single" w:sz="2" w:space="0" w:color="auto"/>
            </w:tcBorders>
            <w:vAlign w:val="center"/>
          </w:tcPr>
          <w:p w:rsidR="000D58D8" w:rsidRDefault="000D58D8">
            <w:pPr>
              <w:spacing w:line="240" w:lineRule="exact"/>
              <w:rPr>
                <w:rFonts w:ascii="宋体" w:eastAsia="宋体" w:hAnsi="宋体" w:cs="宋体"/>
                <w:sz w:val="18"/>
                <w:szCs w:val="18"/>
              </w:rPr>
            </w:pPr>
          </w:p>
        </w:tc>
      </w:tr>
      <w:tr w:rsidR="000D58D8" w:rsidTr="00FC6DFE">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84"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316,733,719.17</w:t>
            </w:r>
          </w:p>
        </w:tc>
        <w:tc>
          <w:tcPr>
            <w:tcW w:w="1026"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pStyle w:val="3"/>
        <w:spacing w:line="280" w:lineRule="exact"/>
        <w:jc w:val="left"/>
        <w:rPr>
          <w:rFonts w:ascii="宋体" w:hAnsi="宋体" w:cs="宋体"/>
          <w:b/>
          <w:bCs/>
        </w:rPr>
      </w:pPr>
      <w:bookmarkStart w:id="621" w:name="_Toc989508"/>
      <w:r>
        <w:rPr>
          <w:rFonts w:ascii="宋体" w:hAnsi="宋体" w:cs="宋体"/>
          <w:b/>
          <w:bCs/>
        </w:rPr>
        <w:t>2、净资产收益率及每股收益</w:t>
      </w:r>
      <w:bookmarkEnd w:id="621"/>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0D58D8">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报告期利润</w:t>
            </w:r>
          </w:p>
        </w:tc>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加权平均净资产收益率</w:t>
            </w:r>
          </w:p>
        </w:tc>
        <w:tc>
          <w:tcPr>
            <w:tcW w:w="48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每股收益</w:t>
            </w:r>
          </w:p>
        </w:tc>
      </w:tr>
      <w:tr w:rsidR="000D58D8">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D58D8"/>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基本每股收益（元/股）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jc w:val="center"/>
              <w:rPr>
                <w:rFonts w:ascii="宋体" w:eastAsia="宋体" w:hAnsi="宋体" w:cs="宋体"/>
                <w:sz w:val="18"/>
                <w:szCs w:val="18"/>
              </w:rPr>
            </w:pPr>
            <w:r>
              <w:rPr>
                <w:rFonts w:ascii="宋体" w:eastAsia="宋体" w:hAnsi="宋体" w:cs="宋体"/>
                <w:sz w:val="18"/>
                <w:szCs w:val="18"/>
              </w:rPr>
              <w:t>稀释每股收益（元/股）</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1.07%</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0.04</w:t>
            </w:r>
          </w:p>
        </w:tc>
      </w:tr>
      <w:tr w:rsidR="000D58D8">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0D58D8" w:rsidRDefault="000F627F">
            <w:pPr>
              <w:spacing w:before="40" w:after="40" w:line="240" w:lineRule="exact"/>
              <w:rPr>
                <w:rFonts w:ascii="宋体" w:eastAsia="宋体" w:hAnsi="宋体" w:cs="宋体"/>
                <w:sz w:val="18"/>
                <w:szCs w:val="18"/>
              </w:rPr>
            </w:pPr>
            <w:r>
              <w:rPr>
                <w:rFonts w:ascii="宋体" w:eastAsia="宋体" w:hAnsi="宋体" w:cs="宋体"/>
                <w:sz w:val="18"/>
                <w:szCs w:val="18"/>
              </w:rPr>
              <w:t>扣除非经常性损益后归属于公司普通股股东的净利润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-4.01%</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-0.15</w:t>
            </w:r>
          </w:p>
        </w:tc>
        <w:tc>
          <w:tcPr>
            <w:tcW w:w="2410" w:type="dxa"/>
            <w:tcBorders>
              <w:top w:val="single" w:sz="2" w:space="0" w:color="auto"/>
              <w:left w:val="single" w:sz="2" w:space="0" w:color="auto"/>
              <w:bottom w:val="single" w:sz="2" w:space="0" w:color="auto"/>
              <w:right w:val="single" w:sz="2" w:space="0" w:color="auto"/>
            </w:tcBorders>
            <w:vAlign w:val="center"/>
          </w:tcPr>
          <w:p w:rsidR="000D58D8" w:rsidRDefault="000F627F">
            <w:pPr>
              <w:spacing w:line="240" w:lineRule="exact"/>
              <w:jc w:val="right"/>
              <w:rPr>
                <w:rFonts w:ascii="宋体" w:eastAsia="宋体" w:hAnsi="宋体" w:cs="宋体"/>
                <w:sz w:val="18"/>
                <w:szCs w:val="18"/>
              </w:rPr>
            </w:pPr>
            <w:r>
              <w:rPr>
                <w:rFonts w:ascii="宋体" w:eastAsia="宋体" w:hAnsi="宋体" w:cs="宋体"/>
                <w:sz w:val="18"/>
                <w:szCs w:val="18"/>
              </w:rPr>
              <w:t>-0.15</w:t>
            </w:r>
          </w:p>
        </w:tc>
      </w:tr>
    </w:tbl>
    <w:p w:rsidR="000D58D8" w:rsidRDefault="000F627F">
      <w:pPr>
        <w:pStyle w:val="3"/>
        <w:spacing w:line="280" w:lineRule="exact"/>
        <w:jc w:val="left"/>
        <w:rPr>
          <w:rFonts w:ascii="宋体" w:hAnsi="宋体" w:cs="宋体"/>
          <w:b/>
          <w:bCs/>
        </w:rPr>
      </w:pPr>
      <w:bookmarkStart w:id="622" w:name="_Toc989509"/>
      <w:r>
        <w:rPr>
          <w:rFonts w:ascii="宋体" w:hAnsi="宋体" w:cs="宋体"/>
          <w:b/>
          <w:bCs/>
        </w:rPr>
        <w:t>3、境内外会计准则下会计数据差异</w:t>
      </w:r>
      <w:bookmarkEnd w:id="622"/>
    </w:p>
    <w:p w:rsidR="000D58D8" w:rsidRDefault="000F627F">
      <w:pPr>
        <w:keepNext/>
        <w:keepLines/>
        <w:spacing w:before="300" w:after="300" w:line="280" w:lineRule="exact"/>
        <w:outlineLvl w:val="3"/>
        <w:rPr>
          <w:rFonts w:ascii="宋体" w:eastAsia="宋体" w:hAnsi="宋体" w:cs="宋体"/>
          <w:b/>
          <w:bCs/>
          <w:szCs w:val="21"/>
        </w:rPr>
      </w:pPr>
      <w:bookmarkStart w:id="623" w:name="_Toc989510"/>
      <w:r>
        <w:rPr>
          <w:rFonts w:ascii="宋体" w:eastAsia="宋体" w:hAnsi="宋体" w:cs="宋体"/>
          <w:b/>
          <w:bCs/>
          <w:szCs w:val="21"/>
        </w:rPr>
        <w:t>（1） 同时按照国际会计准则与按中国会计准则披露的财务</w:t>
      </w:r>
      <w:proofErr w:type="gramStart"/>
      <w:r>
        <w:rPr>
          <w:rFonts w:ascii="宋体" w:eastAsia="宋体" w:hAnsi="宋体" w:cs="宋体"/>
          <w:b/>
          <w:bCs/>
          <w:szCs w:val="21"/>
        </w:rPr>
        <w:t>报告中净利润</w:t>
      </w:r>
      <w:proofErr w:type="gramEnd"/>
      <w:r>
        <w:rPr>
          <w:rFonts w:ascii="宋体" w:eastAsia="宋体" w:hAnsi="宋体" w:cs="宋体"/>
          <w:b/>
          <w:bCs/>
          <w:szCs w:val="21"/>
        </w:rPr>
        <w:t>和净资产差异情况</w:t>
      </w:r>
      <w:bookmarkEnd w:id="623"/>
    </w:p>
    <w:p w:rsidR="000D58D8" w:rsidRDefault="000F627F">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Cs w:val="21"/>
        </w:rPr>
      </w:pPr>
      <w:bookmarkStart w:id="624" w:name="_Toc989511"/>
      <w:r>
        <w:rPr>
          <w:rFonts w:ascii="宋体" w:eastAsia="宋体" w:hAnsi="宋体" w:cs="宋体"/>
          <w:b/>
          <w:bCs/>
          <w:szCs w:val="21"/>
        </w:rPr>
        <w:t>（2） 同时按照境外会计准则与按中国会计准则披露的财务</w:t>
      </w:r>
      <w:proofErr w:type="gramStart"/>
      <w:r>
        <w:rPr>
          <w:rFonts w:ascii="宋体" w:eastAsia="宋体" w:hAnsi="宋体" w:cs="宋体"/>
          <w:b/>
          <w:bCs/>
          <w:szCs w:val="21"/>
        </w:rPr>
        <w:t>报告中净利润</w:t>
      </w:r>
      <w:proofErr w:type="gramEnd"/>
      <w:r>
        <w:rPr>
          <w:rFonts w:ascii="宋体" w:eastAsia="宋体" w:hAnsi="宋体" w:cs="宋体"/>
          <w:b/>
          <w:bCs/>
          <w:szCs w:val="21"/>
        </w:rPr>
        <w:t>和净资产差异情况</w:t>
      </w:r>
      <w:bookmarkEnd w:id="624"/>
    </w:p>
    <w:p w:rsidR="000D58D8" w:rsidRDefault="000F627F">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D58D8" w:rsidRDefault="000F627F">
      <w:pPr>
        <w:keepNext/>
        <w:keepLines/>
        <w:spacing w:before="300" w:after="300" w:line="280" w:lineRule="exact"/>
        <w:outlineLvl w:val="3"/>
        <w:rPr>
          <w:rFonts w:ascii="宋体" w:eastAsia="宋体" w:hAnsi="宋体" w:cs="宋体"/>
          <w:b/>
          <w:bCs/>
          <w:szCs w:val="21"/>
        </w:rPr>
      </w:pPr>
      <w:bookmarkStart w:id="625" w:name="_Toc989512"/>
      <w:r>
        <w:rPr>
          <w:rFonts w:ascii="宋体" w:eastAsia="宋体" w:hAnsi="宋体" w:cs="宋体"/>
          <w:b/>
          <w:bCs/>
          <w:szCs w:val="21"/>
        </w:rPr>
        <w:t>（3） 境内外会计准则下会计数据差异原因说明，对已经境外审计机构审计的数据进行差异调节的，应注明该境外机构的名称</w:t>
      </w:r>
      <w:bookmarkEnd w:id="625"/>
    </w:p>
    <w:p w:rsidR="000D58D8" w:rsidRDefault="000F627F">
      <w:pPr>
        <w:pStyle w:val="3"/>
        <w:spacing w:line="280" w:lineRule="exact"/>
        <w:jc w:val="left"/>
        <w:rPr>
          <w:rFonts w:ascii="宋体" w:hAnsi="宋体" w:cs="宋体"/>
          <w:b/>
          <w:bCs/>
        </w:rPr>
      </w:pPr>
      <w:bookmarkStart w:id="626" w:name="_Toc989513"/>
      <w:r>
        <w:rPr>
          <w:rFonts w:ascii="宋体" w:hAnsi="宋体" w:cs="宋体"/>
          <w:b/>
          <w:bCs/>
        </w:rPr>
        <w:t>4、其他</w:t>
      </w:r>
      <w:bookmarkEnd w:id="626"/>
    </w:p>
    <w:p w:rsidR="000F627F" w:rsidRDefault="000F627F">
      <w:pPr>
        <w:pStyle w:val="a3"/>
        <w:divId w:val="873887839"/>
        <w:rPr>
          <w:sz w:val="18"/>
          <w:szCs w:val="18"/>
        </w:rPr>
      </w:pPr>
      <w:r>
        <w:rPr>
          <w:rFonts w:hint="eastAsia"/>
          <w:sz w:val="18"/>
          <w:szCs w:val="18"/>
        </w:rPr>
        <w:t>无。</w:t>
      </w:r>
    </w:p>
    <w:p w:rsidR="00FC6DFE" w:rsidRDefault="00FC6DFE" w:rsidP="00FC6DFE">
      <w:pPr>
        <w:pStyle w:val="a3"/>
        <w:jc w:val="right"/>
        <w:divId w:val="873887839"/>
        <w:rPr>
          <w:sz w:val="18"/>
          <w:szCs w:val="18"/>
        </w:rPr>
      </w:pPr>
      <w:r>
        <w:rPr>
          <w:rFonts w:hint="eastAsia"/>
          <w:sz w:val="18"/>
          <w:szCs w:val="18"/>
        </w:rPr>
        <w:t>华孚时尚股份有限公司董事会</w:t>
      </w:r>
    </w:p>
    <w:p w:rsidR="00FC6DFE" w:rsidRDefault="00FC6DFE" w:rsidP="00FC6DFE">
      <w:pPr>
        <w:pStyle w:val="a3"/>
        <w:jc w:val="right"/>
        <w:divId w:val="873887839"/>
        <w:rPr>
          <w:sz w:val="18"/>
          <w:szCs w:val="18"/>
        </w:rPr>
      </w:pPr>
      <w:r>
        <w:rPr>
          <w:rFonts w:hint="eastAsia"/>
          <w:sz w:val="18"/>
          <w:szCs w:val="18"/>
        </w:rPr>
        <w:t>2024年4月27日</w:t>
      </w:r>
    </w:p>
    <w:p w:rsidR="000D58D8" w:rsidRDefault="000D58D8">
      <w:pPr>
        <w:spacing w:before="100" w:after="100" w:line="0" w:lineRule="atLeast"/>
      </w:pPr>
    </w:p>
    <w:sectPr w:rsidR="000D58D8">
      <w:headerReference w:type="default" r:id="rId12"/>
      <w:footerReference w:type="default" r:id="rId13"/>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48" w:rsidRDefault="00705448">
      <w:r>
        <w:separator/>
      </w:r>
    </w:p>
  </w:endnote>
  <w:endnote w:type="continuationSeparator" w:id="0">
    <w:p w:rsidR="00705448" w:rsidRDefault="0070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4A" w:rsidRDefault="00F5414A">
    <w:pPr>
      <w:pStyle w:val="fotter1"/>
    </w:pPr>
    <w:r>
      <w:fldChar w:fldCharType="begin"/>
    </w:r>
    <w:r>
      <w:instrText>PAGE   \* MERGEFORMAT</w:instrText>
    </w:r>
    <w:r>
      <w:fldChar w:fldCharType="separate"/>
    </w:r>
    <w:r w:rsidR="006B5028">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48" w:rsidRDefault="00705448">
      <w:r>
        <w:separator/>
      </w:r>
    </w:p>
  </w:footnote>
  <w:footnote w:type="continuationSeparator" w:id="0">
    <w:p w:rsidR="00705448" w:rsidRDefault="00705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4A" w:rsidRDefault="00F5414A">
    <w:pPr>
      <w:pStyle w:val="Header1"/>
      <w:pBdr>
        <w:bottom w:val="single" w:sz="6" w:space="1" w:color="auto"/>
      </w:pBdr>
    </w:pPr>
    <w:r>
      <w:t>华孚时尚股份有限公司2023年年度报告全文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E82"/>
    <w:multiLevelType w:val="multilevel"/>
    <w:tmpl w:val="2FECC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005BD"/>
    <w:multiLevelType w:val="multilevel"/>
    <w:tmpl w:val="B690278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80451"/>
    <w:multiLevelType w:val="multilevel"/>
    <w:tmpl w:val="957E9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D4A0D"/>
    <w:multiLevelType w:val="multilevel"/>
    <w:tmpl w:val="300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667CAE"/>
    <w:multiLevelType w:val="multilevel"/>
    <w:tmpl w:val="DC2A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C8106B"/>
    <w:multiLevelType w:val="multilevel"/>
    <w:tmpl w:val="29F2B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4E38F6"/>
    <w:multiLevelType w:val="multilevel"/>
    <w:tmpl w:val="D7825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0E5C9E"/>
    <w:multiLevelType w:val="multilevel"/>
    <w:tmpl w:val="C072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7B3729"/>
    <w:multiLevelType w:val="multilevel"/>
    <w:tmpl w:val="BBE4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89639C"/>
    <w:multiLevelType w:val="multilevel"/>
    <w:tmpl w:val="271E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0C070F"/>
    <w:multiLevelType w:val="multilevel"/>
    <w:tmpl w:val="0C8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4C5CB9"/>
    <w:multiLevelType w:val="multilevel"/>
    <w:tmpl w:val="E1AA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7F60E8"/>
    <w:multiLevelType w:val="multilevel"/>
    <w:tmpl w:val="D9A8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BE2D3C"/>
    <w:multiLevelType w:val="multilevel"/>
    <w:tmpl w:val="0840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F30419"/>
    <w:multiLevelType w:val="multilevel"/>
    <w:tmpl w:val="A50E9F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1B1C25"/>
    <w:multiLevelType w:val="multilevel"/>
    <w:tmpl w:val="F20E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0D64D9"/>
    <w:multiLevelType w:val="multilevel"/>
    <w:tmpl w:val="2D4631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AF2282"/>
    <w:multiLevelType w:val="multilevel"/>
    <w:tmpl w:val="2B4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86426F"/>
    <w:multiLevelType w:val="multilevel"/>
    <w:tmpl w:val="9DBA5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804B79"/>
    <w:multiLevelType w:val="multilevel"/>
    <w:tmpl w:val="466E6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3C55C9"/>
    <w:multiLevelType w:val="multilevel"/>
    <w:tmpl w:val="AD7E3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5F651E"/>
    <w:multiLevelType w:val="multilevel"/>
    <w:tmpl w:val="1D664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3E4616"/>
    <w:multiLevelType w:val="multilevel"/>
    <w:tmpl w:val="0E90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F17FA5"/>
    <w:multiLevelType w:val="multilevel"/>
    <w:tmpl w:val="55DC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90F0BB3"/>
    <w:multiLevelType w:val="multilevel"/>
    <w:tmpl w:val="2C7A87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EE6C62"/>
    <w:multiLevelType w:val="multilevel"/>
    <w:tmpl w:val="55C4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A2B2666"/>
    <w:multiLevelType w:val="multilevel"/>
    <w:tmpl w:val="9FAC0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A4571F1"/>
    <w:multiLevelType w:val="multilevel"/>
    <w:tmpl w:val="0FFC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A9A2E0A"/>
    <w:multiLevelType w:val="multilevel"/>
    <w:tmpl w:val="DE72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CFB6F4B"/>
    <w:multiLevelType w:val="multilevel"/>
    <w:tmpl w:val="A0AC7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DC13E94"/>
    <w:multiLevelType w:val="multilevel"/>
    <w:tmpl w:val="0B62141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F0E20DA"/>
    <w:multiLevelType w:val="multilevel"/>
    <w:tmpl w:val="1520D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F3561F7"/>
    <w:multiLevelType w:val="multilevel"/>
    <w:tmpl w:val="296EE1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0AF1615"/>
    <w:multiLevelType w:val="multilevel"/>
    <w:tmpl w:val="D62E5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782401"/>
    <w:multiLevelType w:val="multilevel"/>
    <w:tmpl w:val="02CCA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1D239A0"/>
    <w:multiLevelType w:val="multilevel"/>
    <w:tmpl w:val="C840F3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1E62D83"/>
    <w:multiLevelType w:val="multilevel"/>
    <w:tmpl w:val="7850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2043C9E"/>
    <w:multiLevelType w:val="multilevel"/>
    <w:tmpl w:val="6EE23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2456B6B"/>
    <w:multiLevelType w:val="multilevel"/>
    <w:tmpl w:val="8284A7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2537E59"/>
    <w:multiLevelType w:val="multilevel"/>
    <w:tmpl w:val="BC8830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2832255"/>
    <w:multiLevelType w:val="multilevel"/>
    <w:tmpl w:val="79E6F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395570C"/>
    <w:multiLevelType w:val="multilevel"/>
    <w:tmpl w:val="620A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3F36C28"/>
    <w:multiLevelType w:val="multilevel"/>
    <w:tmpl w:val="0548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62637AA"/>
    <w:multiLevelType w:val="multilevel"/>
    <w:tmpl w:val="80F013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6CE574F"/>
    <w:multiLevelType w:val="multilevel"/>
    <w:tmpl w:val="60C85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8EA638F"/>
    <w:multiLevelType w:val="multilevel"/>
    <w:tmpl w:val="80DC0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8ED4B93"/>
    <w:multiLevelType w:val="multilevel"/>
    <w:tmpl w:val="1D92C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A000E4D"/>
    <w:multiLevelType w:val="multilevel"/>
    <w:tmpl w:val="A5C6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E541A1E"/>
    <w:multiLevelType w:val="multilevel"/>
    <w:tmpl w:val="4112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FE5206F"/>
    <w:multiLevelType w:val="multilevel"/>
    <w:tmpl w:val="F192F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0F5592E"/>
    <w:multiLevelType w:val="multilevel"/>
    <w:tmpl w:val="FDF6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2DE3308"/>
    <w:multiLevelType w:val="multilevel"/>
    <w:tmpl w:val="E1C87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5D44525"/>
    <w:multiLevelType w:val="multilevel"/>
    <w:tmpl w:val="D354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787679E"/>
    <w:multiLevelType w:val="multilevel"/>
    <w:tmpl w:val="E632C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6951EE"/>
    <w:multiLevelType w:val="multilevel"/>
    <w:tmpl w:val="ABF2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8D5137F"/>
    <w:multiLevelType w:val="multilevel"/>
    <w:tmpl w:val="66E6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9024020"/>
    <w:multiLevelType w:val="multilevel"/>
    <w:tmpl w:val="A408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9257D69"/>
    <w:multiLevelType w:val="multilevel"/>
    <w:tmpl w:val="CF904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9576D7D"/>
    <w:multiLevelType w:val="multilevel"/>
    <w:tmpl w:val="520CFDE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9A706BA"/>
    <w:multiLevelType w:val="multilevel"/>
    <w:tmpl w:val="7FC0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9AD5C2A"/>
    <w:multiLevelType w:val="multilevel"/>
    <w:tmpl w:val="1442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DBC13B0"/>
    <w:multiLevelType w:val="multilevel"/>
    <w:tmpl w:val="E444AF8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DF0531B"/>
    <w:multiLevelType w:val="multilevel"/>
    <w:tmpl w:val="E236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E9465E7"/>
    <w:multiLevelType w:val="multilevel"/>
    <w:tmpl w:val="53E27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0DD2977"/>
    <w:multiLevelType w:val="multilevel"/>
    <w:tmpl w:val="F218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131348B"/>
    <w:multiLevelType w:val="multilevel"/>
    <w:tmpl w:val="D9F6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3B54AB2"/>
    <w:multiLevelType w:val="multilevel"/>
    <w:tmpl w:val="9B78C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4763687"/>
    <w:multiLevelType w:val="multilevel"/>
    <w:tmpl w:val="406CFBE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4D61104"/>
    <w:multiLevelType w:val="multilevel"/>
    <w:tmpl w:val="D21E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592438A"/>
    <w:multiLevelType w:val="multilevel"/>
    <w:tmpl w:val="8F8E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6492CEE"/>
    <w:multiLevelType w:val="multilevel"/>
    <w:tmpl w:val="E31C6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6684AD7"/>
    <w:multiLevelType w:val="multilevel"/>
    <w:tmpl w:val="C31A4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74325C6"/>
    <w:multiLevelType w:val="multilevel"/>
    <w:tmpl w:val="BAD4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880268E"/>
    <w:multiLevelType w:val="multilevel"/>
    <w:tmpl w:val="B1D4B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89653B9"/>
    <w:multiLevelType w:val="multilevel"/>
    <w:tmpl w:val="511AA53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C617C84"/>
    <w:multiLevelType w:val="multilevel"/>
    <w:tmpl w:val="3AE6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E1418FD"/>
    <w:multiLevelType w:val="multilevel"/>
    <w:tmpl w:val="B33EE5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0535710"/>
    <w:multiLevelType w:val="multilevel"/>
    <w:tmpl w:val="98EAB0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08D0629"/>
    <w:multiLevelType w:val="multilevel"/>
    <w:tmpl w:val="E08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259756A"/>
    <w:multiLevelType w:val="multilevel"/>
    <w:tmpl w:val="4A0064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2734BA5"/>
    <w:multiLevelType w:val="multilevel"/>
    <w:tmpl w:val="5F80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33F6500"/>
    <w:multiLevelType w:val="multilevel"/>
    <w:tmpl w:val="F5FA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3BB67E6"/>
    <w:multiLevelType w:val="multilevel"/>
    <w:tmpl w:val="3C2C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45F001E"/>
    <w:multiLevelType w:val="multilevel"/>
    <w:tmpl w:val="5ABC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4F21A21"/>
    <w:multiLevelType w:val="multilevel"/>
    <w:tmpl w:val="20C2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4F746CE"/>
    <w:multiLevelType w:val="multilevel"/>
    <w:tmpl w:val="01D0C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56E11D2"/>
    <w:multiLevelType w:val="multilevel"/>
    <w:tmpl w:val="97CE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692708E"/>
    <w:multiLevelType w:val="multilevel"/>
    <w:tmpl w:val="68DC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6AF38B3"/>
    <w:multiLevelType w:val="multilevel"/>
    <w:tmpl w:val="B9325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A472295"/>
    <w:multiLevelType w:val="multilevel"/>
    <w:tmpl w:val="E32251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B0058C5"/>
    <w:multiLevelType w:val="hybridMultilevel"/>
    <w:tmpl w:val="DD1E7A42"/>
    <w:lvl w:ilvl="0" w:tplc="6F269C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5B31233E"/>
    <w:multiLevelType w:val="multilevel"/>
    <w:tmpl w:val="7D74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B342E2C"/>
    <w:multiLevelType w:val="multilevel"/>
    <w:tmpl w:val="22CC5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B813EA4"/>
    <w:multiLevelType w:val="multilevel"/>
    <w:tmpl w:val="B708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DF138D4"/>
    <w:multiLevelType w:val="multilevel"/>
    <w:tmpl w:val="9F74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E3D02FB"/>
    <w:multiLevelType w:val="multilevel"/>
    <w:tmpl w:val="19F2A9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FFD25DB"/>
    <w:multiLevelType w:val="multilevel"/>
    <w:tmpl w:val="E0608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064262C"/>
    <w:multiLevelType w:val="multilevel"/>
    <w:tmpl w:val="57CE0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0D10288"/>
    <w:multiLevelType w:val="multilevel"/>
    <w:tmpl w:val="92B2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0F9799F"/>
    <w:multiLevelType w:val="multilevel"/>
    <w:tmpl w:val="49F4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23C6AF1"/>
    <w:multiLevelType w:val="multilevel"/>
    <w:tmpl w:val="CE7AA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5A95B16"/>
    <w:multiLevelType w:val="multilevel"/>
    <w:tmpl w:val="4B5A4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6F355F5"/>
    <w:multiLevelType w:val="multilevel"/>
    <w:tmpl w:val="D192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75E5FA5"/>
    <w:multiLevelType w:val="multilevel"/>
    <w:tmpl w:val="25187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8671412"/>
    <w:multiLevelType w:val="multilevel"/>
    <w:tmpl w:val="4574E0F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9CF0479"/>
    <w:multiLevelType w:val="multilevel"/>
    <w:tmpl w:val="92B23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A4A6B60"/>
    <w:multiLevelType w:val="multilevel"/>
    <w:tmpl w:val="1C684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AB20536"/>
    <w:multiLevelType w:val="multilevel"/>
    <w:tmpl w:val="520AB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B207183"/>
    <w:multiLevelType w:val="multilevel"/>
    <w:tmpl w:val="0F30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BD64F31"/>
    <w:multiLevelType w:val="multilevel"/>
    <w:tmpl w:val="8BD0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CC51EEF"/>
    <w:multiLevelType w:val="multilevel"/>
    <w:tmpl w:val="D26CEF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D01022A"/>
    <w:multiLevelType w:val="multilevel"/>
    <w:tmpl w:val="4906C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D6457C6"/>
    <w:multiLevelType w:val="multilevel"/>
    <w:tmpl w:val="4184D4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E063D80"/>
    <w:multiLevelType w:val="multilevel"/>
    <w:tmpl w:val="0FD0E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E0C1883"/>
    <w:multiLevelType w:val="multilevel"/>
    <w:tmpl w:val="FA7CE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F0436EB"/>
    <w:multiLevelType w:val="multilevel"/>
    <w:tmpl w:val="2364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FA44415"/>
    <w:multiLevelType w:val="multilevel"/>
    <w:tmpl w:val="3248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0D163CA"/>
    <w:multiLevelType w:val="multilevel"/>
    <w:tmpl w:val="F692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1855C62"/>
    <w:multiLevelType w:val="multilevel"/>
    <w:tmpl w:val="ECAC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280644C"/>
    <w:multiLevelType w:val="multilevel"/>
    <w:tmpl w:val="2E140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283564E"/>
    <w:multiLevelType w:val="multilevel"/>
    <w:tmpl w:val="8386537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35848EA"/>
    <w:multiLevelType w:val="multilevel"/>
    <w:tmpl w:val="00A4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37E7A6F"/>
    <w:multiLevelType w:val="multilevel"/>
    <w:tmpl w:val="AD7A9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42342DD"/>
    <w:multiLevelType w:val="multilevel"/>
    <w:tmpl w:val="AF90A7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4D90197"/>
    <w:multiLevelType w:val="multilevel"/>
    <w:tmpl w:val="69EC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5807C7A"/>
    <w:multiLevelType w:val="multilevel"/>
    <w:tmpl w:val="5BF8B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8214A30"/>
    <w:multiLevelType w:val="multilevel"/>
    <w:tmpl w:val="BB24C5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8552088"/>
    <w:multiLevelType w:val="multilevel"/>
    <w:tmpl w:val="77DC9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9601B60"/>
    <w:multiLevelType w:val="multilevel"/>
    <w:tmpl w:val="B7E43C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A0E3A6D"/>
    <w:multiLevelType w:val="multilevel"/>
    <w:tmpl w:val="4A784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A380FB8"/>
    <w:multiLevelType w:val="multilevel"/>
    <w:tmpl w:val="6E46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CF1078F"/>
    <w:multiLevelType w:val="multilevel"/>
    <w:tmpl w:val="60A87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DB97C6C"/>
    <w:multiLevelType w:val="multilevel"/>
    <w:tmpl w:val="173CD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E5013A5"/>
    <w:multiLevelType w:val="multilevel"/>
    <w:tmpl w:val="ACC23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7"/>
  </w:num>
  <w:num w:numId="2">
    <w:abstractNumId w:val="51"/>
  </w:num>
  <w:num w:numId="3">
    <w:abstractNumId w:val="33"/>
  </w:num>
  <w:num w:numId="4">
    <w:abstractNumId w:val="7"/>
  </w:num>
  <w:num w:numId="5">
    <w:abstractNumId w:val="12"/>
  </w:num>
  <w:num w:numId="6">
    <w:abstractNumId w:val="41"/>
  </w:num>
  <w:num w:numId="7">
    <w:abstractNumId w:val="133"/>
  </w:num>
  <w:num w:numId="8">
    <w:abstractNumId w:val="34"/>
  </w:num>
  <w:num w:numId="9">
    <w:abstractNumId w:val="70"/>
  </w:num>
  <w:num w:numId="10">
    <w:abstractNumId w:val="19"/>
  </w:num>
  <w:num w:numId="11">
    <w:abstractNumId w:val="96"/>
  </w:num>
  <w:num w:numId="12">
    <w:abstractNumId w:val="111"/>
  </w:num>
  <w:num w:numId="13">
    <w:abstractNumId w:val="45"/>
  </w:num>
  <w:num w:numId="14">
    <w:abstractNumId w:val="38"/>
  </w:num>
  <w:num w:numId="15">
    <w:abstractNumId w:val="32"/>
  </w:num>
  <w:num w:numId="16">
    <w:abstractNumId w:val="65"/>
  </w:num>
  <w:num w:numId="17">
    <w:abstractNumId w:val="125"/>
  </w:num>
  <w:num w:numId="18">
    <w:abstractNumId w:val="79"/>
  </w:num>
  <w:num w:numId="19">
    <w:abstractNumId w:val="115"/>
  </w:num>
  <w:num w:numId="20">
    <w:abstractNumId w:val="42"/>
  </w:num>
  <w:num w:numId="21">
    <w:abstractNumId w:val="99"/>
  </w:num>
  <w:num w:numId="22">
    <w:abstractNumId w:val="84"/>
  </w:num>
  <w:num w:numId="23">
    <w:abstractNumId w:val="22"/>
  </w:num>
  <w:num w:numId="24">
    <w:abstractNumId w:val="21"/>
  </w:num>
  <w:num w:numId="25">
    <w:abstractNumId w:val="129"/>
  </w:num>
  <w:num w:numId="26">
    <w:abstractNumId w:val="18"/>
  </w:num>
  <w:num w:numId="27">
    <w:abstractNumId w:val="27"/>
  </w:num>
  <w:num w:numId="28">
    <w:abstractNumId w:val="57"/>
  </w:num>
  <w:num w:numId="29">
    <w:abstractNumId w:val="20"/>
  </w:num>
  <w:num w:numId="30">
    <w:abstractNumId w:val="68"/>
  </w:num>
  <w:num w:numId="31">
    <w:abstractNumId w:val="60"/>
  </w:num>
  <w:num w:numId="32">
    <w:abstractNumId w:val="80"/>
  </w:num>
  <w:num w:numId="33">
    <w:abstractNumId w:val="3"/>
  </w:num>
  <w:num w:numId="34">
    <w:abstractNumId w:val="28"/>
  </w:num>
  <w:num w:numId="35">
    <w:abstractNumId w:val="52"/>
  </w:num>
  <w:num w:numId="36">
    <w:abstractNumId w:val="6"/>
  </w:num>
  <w:num w:numId="37">
    <w:abstractNumId w:val="37"/>
  </w:num>
  <w:num w:numId="38">
    <w:abstractNumId w:val="62"/>
  </w:num>
  <w:num w:numId="39">
    <w:abstractNumId w:val="122"/>
  </w:num>
  <w:num w:numId="40">
    <w:abstractNumId w:val="108"/>
  </w:num>
  <w:num w:numId="41">
    <w:abstractNumId w:val="75"/>
  </w:num>
  <w:num w:numId="42">
    <w:abstractNumId w:val="95"/>
  </w:num>
  <w:num w:numId="43">
    <w:abstractNumId w:val="83"/>
  </w:num>
  <w:num w:numId="44">
    <w:abstractNumId w:val="39"/>
  </w:num>
  <w:num w:numId="45">
    <w:abstractNumId w:val="100"/>
  </w:num>
  <w:num w:numId="46">
    <w:abstractNumId w:val="9"/>
  </w:num>
  <w:num w:numId="47">
    <w:abstractNumId w:val="117"/>
  </w:num>
  <w:num w:numId="48">
    <w:abstractNumId w:val="82"/>
  </w:num>
  <w:num w:numId="49">
    <w:abstractNumId w:val="59"/>
  </w:num>
  <w:num w:numId="50">
    <w:abstractNumId w:val="71"/>
  </w:num>
  <w:num w:numId="51">
    <w:abstractNumId w:val="123"/>
  </w:num>
  <w:num w:numId="52">
    <w:abstractNumId w:val="112"/>
  </w:num>
  <w:num w:numId="53">
    <w:abstractNumId w:val="132"/>
  </w:num>
  <w:num w:numId="54">
    <w:abstractNumId w:val="11"/>
  </w:num>
  <w:num w:numId="55">
    <w:abstractNumId w:val="23"/>
  </w:num>
  <w:num w:numId="56">
    <w:abstractNumId w:val="86"/>
  </w:num>
  <w:num w:numId="57">
    <w:abstractNumId w:val="127"/>
  </w:num>
  <w:num w:numId="58">
    <w:abstractNumId w:val="93"/>
  </w:num>
  <w:num w:numId="59">
    <w:abstractNumId w:val="109"/>
  </w:num>
  <w:num w:numId="60">
    <w:abstractNumId w:val="89"/>
  </w:num>
  <w:num w:numId="61">
    <w:abstractNumId w:val="106"/>
  </w:num>
  <w:num w:numId="62">
    <w:abstractNumId w:val="72"/>
  </w:num>
  <w:num w:numId="63">
    <w:abstractNumId w:val="124"/>
  </w:num>
  <w:num w:numId="64">
    <w:abstractNumId w:val="94"/>
  </w:num>
  <w:num w:numId="65">
    <w:abstractNumId w:val="8"/>
  </w:num>
  <w:num w:numId="66">
    <w:abstractNumId w:val="67"/>
  </w:num>
  <w:num w:numId="67">
    <w:abstractNumId w:val="56"/>
  </w:num>
  <w:num w:numId="68">
    <w:abstractNumId w:val="44"/>
  </w:num>
  <w:num w:numId="69">
    <w:abstractNumId w:val="26"/>
  </w:num>
  <w:num w:numId="70">
    <w:abstractNumId w:val="31"/>
  </w:num>
  <w:num w:numId="71">
    <w:abstractNumId w:val="5"/>
  </w:num>
  <w:num w:numId="72">
    <w:abstractNumId w:val="55"/>
  </w:num>
  <w:num w:numId="73">
    <w:abstractNumId w:val="121"/>
  </w:num>
  <w:num w:numId="74">
    <w:abstractNumId w:val="36"/>
  </w:num>
  <w:num w:numId="75">
    <w:abstractNumId w:val="47"/>
  </w:num>
  <w:num w:numId="76">
    <w:abstractNumId w:val="81"/>
  </w:num>
  <w:num w:numId="77">
    <w:abstractNumId w:val="76"/>
  </w:num>
  <w:num w:numId="78">
    <w:abstractNumId w:val="78"/>
  </w:num>
  <w:num w:numId="79">
    <w:abstractNumId w:val="77"/>
  </w:num>
  <w:num w:numId="80">
    <w:abstractNumId w:val="63"/>
  </w:num>
  <w:num w:numId="81">
    <w:abstractNumId w:val="16"/>
  </w:num>
  <w:num w:numId="82">
    <w:abstractNumId w:val="113"/>
  </w:num>
  <w:num w:numId="83">
    <w:abstractNumId w:val="128"/>
  </w:num>
  <w:num w:numId="84">
    <w:abstractNumId w:val="97"/>
  </w:num>
  <w:num w:numId="85">
    <w:abstractNumId w:val="61"/>
  </w:num>
  <w:num w:numId="86">
    <w:abstractNumId w:val="91"/>
  </w:num>
  <w:num w:numId="87">
    <w:abstractNumId w:val="15"/>
  </w:num>
  <w:num w:numId="88">
    <w:abstractNumId w:val="131"/>
  </w:num>
  <w:num w:numId="89">
    <w:abstractNumId w:val="1"/>
  </w:num>
  <w:num w:numId="90">
    <w:abstractNumId w:val="64"/>
  </w:num>
  <w:num w:numId="91">
    <w:abstractNumId w:val="66"/>
  </w:num>
  <w:num w:numId="92">
    <w:abstractNumId w:val="29"/>
  </w:num>
  <w:num w:numId="93">
    <w:abstractNumId w:val="40"/>
  </w:num>
  <w:num w:numId="94">
    <w:abstractNumId w:val="118"/>
  </w:num>
  <w:num w:numId="95">
    <w:abstractNumId w:val="88"/>
  </w:num>
  <w:num w:numId="96">
    <w:abstractNumId w:val="73"/>
  </w:num>
  <w:num w:numId="97">
    <w:abstractNumId w:val="43"/>
  </w:num>
  <w:num w:numId="98">
    <w:abstractNumId w:val="98"/>
  </w:num>
  <w:num w:numId="99">
    <w:abstractNumId w:val="105"/>
  </w:num>
  <w:num w:numId="100">
    <w:abstractNumId w:val="35"/>
  </w:num>
  <w:num w:numId="101">
    <w:abstractNumId w:val="103"/>
  </w:num>
  <w:num w:numId="102">
    <w:abstractNumId w:val="0"/>
  </w:num>
  <w:num w:numId="103">
    <w:abstractNumId w:val="74"/>
  </w:num>
  <w:num w:numId="104">
    <w:abstractNumId w:val="58"/>
  </w:num>
  <w:num w:numId="105">
    <w:abstractNumId w:val="120"/>
  </w:num>
  <w:num w:numId="106">
    <w:abstractNumId w:val="119"/>
  </w:num>
  <w:num w:numId="107">
    <w:abstractNumId w:val="114"/>
  </w:num>
  <w:num w:numId="108">
    <w:abstractNumId w:val="107"/>
  </w:num>
  <w:num w:numId="109">
    <w:abstractNumId w:val="13"/>
  </w:num>
  <w:num w:numId="110">
    <w:abstractNumId w:val="101"/>
  </w:num>
  <w:num w:numId="111">
    <w:abstractNumId w:val="85"/>
  </w:num>
  <w:num w:numId="112">
    <w:abstractNumId w:val="102"/>
  </w:num>
  <w:num w:numId="113">
    <w:abstractNumId w:val="25"/>
  </w:num>
  <w:num w:numId="114">
    <w:abstractNumId w:val="48"/>
  </w:num>
  <w:num w:numId="115">
    <w:abstractNumId w:val="126"/>
  </w:num>
  <w:num w:numId="116">
    <w:abstractNumId w:val="24"/>
  </w:num>
  <w:num w:numId="117">
    <w:abstractNumId w:val="46"/>
  </w:num>
  <w:num w:numId="118">
    <w:abstractNumId w:val="130"/>
  </w:num>
  <w:num w:numId="119">
    <w:abstractNumId w:val="4"/>
  </w:num>
  <w:num w:numId="120">
    <w:abstractNumId w:val="110"/>
  </w:num>
  <w:num w:numId="121">
    <w:abstractNumId w:val="14"/>
  </w:num>
  <w:num w:numId="122">
    <w:abstractNumId w:val="69"/>
  </w:num>
  <w:num w:numId="123">
    <w:abstractNumId w:val="50"/>
  </w:num>
  <w:num w:numId="124">
    <w:abstractNumId w:val="92"/>
  </w:num>
  <w:num w:numId="125">
    <w:abstractNumId w:val="2"/>
  </w:num>
  <w:num w:numId="126">
    <w:abstractNumId w:val="10"/>
  </w:num>
  <w:num w:numId="127">
    <w:abstractNumId w:val="53"/>
  </w:num>
  <w:num w:numId="128">
    <w:abstractNumId w:val="49"/>
  </w:num>
  <w:num w:numId="129">
    <w:abstractNumId w:val="30"/>
  </w:num>
  <w:num w:numId="130">
    <w:abstractNumId w:val="104"/>
  </w:num>
  <w:num w:numId="131">
    <w:abstractNumId w:val="17"/>
  </w:num>
  <w:num w:numId="132">
    <w:abstractNumId w:val="54"/>
  </w:num>
  <w:num w:numId="133">
    <w:abstractNumId w:val="116"/>
  </w:num>
  <w:num w:numId="134">
    <w:abstractNumId w:val="9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proofState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D58D8"/>
    <w:rsid w:val="000A0ACB"/>
    <w:rsid w:val="000D58D8"/>
    <w:rsid w:val="000F627F"/>
    <w:rsid w:val="00134FC9"/>
    <w:rsid w:val="002469CE"/>
    <w:rsid w:val="00307CB7"/>
    <w:rsid w:val="00456E94"/>
    <w:rsid w:val="004E5635"/>
    <w:rsid w:val="00587BBA"/>
    <w:rsid w:val="006742FE"/>
    <w:rsid w:val="006B0AE1"/>
    <w:rsid w:val="006B5028"/>
    <w:rsid w:val="006F14FB"/>
    <w:rsid w:val="00705448"/>
    <w:rsid w:val="007814F1"/>
    <w:rsid w:val="009C7334"/>
    <w:rsid w:val="00A13CD0"/>
    <w:rsid w:val="00C30BCF"/>
    <w:rsid w:val="00F5414A"/>
    <w:rsid w:val="00F54E4B"/>
    <w:rsid w:val="00F71806"/>
    <w:rsid w:val="00FC6DFE"/>
    <w:rsid w:val="00FE5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character" w:styleId="a4">
    <w:name w:val="Hyperlink"/>
    <w:basedOn w:val="a0"/>
    <w:uiPriority w:val="99"/>
    <w:semiHidden/>
    <w:unhideWhenUsed/>
    <w:rPr>
      <w:color w:val="0000FF"/>
      <w:u w:val="single"/>
    </w:rPr>
  </w:style>
  <w:style w:type="character" w:customStyle="1" w:styleId="15">
    <w:name w:val="15"/>
    <w:basedOn w:val="a0"/>
  </w:style>
  <w:style w:type="character" w:styleId="a5">
    <w:name w:val="Strong"/>
    <w:basedOn w:val="a0"/>
    <w:uiPriority w:val="22"/>
    <w:qFormat/>
    <w:rPr>
      <w:b/>
      <w:bCs/>
    </w:rPr>
  </w:style>
  <w:style w:type="character" w:customStyle="1" w:styleId="1char">
    <w:name w:val="1char"/>
    <w:basedOn w:val="a0"/>
  </w:style>
  <w:style w:type="paragraph" w:customStyle="1" w:styleId="-3">
    <w:name w:val="-3"/>
    <w:basedOn w:val="a"/>
    <w:pPr>
      <w:widowControl/>
      <w:spacing w:before="100" w:beforeAutospacing="1" w:after="100" w:afterAutospacing="1"/>
    </w:pPr>
    <w:rPr>
      <w:rFonts w:ascii="宋体" w:eastAsia="宋体" w:hAnsi="宋体" w:cs="宋体"/>
      <w:kern w:val="0"/>
      <w:sz w:val="24"/>
      <w:szCs w:val="24"/>
    </w:rPr>
  </w:style>
  <w:style w:type="paragraph" w:styleId="a6">
    <w:name w:val="header"/>
    <w:basedOn w:val="a"/>
    <w:link w:val="Char"/>
    <w:uiPriority w:val="99"/>
    <w:unhideWhenUsed/>
    <w:rsid w:val="000F62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F627F"/>
    <w:rPr>
      <w:sz w:val="18"/>
      <w:szCs w:val="18"/>
    </w:rPr>
  </w:style>
  <w:style w:type="paragraph" w:styleId="a7">
    <w:name w:val="footer"/>
    <w:basedOn w:val="a"/>
    <w:link w:val="Char0"/>
    <w:uiPriority w:val="99"/>
    <w:unhideWhenUsed/>
    <w:rsid w:val="000F627F"/>
    <w:pPr>
      <w:tabs>
        <w:tab w:val="center" w:pos="4153"/>
        <w:tab w:val="right" w:pos="8306"/>
      </w:tabs>
      <w:snapToGrid w:val="0"/>
    </w:pPr>
    <w:rPr>
      <w:sz w:val="18"/>
      <w:szCs w:val="18"/>
    </w:rPr>
  </w:style>
  <w:style w:type="character" w:customStyle="1" w:styleId="Char0">
    <w:name w:val="页脚 Char"/>
    <w:basedOn w:val="a0"/>
    <w:link w:val="a7"/>
    <w:uiPriority w:val="99"/>
    <w:rsid w:val="000F627F"/>
    <w:rPr>
      <w:sz w:val="18"/>
      <w:szCs w:val="18"/>
    </w:rPr>
  </w:style>
  <w:style w:type="paragraph" w:styleId="a8">
    <w:name w:val="Balloon Text"/>
    <w:basedOn w:val="a"/>
    <w:link w:val="Char1"/>
    <w:uiPriority w:val="99"/>
    <w:semiHidden/>
    <w:unhideWhenUsed/>
    <w:rsid w:val="000F627F"/>
    <w:rPr>
      <w:sz w:val="18"/>
      <w:szCs w:val="18"/>
    </w:rPr>
  </w:style>
  <w:style w:type="character" w:customStyle="1" w:styleId="Char1">
    <w:name w:val="批注框文本 Char"/>
    <w:basedOn w:val="a0"/>
    <w:link w:val="a8"/>
    <w:uiPriority w:val="99"/>
    <w:semiHidden/>
    <w:rsid w:val="000F62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character" w:styleId="a4">
    <w:name w:val="Hyperlink"/>
    <w:basedOn w:val="a0"/>
    <w:uiPriority w:val="99"/>
    <w:semiHidden/>
    <w:unhideWhenUsed/>
    <w:rPr>
      <w:color w:val="0000FF"/>
      <w:u w:val="single"/>
    </w:rPr>
  </w:style>
  <w:style w:type="character" w:customStyle="1" w:styleId="15">
    <w:name w:val="15"/>
    <w:basedOn w:val="a0"/>
  </w:style>
  <w:style w:type="character" w:styleId="a5">
    <w:name w:val="Strong"/>
    <w:basedOn w:val="a0"/>
    <w:uiPriority w:val="22"/>
    <w:qFormat/>
    <w:rPr>
      <w:b/>
      <w:bCs/>
    </w:rPr>
  </w:style>
  <w:style w:type="character" w:customStyle="1" w:styleId="1char">
    <w:name w:val="1char"/>
    <w:basedOn w:val="a0"/>
  </w:style>
  <w:style w:type="paragraph" w:customStyle="1" w:styleId="-3">
    <w:name w:val="-3"/>
    <w:basedOn w:val="a"/>
    <w:pPr>
      <w:widowControl/>
      <w:spacing w:before="100" w:beforeAutospacing="1" w:after="100" w:afterAutospacing="1"/>
    </w:pPr>
    <w:rPr>
      <w:rFonts w:ascii="宋体" w:eastAsia="宋体" w:hAnsi="宋体" w:cs="宋体"/>
      <w:kern w:val="0"/>
      <w:sz w:val="24"/>
      <w:szCs w:val="24"/>
    </w:rPr>
  </w:style>
  <w:style w:type="paragraph" w:styleId="a6">
    <w:name w:val="header"/>
    <w:basedOn w:val="a"/>
    <w:link w:val="Char"/>
    <w:uiPriority w:val="99"/>
    <w:unhideWhenUsed/>
    <w:rsid w:val="000F62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F627F"/>
    <w:rPr>
      <w:sz w:val="18"/>
      <w:szCs w:val="18"/>
    </w:rPr>
  </w:style>
  <w:style w:type="paragraph" w:styleId="a7">
    <w:name w:val="footer"/>
    <w:basedOn w:val="a"/>
    <w:link w:val="Char0"/>
    <w:uiPriority w:val="99"/>
    <w:unhideWhenUsed/>
    <w:rsid w:val="000F627F"/>
    <w:pPr>
      <w:tabs>
        <w:tab w:val="center" w:pos="4153"/>
        <w:tab w:val="right" w:pos="8306"/>
      </w:tabs>
      <w:snapToGrid w:val="0"/>
    </w:pPr>
    <w:rPr>
      <w:sz w:val="18"/>
      <w:szCs w:val="18"/>
    </w:rPr>
  </w:style>
  <w:style w:type="character" w:customStyle="1" w:styleId="Char0">
    <w:name w:val="页脚 Char"/>
    <w:basedOn w:val="a0"/>
    <w:link w:val="a7"/>
    <w:uiPriority w:val="99"/>
    <w:rsid w:val="000F627F"/>
    <w:rPr>
      <w:sz w:val="18"/>
      <w:szCs w:val="18"/>
    </w:rPr>
  </w:style>
  <w:style w:type="paragraph" w:styleId="a8">
    <w:name w:val="Balloon Text"/>
    <w:basedOn w:val="a"/>
    <w:link w:val="Char1"/>
    <w:uiPriority w:val="99"/>
    <w:semiHidden/>
    <w:unhideWhenUsed/>
    <w:rsid w:val="000F627F"/>
    <w:rPr>
      <w:sz w:val="18"/>
      <w:szCs w:val="18"/>
    </w:rPr>
  </w:style>
  <w:style w:type="character" w:customStyle="1" w:styleId="Char1">
    <w:name w:val="批注框文本 Char"/>
    <w:basedOn w:val="a0"/>
    <w:link w:val="a8"/>
    <w:uiPriority w:val="99"/>
    <w:semiHidden/>
    <w:rsid w:val="000F62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6">
      <w:bodyDiv w:val="1"/>
      <w:marLeft w:val="0"/>
      <w:marRight w:val="0"/>
      <w:marTop w:val="0"/>
      <w:marBottom w:val="0"/>
      <w:divBdr>
        <w:top w:val="none" w:sz="0" w:space="0" w:color="auto"/>
        <w:left w:val="none" w:sz="0" w:space="0" w:color="auto"/>
        <w:bottom w:val="none" w:sz="0" w:space="0" w:color="auto"/>
        <w:right w:val="none" w:sz="0" w:space="0" w:color="auto"/>
      </w:divBdr>
    </w:div>
    <w:div w:id="19862720">
      <w:bodyDiv w:val="1"/>
      <w:marLeft w:val="0"/>
      <w:marRight w:val="0"/>
      <w:marTop w:val="0"/>
      <w:marBottom w:val="0"/>
      <w:divBdr>
        <w:top w:val="none" w:sz="0" w:space="0" w:color="auto"/>
        <w:left w:val="none" w:sz="0" w:space="0" w:color="auto"/>
        <w:bottom w:val="none" w:sz="0" w:space="0" w:color="auto"/>
        <w:right w:val="none" w:sz="0" w:space="0" w:color="auto"/>
      </w:divBdr>
    </w:div>
    <w:div w:id="21249475">
      <w:bodyDiv w:val="1"/>
      <w:marLeft w:val="0"/>
      <w:marRight w:val="0"/>
      <w:marTop w:val="0"/>
      <w:marBottom w:val="0"/>
      <w:divBdr>
        <w:top w:val="none" w:sz="0" w:space="0" w:color="auto"/>
        <w:left w:val="none" w:sz="0" w:space="0" w:color="auto"/>
        <w:bottom w:val="none" w:sz="0" w:space="0" w:color="auto"/>
        <w:right w:val="none" w:sz="0" w:space="0" w:color="auto"/>
      </w:divBdr>
    </w:div>
    <w:div w:id="23213146">
      <w:bodyDiv w:val="1"/>
      <w:marLeft w:val="0"/>
      <w:marRight w:val="0"/>
      <w:marTop w:val="0"/>
      <w:marBottom w:val="0"/>
      <w:divBdr>
        <w:top w:val="none" w:sz="0" w:space="0" w:color="auto"/>
        <w:left w:val="none" w:sz="0" w:space="0" w:color="auto"/>
        <w:bottom w:val="none" w:sz="0" w:space="0" w:color="auto"/>
        <w:right w:val="none" w:sz="0" w:space="0" w:color="auto"/>
      </w:divBdr>
    </w:div>
    <w:div w:id="24185929">
      <w:bodyDiv w:val="1"/>
      <w:marLeft w:val="0"/>
      <w:marRight w:val="0"/>
      <w:marTop w:val="0"/>
      <w:marBottom w:val="0"/>
      <w:divBdr>
        <w:top w:val="none" w:sz="0" w:space="0" w:color="auto"/>
        <w:left w:val="none" w:sz="0" w:space="0" w:color="auto"/>
        <w:bottom w:val="none" w:sz="0" w:space="0" w:color="auto"/>
        <w:right w:val="none" w:sz="0" w:space="0" w:color="auto"/>
      </w:divBdr>
    </w:div>
    <w:div w:id="29575743">
      <w:bodyDiv w:val="1"/>
      <w:marLeft w:val="0"/>
      <w:marRight w:val="0"/>
      <w:marTop w:val="0"/>
      <w:marBottom w:val="0"/>
      <w:divBdr>
        <w:top w:val="none" w:sz="0" w:space="0" w:color="auto"/>
        <w:left w:val="none" w:sz="0" w:space="0" w:color="auto"/>
        <w:bottom w:val="none" w:sz="0" w:space="0" w:color="auto"/>
        <w:right w:val="none" w:sz="0" w:space="0" w:color="auto"/>
      </w:divBdr>
    </w:div>
    <w:div w:id="31348609">
      <w:bodyDiv w:val="1"/>
      <w:marLeft w:val="0"/>
      <w:marRight w:val="0"/>
      <w:marTop w:val="0"/>
      <w:marBottom w:val="0"/>
      <w:divBdr>
        <w:top w:val="none" w:sz="0" w:space="0" w:color="auto"/>
        <w:left w:val="none" w:sz="0" w:space="0" w:color="auto"/>
        <w:bottom w:val="none" w:sz="0" w:space="0" w:color="auto"/>
        <w:right w:val="none" w:sz="0" w:space="0" w:color="auto"/>
      </w:divBdr>
    </w:div>
    <w:div w:id="37559393">
      <w:bodyDiv w:val="1"/>
      <w:marLeft w:val="0"/>
      <w:marRight w:val="0"/>
      <w:marTop w:val="0"/>
      <w:marBottom w:val="0"/>
      <w:divBdr>
        <w:top w:val="none" w:sz="0" w:space="0" w:color="auto"/>
        <w:left w:val="none" w:sz="0" w:space="0" w:color="auto"/>
        <w:bottom w:val="none" w:sz="0" w:space="0" w:color="auto"/>
        <w:right w:val="none" w:sz="0" w:space="0" w:color="auto"/>
      </w:divBdr>
    </w:div>
    <w:div w:id="38550309">
      <w:bodyDiv w:val="1"/>
      <w:marLeft w:val="0"/>
      <w:marRight w:val="0"/>
      <w:marTop w:val="0"/>
      <w:marBottom w:val="0"/>
      <w:divBdr>
        <w:top w:val="none" w:sz="0" w:space="0" w:color="auto"/>
        <w:left w:val="none" w:sz="0" w:space="0" w:color="auto"/>
        <w:bottom w:val="none" w:sz="0" w:space="0" w:color="auto"/>
        <w:right w:val="none" w:sz="0" w:space="0" w:color="auto"/>
      </w:divBdr>
    </w:div>
    <w:div w:id="41095931">
      <w:bodyDiv w:val="1"/>
      <w:marLeft w:val="0"/>
      <w:marRight w:val="0"/>
      <w:marTop w:val="0"/>
      <w:marBottom w:val="0"/>
      <w:divBdr>
        <w:top w:val="none" w:sz="0" w:space="0" w:color="auto"/>
        <w:left w:val="none" w:sz="0" w:space="0" w:color="auto"/>
        <w:bottom w:val="none" w:sz="0" w:space="0" w:color="auto"/>
        <w:right w:val="none" w:sz="0" w:space="0" w:color="auto"/>
      </w:divBdr>
    </w:div>
    <w:div w:id="41633031">
      <w:bodyDiv w:val="1"/>
      <w:marLeft w:val="0"/>
      <w:marRight w:val="0"/>
      <w:marTop w:val="0"/>
      <w:marBottom w:val="0"/>
      <w:divBdr>
        <w:top w:val="none" w:sz="0" w:space="0" w:color="auto"/>
        <w:left w:val="none" w:sz="0" w:space="0" w:color="auto"/>
        <w:bottom w:val="none" w:sz="0" w:space="0" w:color="auto"/>
        <w:right w:val="none" w:sz="0" w:space="0" w:color="auto"/>
      </w:divBdr>
    </w:div>
    <w:div w:id="42413843">
      <w:bodyDiv w:val="1"/>
      <w:marLeft w:val="0"/>
      <w:marRight w:val="0"/>
      <w:marTop w:val="0"/>
      <w:marBottom w:val="0"/>
      <w:divBdr>
        <w:top w:val="none" w:sz="0" w:space="0" w:color="auto"/>
        <w:left w:val="none" w:sz="0" w:space="0" w:color="auto"/>
        <w:bottom w:val="none" w:sz="0" w:space="0" w:color="auto"/>
        <w:right w:val="none" w:sz="0" w:space="0" w:color="auto"/>
      </w:divBdr>
    </w:div>
    <w:div w:id="53085971">
      <w:bodyDiv w:val="1"/>
      <w:marLeft w:val="0"/>
      <w:marRight w:val="0"/>
      <w:marTop w:val="0"/>
      <w:marBottom w:val="0"/>
      <w:divBdr>
        <w:top w:val="none" w:sz="0" w:space="0" w:color="auto"/>
        <w:left w:val="none" w:sz="0" w:space="0" w:color="auto"/>
        <w:bottom w:val="none" w:sz="0" w:space="0" w:color="auto"/>
        <w:right w:val="none" w:sz="0" w:space="0" w:color="auto"/>
      </w:divBdr>
    </w:div>
    <w:div w:id="53701029">
      <w:bodyDiv w:val="1"/>
      <w:marLeft w:val="0"/>
      <w:marRight w:val="0"/>
      <w:marTop w:val="0"/>
      <w:marBottom w:val="0"/>
      <w:divBdr>
        <w:top w:val="none" w:sz="0" w:space="0" w:color="auto"/>
        <w:left w:val="none" w:sz="0" w:space="0" w:color="auto"/>
        <w:bottom w:val="none" w:sz="0" w:space="0" w:color="auto"/>
        <w:right w:val="none" w:sz="0" w:space="0" w:color="auto"/>
      </w:divBdr>
    </w:div>
    <w:div w:id="67465509">
      <w:bodyDiv w:val="1"/>
      <w:marLeft w:val="0"/>
      <w:marRight w:val="0"/>
      <w:marTop w:val="0"/>
      <w:marBottom w:val="0"/>
      <w:divBdr>
        <w:top w:val="none" w:sz="0" w:space="0" w:color="auto"/>
        <w:left w:val="none" w:sz="0" w:space="0" w:color="auto"/>
        <w:bottom w:val="none" w:sz="0" w:space="0" w:color="auto"/>
        <w:right w:val="none" w:sz="0" w:space="0" w:color="auto"/>
      </w:divBdr>
    </w:div>
    <w:div w:id="84034573">
      <w:bodyDiv w:val="1"/>
      <w:marLeft w:val="0"/>
      <w:marRight w:val="0"/>
      <w:marTop w:val="0"/>
      <w:marBottom w:val="0"/>
      <w:divBdr>
        <w:top w:val="none" w:sz="0" w:space="0" w:color="auto"/>
        <w:left w:val="none" w:sz="0" w:space="0" w:color="auto"/>
        <w:bottom w:val="none" w:sz="0" w:space="0" w:color="auto"/>
        <w:right w:val="none" w:sz="0" w:space="0" w:color="auto"/>
      </w:divBdr>
    </w:div>
    <w:div w:id="86729188">
      <w:bodyDiv w:val="1"/>
      <w:marLeft w:val="0"/>
      <w:marRight w:val="0"/>
      <w:marTop w:val="0"/>
      <w:marBottom w:val="0"/>
      <w:divBdr>
        <w:top w:val="none" w:sz="0" w:space="0" w:color="auto"/>
        <w:left w:val="none" w:sz="0" w:space="0" w:color="auto"/>
        <w:bottom w:val="none" w:sz="0" w:space="0" w:color="auto"/>
        <w:right w:val="none" w:sz="0" w:space="0" w:color="auto"/>
      </w:divBdr>
    </w:div>
    <w:div w:id="89205855">
      <w:bodyDiv w:val="1"/>
      <w:marLeft w:val="0"/>
      <w:marRight w:val="0"/>
      <w:marTop w:val="0"/>
      <w:marBottom w:val="0"/>
      <w:divBdr>
        <w:top w:val="none" w:sz="0" w:space="0" w:color="auto"/>
        <w:left w:val="none" w:sz="0" w:space="0" w:color="auto"/>
        <w:bottom w:val="none" w:sz="0" w:space="0" w:color="auto"/>
        <w:right w:val="none" w:sz="0" w:space="0" w:color="auto"/>
      </w:divBdr>
    </w:div>
    <w:div w:id="94248610">
      <w:bodyDiv w:val="1"/>
      <w:marLeft w:val="0"/>
      <w:marRight w:val="0"/>
      <w:marTop w:val="0"/>
      <w:marBottom w:val="0"/>
      <w:divBdr>
        <w:top w:val="none" w:sz="0" w:space="0" w:color="auto"/>
        <w:left w:val="none" w:sz="0" w:space="0" w:color="auto"/>
        <w:bottom w:val="none" w:sz="0" w:space="0" w:color="auto"/>
        <w:right w:val="none" w:sz="0" w:space="0" w:color="auto"/>
      </w:divBdr>
    </w:div>
    <w:div w:id="102193888">
      <w:bodyDiv w:val="1"/>
      <w:marLeft w:val="0"/>
      <w:marRight w:val="0"/>
      <w:marTop w:val="0"/>
      <w:marBottom w:val="0"/>
      <w:divBdr>
        <w:top w:val="none" w:sz="0" w:space="0" w:color="auto"/>
        <w:left w:val="none" w:sz="0" w:space="0" w:color="auto"/>
        <w:bottom w:val="none" w:sz="0" w:space="0" w:color="auto"/>
        <w:right w:val="none" w:sz="0" w:space="0" w:color="auto"/>
      </w:divBdr>
    </w:div>
    <w:div w:id="102775123">
      <w:bodyDiv w:val="1"/>
      <w:marLeft w:val="0"/>
      <w:marRight w:val="0"/>
      <w:marTop w:val="0"/>
      <w:marBottom w:val="0"/>
      <w:divBdr>
        <w:top w:val="none" w:sz="0" w:space="0" w:color="auto"/>
        <w:left w:val="none" w:sz="0" w:space="0" w:color="auto"/>
        <w:bottom w:val="none" w:sz="0" w:space="0" w:color="auto"/>
        <w:right w:val="none" w:sz="0" w:space="0" w:color="auto"/>
      </w:divBdr>
    </w:div>
    <w:div w:id="108206838">
      <w:bodyDiv w:val="1"/>
      <w:marLeft w:val="0"/>
      <w:marRight w:val="0"/>
      <w:marTop w:val="0"/>
      <w:marBottom w:val="0"/>
      <w:divBdr>
        <w:top w:val="none" w:sz="0" w:space="0" w:color="auto"/>
        <w:left w:val="none" w:sz="0" w:space="0" w:color="auto"/>
        <w:bottom w:val="none" w:sz="0" w:space="0" w:color="auto"/>
        <w:right w:val="none" w:sz="0" w:space="0" w:color="auto"/>
      </w:divBdr>
    </w:div>
    <w:div w:id="110363484">
      <w:bodyDiv w:val="1"/>
      <w:marLeft w:val="0"/>
      <w:marRight w:val="0"/>
      <w:marTop w:val="0"/>
      <w:marBottom w:val="0"/>
      <w:divBdr>
        <w:top w:val="none" w:sz="0" w:space="0" w:color="auto"/>
        <w:left w:val="none" w:sz="0" w:space="0" w:color="auto"/>
        <w:bottom w:val="none" w:sz="0" w:space="0" w:color="auto"/>
        <w:right w:val="none" w:sz="0" w:space="0" w:color="auto"/>
      </w:divBdr>
    </w:div>
    <w:div w:id="121731919">
      <w:bodyDiv w:val="1"/>
      <w:marLeft w:val="0"/>
      <w:marRight w:val="0"/>
      <w:marTop w:val="0"/>
      <w:marBottom w:val="0"/>
      <w:divBdr>
        <w:top w:val="none" w:sz="0" w:space="0" w:color="auto"/>
        <w:left w:val="none" w:sz="0" w:space="0" w:color="auto"/>
        <w:bottom w:val="none" w:sz="0" w:space="0" w:color="auto"/>
        <w:right w:val="none" w:sz="0" w:space="0" w:color="auto"/>
      </w:divBdr>
    </w:div>
    <w:div w:id="124201061">
      <w:bodyDiv w:val="1"/>
      <w:marLeft w:val="0"/>
      <w:marRight w:val="0"/>
      <w:marTop w:val="0"/>
      <w:marBottom w:val="0"/>
      <w:divBdr>
        <w:top w:val="none" w:sz="0" w:space="0" w:color="auto"/>
        <w:left w:val="none" w:sz="0" w:space="0" w:color="auto"/>
        <w:bottom w:val="none" w:sz="0" w:space="0" w:color="auto"/>
        <w:right w:val="none" w:sz="0" w:space="0" w:color="auto"/>
      </w:divBdr>
    </w:div>
    <w:div w:id="130097057">
      <w:bodyDiv w:val="1"/>
      <w:marLeft w:val="0"/>
      <w:marRight w:val="0"/>
      <w:marTop w:val="0"/>
      <w:marBottom w:val="0"/>
      <w:divBdr>
        <w:top w:val="none" w:sz="0" w:space="0" w:color="auto"/>
        <w:left w:val="none" w:sz="0" w:space="0" w:color="auto"/>
        <w:bottom w:val="none" w:sz="0" w:space="0" w:color="auto"/>
        <w:right w:val="none" w:sz="0" w:space="0" w:color="auto"/>
      </w:divBdr>
    </w:div>
    <w:div w:id="131796003">
      <w:bodyDiv w:val="1"/>
      <w:marLeft w:val="0"/>
      <w:marRight w:val="0"/>
      <w:marTop w:val="0"/>
      <w:marBottom w:val="0"/>
      <w:divBdr>
        <w:top w:val="none" w:sz="0" w:space="0" w:color="auto"/>
        <w:left w:val="none" w:sz="0" w:space="0" w:color="auto"/>
        <w:bottom w:val="none" w:sz="0" w:space="0" w:color="auto"/>
        <w:right w:val="none" w:sz="0" w:space="0" w:color="auto"/>
      </w:divBdr>
    </w:div>
    <w:div w:id="136383023">
      <w:bodyDiv w:val="1"/>
      <w:marLeft w:val="0"/>
      <w:marRight w:val="0"/>
      <w:marTop w:val="0"/>
      <w:marBottom w:val="0"/>
      <w:divBdr>
        <w:top w:val="none" w:sz="0" w:space="0" w:color="auto"/>
        <w:left w:val="none" w:sz="0" w:space="0" w:color="auto"/>
        <w:bottom w:val="none" w:sz="0" w:space="0" w:color="auto"/>
        <w:right w:val="none" w:sz="0" w:space="0" w:color="auto"/>
      </w:divBdr>
    </w:div>
    <w:div w:id="136383705">
      <w:bodyDiv w:val="1"/>
      <w:marLeft w:val="0"/>
      <w:marRight w:val="0"/>
      <w:marTop w:val="0"/>
      <w:marBottom w:val="0"/>
      <w:divBdr>
        <w:top w:val="none" w:sz="0" w:space="0" w:color="auto"/>
        <w:left w:val="none" w:sz="0" w:space="0" w:color="auto"/>
        <w:bottom w:val="none" w:sz="0" w:space="0" w:color="auto"/>
        <w:right w:val="none" w:sz="0" w:space="0" w:color="auto"/>
      </w:divBdr>
    </w:div>
    <w:div w:id="138688395">
      <w:bodyDiv w:val="1"/>
      <w:marLeft w:val="0"/>
      <w:marRight w:val="0"/>
      <w:marTop w:val="0"/>
      <w:marBottom w:val="0"/>
      <w:divBdr>
        <w:top w:val="none" w:sz="0" w:space="0" w:color="auto"/>
        <w:left w:val="none" w:sz="0" w:space="0" w:color="auto"/>
        <w:bottom w:val="none" w:sz="0" w:space="0" w:color="auto"/>
        <w:right w:val="none" w:sz="0" w:space="0" w:color="auto"/>
      </w:divBdr>
    </w:div>
    <w:div w:id="160892919">
      <w:bodyDiv w:val="1"/>
      <w:marLeft w:val="0"/>
      <w:marRight w:val="0"/>
      <w:marTop w:val="0"/>
      <w:marBottom w:val="0"/>
      <w:divBdr>
        <w:top w:val="none" w:sz="0" w:space="0" w:color="auto"/>
        <w:left w:val="none" w:sz="0" w:space="0" w:color="auto"/>
        <w:bottom w:val="none" w:sz="0" w:space="0" w:color="auto"/>
        <w:right w:val="none" w:sz="0" w:space="0" w:color="auto"/>
      </w:divBdr>
    </w:div>
    <w:div w:id="171140565">
      <w:bodyDiv w:val="1"/>
      <w:marLeft w:val="0"/>
      <w:marRight w:val="0"/>
      <w:marTop w:val="0"/>
      <w:marBottom w:val="0"/>
      <w:divBdr>
        <w:top w:val="none" w:sz="0" w:space="0" w:color="auto"/>
        <w:left w:val="none" w:sz="0" w:space="0" w:color="auto"/>
        <w:bottom w:val="none" w:sz="0" w:space="0" w:color="auto"/>
        <w:right w:val="none" w:sz="0" w:space="0" w:color="auto"/>
      </w:divBdr>
    </w:div>
    <w:div w:id="179051306">
      <w:bodyDiv w:val="1"/>
      <w:marLeft w:val="0"/>
      <w:marRight w:val="0"/>
      <w:marTop w:val="0"/>
      <w:marBottom w:val="0"/>
      <w:divBdr>
        <w:top w:val="none" w:sz="0" w:space="0" w:color="auto"/>
        <w:left w:val="none" w:sz="0" w:space="0" w:color="auto"/>
        <w:bottom w:val="none" w:sz="0" w:space="0" w:color="auto"/>
        <w:right w:val="none" w:sz="0" w:space="0" w:color="auto"/>
      </w:divBdr>
    </w:div>
    <w:div w:id="181170180">
      <w:bodyDiv w:val="1"/>
      <w:marLeft w:val="0"/>
      <w:marRight w:val="0"/>
      <w:marTop w:val="0"/>
      <w:marBottom w:val="0"/>
      <w:divBdr>
        <w:top w:val="none" w:sz="0" w:space="0" w:color="auto"/>
        <w:left w:val="none" w:sz="0" w:space="0" w:color="auto"/>
        <w:bottom w:val="none" w:sz="0" w:space="0" w:color="auto"/>
        <w:right w:val="none" w:sz="0" w:space="0" w:color="auto"/>
      </w:divBdr>
    </w:div>
    <w:div w:id="192497511">
      <w:bodyDiv w:val="1"/>
      <w:marLeft w:val="0"/>
      <w:marRight w:val="0"/>
      <w:marTop w:val="0"/>
      <w:marBottom w:val="0"/>
      <w:divBdr>
        <w:top w:val="none" w:sz="0" w:space="0" w:color="auto"/>
        <w:left w:val="none" w:sz="0" w:space="0" w:color="auto"/>
        <w:bottom w:val="none" w:sz="0" w:space="0" w:color="auto"/>
        <w:right w:val="none" w:sz="0" w:space="0" w:color="auto"/>
      </w:divBdr>
    </w:div>
    <w:div w:id="204801917">
      <w:bodyDiv w:val="1"/>
      <w:marLeft w:val="0"/>
      <w:marRight w:val="0"/>
      <w:marTop w:val="0"/>
      <w:marBottom w:val="0"/>
      <w:divBdr>
        <w:top w:val="none" w:sz="0" w:space="0" w:color="auto"/>
        <w:left w:val="none" w:sz="0" w:space="0" w:color="auto"/>
        <w:bottom w:val="none" w:sz="0" w:space="0" w:color="auto"/>
        <w:right w:val="none" w:sz="0" w:space="0" w:color="auto"/>
      </w:divBdr>
    </w:div>
    <w:div w:id="207227239">
      <w:bodyDiv w:val="1"/>
      <w:marLeft w:val="0"/>
      <w:marRight w:val="0"/>
      <w:marTop w:val="0"/>
      <w:marBottom w:val="0"/>
      <w:divBdr>
        <w:top w:val="none" w:sz="0" w:space="0" w:color="auto"/>
        <w:left w:val="none" w:sz="0" w:space="0" w:color="auto"/>
        <w:bottom w:val="none" w:sz="0" w:space="0" w:color="auto"/>
        <w:right w:val="none" w:sz="0" w:space="0" w:color="auto"/>
      </w:divBdr>
    </w:div>
    <w:div w:id="209650565">
      <w:bodyDiv w:val="1"/>
      <w:marLeft w:val="0"/>
      <w:marRight w:val="0"/>
      <w:marTop w:val="0"/>
      <w:marBottom w:val="0"/>
      <w:divBdr>
        <w:top w:val="none" w:sz="0" w:space="0" w:color="auto"/>
        <w:left w:val="none" w:sz="0" w:space="0" w:color="auto"/>
        <w:bottom w:val="none" w:sz="0" w:space="0" w:color="auto"/>
        <w:right w:val="none" w:sz="0" w:space="0" w:color="auto"/>
      </w:divBdr>
    </w:div>
    <w:div w:id="220946204">
      <w:bodyDiv w:val="1"/>
      <w:marLeft w:val="0"/>
      <w:marRight w:val="0"/>
      <w:marTop w:val="0"/>
      <w:marBottom w:val="0"/>
      <w:divBdr>
        <w:top w:val="none" w:sz="0" w:space="0" w:color="auto"/>
        <w:left w:val="none" w:sz="0" w:space="0" w:color="auto"/>
        <w:bottom w:val="none" w:sz="0" w:space="0" w:color="auto"/>
        <w:right w:val="none" w:sz="0" w:space="0" w:color="auto"/>
      </w:divBdr>
    </w:div>
    <w:div w:id="222715026">
      <w:bodyDiv w:val="1"/>
      <w:marLeft w:val="0"/>
      <w:marRight w:val="0"/>
      <w:marTop w:val="0"/>
      <w:marBottom w:val="0"/>
      <w:divBdr>
        <w:top w:val="none" w:sz="0" w:space="0" w:color="auto"/>
        <w:left w:val="none" w:sz="0" w:space="0" w:color="auto"/>
        <w:bottom w:val="none" w:sz="0" w:space="0" w:color="auto"/>
        <w:right w:val="none" w:sz="0" w:space="0" w:color="auto"/>
      </w:divBdr>
    </w:div>
    <w:div w:id="230120401">
      <w:bodyDiv w:val="1"/>
      <w:marLeft w:val="0"/>
      <w:marRight w:val="0"/>
      <w:marTop w:val="0"/>
      <w:marBottom w:val="0"/>
      <w:divBdr>
        <w:top w:val="none" w:sz="0" w:space="0" w:color="auto"/>
        <w:left w:val="none" w:sz="0" w:space="0" w:color="auto"/>
        <w:bottom w:val="none" w:sz="0" w:space="0" w:color="auto"/>
        <w:right w:val="none" w:sz="0" w:space="0" w:color="auto"/>
      </w:divBdr>
    </w:div>
    <w:div w:id="230770151">
      <w:bodyDiv w:val="1"/>
      <w:marLeft w:val="0"/>
      <w:marRight w:val="0"/>
      <w:marTop w:val="0"/>
      <w:marBottom w:val="0"/>
      <w:divBdr>
        <w:top w:val="none" w:sz="0" w:space="0" w:color="auto"/>
        <w:left w:val="none" w:sz="0" w:space="0" w:color="auto"/>
        <w:bottom w:val="none" w:sz="0" w:space="0" w:color="auto"/>
        <w:right w:val="none" w:sz="0" w:space="0" w:color="auto"/>
      </w:divBdr>
    </w:div>
    <w:div w:id="230895001">
      <w:bodyDiv w:val="1"/>
      <w:marLeft w:val="0"/>
      <w:marRight w:val="0"/>
      <w:marTop w:val="0"/>
      <w:marBottom w:val="0"/>
      <w:divBdr>
        <w:top w:val="none" w:sz="0" w:space="0" w:color="auto"/>
        <w:left w:val="none" w:sz="0" w:space="0" w:color="auto"/>
        <w:bottom w:val="none" w:sz="0" w:space="0" w:color="auto"/>
        <w:right w:val="none" w:sz="0" w:space="0" w:color="auto"/>
      </w:divBdr>
    </w:div>
    <w:div w:id="231038836">
      <w:bodyDiv w:val="1"/>
      <w:marLeft w:val="0"/>
      <w:marRight w:val="0"/>
      <w:marTop w:val="0"/>
      <w:marBottom w:val="0"/>
      <w:divBdr>
        <w:top w:val="none" w:sz="0" w:space="0" w:color="auto"/>
        <w:left w:val="none" w:sz="0" w:space="0" w:color="auto"/>
        <w:bottom w:val="none" w:sz="0" w:space="0" w:color="auto"/>
        <w:right w:val="none" w:sz="0" w:space="0" w:color="auto"/>
      </w:divBdr>
    </w:div>
    <w:div w:id="231548164">
      <w:bodyDiv w:val="1"/>
      <w:marLeft w:val="0"/>
      <w:marRight w:val="0"/>
      <w:marTop w:val="0"/>
      <w:marBottom w:val="0"/>
      <w:divBdr>
        <w:top w:val="none" w:sz="0" w:space="0" w:color="auto"/>
        <w:left w:val="none" w:sz="0" w:space="0" w:color="auto"/>
        <w:bottom w:val="none" w:sz="0" w:space="0" w:color="auto"/>
        <w:right w:val="none" w:sz="0" w:space="0" w:color="auto"/>
      </w:divBdr>
    </w:div>
    <w:div w:id="237247124">
      <w:bodyDiv w:val="1"/>
      <w:marLeft w:val="0"/>
      <w:marRight w:val="0"/>
      <w:marTop w:val="0"/>
      <w:marBottom w:val="0"/>
      <w:divBdr>
        <w:top w:val="none" w:sz="0" w:space="0" w:color="auto"/>
        <w:left w:val="none" w:sz="0" w:space="0" w:color="auto"/>
        <w:bottom w:val="none" w:sz="0" w:space="0" w:color="auto"/>
        <w:right w:val="none" w:sz="0" w:space="0" w:color="auto"/>
      </w:divBdr>
    </w:div>
    <w:div w:id="237639688">
      <w:bodyDiv w:val="1"/>
      <w:marLeft w:val="0"/>
      <w:marRight w:val="0"/>
      <w:marTop w:val="0"/>
      <w:marBottom w:val="0"/>
      <w:divBdr>
        <w:top w:val="none" w:sz="0" w:space="0" w:color="auto"/>
        <w:left w:val="none" w:sz="0" w:space="0" w:color="auto"/>
        <w:bottom w:val="none" w:sz="0" w:space="0" w:color="auto"/>
        <w:right w:val="none" w:sz="0" w:space="0" w:color="auto"/>
      </w:divBdr>
    </w:div>
    <w:div w:id="249974517">
      <w:bodyDiv w:val="1"/>
      <w:marLeft w:val="0"/>
      <w:marRight w:val="0"/>
      <w:marTop w:val="0"/>
      <w:marBottom w:val="0"/>
      <w:divBdr>
        <w:top w:val="none" w:sz="0" w:space="0" w:color="auto"/>
        <w:left w:val="none" w:sz="0" w:space="0" w:color="auto"/>
        <w:bottom w:val="none" w:sz="0" w:space="0" w:color="auto"/>
        <w:right w:val="none" w:sz="0" w:space="0" w:color="auto"/>
      </w:divBdr>
    </w:div>
    <w:div w:id="253512658">
      <w:bodyDiv w:val="1"/>
      <w:marLeft w:val="0"/>
      <w:marRight w:val="0"/>
      <w:marTop w:val="0"/>
      <w:marBottom w:val="0"/>
      <w:divBdr>
        <w:top w:val="none" w:sz="0" w:space="0" w:color="auto"/>
        <w:left w:val="none" w:sz="0" w:space="0" w:color="auto"/>
        <w:bottom w:val="none" w:sz="0" w:space="0" w:color="auto"/>
        <w:right w:val="none" w:sz="0" w:space="0" w:color="auto"/>
      </w:divBdr>
    </w:div>
    <w:div w:id="260796957">
      <w:bodyDiv w:val="1"/>
      <w:marLeft w:val="0"/>
      <w:marRight w:val="0"/>
      <w:marTop w:val="0"/>
      <w:marBottom w:val="0"/>
      <w:divBdr>
        <w:top w:val="none" w:sz="0" w:space="0" w:color="auto"/>
        <w:left w:val="none" w:sz="0" w:space="0" w:color="auto"/>
        <w:bottom w:val="none" w:sz="0" w:space="0" w:color="auto"/>
        <w:right w:val="none" w:sz="0" w:space="0" w:color="auto"/>
      </w:divBdr>
    </w:div>
    <w:div w:id="263147612">
      <w:bodyDiv w:val="1"/>
      <w:marLeft w:val="0"/>
      <w:marRight w:val="0"/>
      <w:marTop w:val="0"/>
      <w:marBottom w:val="0"/>
      <w:divBdr>
        <w:top w:val="none" w:sz="0" w:space="0" w:color="auto"/>
        <w:left w:val="none" w:sz="0" w:space="0" w:color="auto"/>
        <w:bottom w:val="none" w:sz="0" w:space="0" w:color="auto"/>
        <w:right w:val="none" w:sz="0" w:space="0" w:color="auto"/>
      </w:divBdr>
    </w:div>
    <w:div w:id="267546368">
      <w:bodyDiv w:val="1"/>
      <w:marLeft w:val="0"/>
      <w:marRight w:val="0"/>
      <w:marTop w:val="0"/>
      <w:marBottom w:val="0"/>
      <w:divBdr>
        <w:top w:val="none" w:sz="0" w:space="0" w:color="auto"/>
        <w:left w:val="none" w:sz="0" w:space="0" w:color="auto"/>
        <w:bottom w:val="none" w:sz="0" w:space="0" w:color="auto"/>
        <w:right w:val="none" w:sz="0" w:space="0" w:color="auto"/>
      </w:divBdr>
    </w:div>
    <w:div w:id="268859826">
      <w:bodyDiv w:val="1"/>
      <w:marLeft w:val="0"/>
      <w:marRight w:val="0"/>
      <w:marTop w:val="0"/>
      <w:marBottom w:val="0"/>
      <w:divBdr>
        <w:top w:val="none" w:sz="0" w:space="0" w:color="auto"/>
        <w:left w:val="none" w:sz="0" w:space="0" w:color="auto"/>
        <w:bottom w:val="none" w:sz="0" w:space="0" w:color="auto"/>
        <w:right w:val="none" w:sz="0" w:space="0" w:color="auto"/>
      </w:divBdr>
    </w:div>
    <w:div w:id="280454603">
      <w:bodyDiv w:val="1"/>
      <w:marLeft w:val="0"/>
      <w:marRight w:val="0"/>
      <w:marTop w:val="0"/>
      <w:marBottom w:val="0"/>
      <w:divBdr>
        <w:top w:val="none" w:sz="0" w:space="0" w:color="auto"/>
        <w:left w:val="none" w:sz="0" w:space="0" w:color="auto"/>
        <w:bottom w:val="none" w:sz="0" w:space="0" w:color="auto"/>
        <w:right w:val="none" w:sz="0" w:space="0" w:color="auto"/>
      </w:divBdr>
    </w:div>
    <w:div w:id="284895174">
      <w:bodyDiv w:val="1"/>
      <w:marLeft w:val="0"/>
      <w:marRight w:val="0"/>
      <w:marTop w:val="0"/>
      <w:marBottom w:val="0"/>
      <w:divBdr>
        <w:top w:val="none" w:sz="0" w:space="0" w:color="auto"/>
        <w:left w:val="none" w:sz="0" w:space="0" w:color="auto"/>
        <w:bottom w:val="none" w:sz="0" w:space="0" w:color="auto"/>
        <w:right w:val="none" w:sz="0" w:space="0" w:color="auto"/>
      </w:divBdr>
    </w:div>
    <w:div w:id="285428494">
      <w:bodyDiv w:val="1"/>
      <w:marLeft w:val="0"/>
      <w:marRight w:val="0"/>
      <w:marTop w:val="0"/>
      <w:marBottom w:val="0"/>
      <w:divBdr>
        <w:top w:val="none" w:sz="0" w:space="0" w:color="auto"/>
        <w:left w:val="none" w:sz="0" w:space="0" w:color="auto"/>
        <w:bottom w:val="none" w:sz="0" w:space="0" w:color="auto"/>
        <w:right w:val="none" w:sz="0" w:space="0" w:color="auto"/>
      </w:divBdr>
    </w:div>
    <w:div w:id="289937591">
      <w:bodyDiv w:val="1"/>
      <w:marLeft w:val="0"/>
      <w:marRight w:val="0"/>
      <w:marTop w:val="0"/>
      <w:marBottom w:val="0"/>
      <w:divBdr>
        <w:top w:val="none" w:sz="0" w:space="0" w:color="auto"/>
        <w:left w:val="none" w:sz="0" w:space="0" w:color="auto"/>
        <w:bottom w:val="none" w:sz="0" w:space="0" w:color="auto"/>
        <w:right w:val="none" w:sz="0" w:space="0" w:color="auto"/>
      </w:divBdr>
    </w:div>
    <w:div w:id="293484315">
      <w:bodyDiv w:val="1"/>
      <w:marLeft w:val="0"/>
      <w:marRight w:val="0"/>
      <w:marTop w:val="0"/>
      <w:marBottom w:val="0"/>
      <w:divBdr>
        <w:top w:val="none" w:sz="0" w:space="0" w:color="auto"/>
        <w:left w:val="none" w:sz="0" w:space="0" w:color="auto"/>
        <w:bottom w:val="none" w:sz="0" w:space="0" w:color="auto"/>
        <w:right w:val="none" w:sz="0" w:space="0" w:color="auto"/>
      </w:divBdr>
    </w:div>
    <w:div w:id="308022178">
      <w:bodyDiv w:val="1"/>
      <w:marLeft w:val="0"/>
      <w:marRight w:val="0"/>
      <w:marTop w:val="0"/>
      <w:marBottom w:val="0"/>
      <w:divBdr>
        <w:top w:val="none" w:sz="0" w:space="0" w:color="auto"/>
        <w:left w:val="none" w:sz="0" w:space="0" w:color="auto"/>
        <w:bottom w:val="none" w:sz="0" w:space="0" w:color="auto"/>
        <w:right w:val="none" w:sz="0" w:space="0" w:color="auto"/>
      </w:divBdr>
    </w:div>
    <w:div w:id="308636371">
      <w:bodyDiv w:val="1"/>
      <w:marLeft w:val="0"/>
      <w:marRight w:val="0"/>
      <w:marTop w:val="0"/>
      <w:marBottom w:val="0"/>
      <w:divBdr>
        <w:top w:val="none" w:sz="0" w:space="0" w:color="auto"/>
        <w:left w:val="none" w:sz="0" w:space="0" w:color="auto"/>
        <w:bottom w:val="none" w:sz="0" w:space="0" w:color="auto"/>
        <w:right w:val="none" w:sz="0" w:space="0" w:color="auto"/>
      </w:divBdr>
    </w:div>
    <w:div w:id="309410483">
      <w:bodyDiv w:val="1"/>
      <w:marLeft w:val="0"/>
      <w:marRight w:val="0"/>
      <w:marTop w:val="0"/>
      <w:marBottom w:val="0"/>
      <w:divBdr>
        <w:top w:val="none" w:sz="0" w:space="0" w:color="auto"/>
        <w:left w:val="none" w:sz="0" w:space="0" w:color="auto"/>
        <w:bottom w:val="none" w:sz="0" w:space="0" w:color="auto"/>
        <w:right w:val="none" w:sz="0" w:space="0" w:color="auto"/>
      </w:divBdr>
    </w:div>
    <w:div w:id="313923328">
      <w:bodyDiv w:val="1"/>
      <w:marLeft w:val="0"/>
      <w:marRight w:val="0"/>
      <w:marTop w:val="0"/>
      <w:marBottom w:val="0"/>
      <w:divBdr>
        <w:top w:val="none" w:sz="0" w:space="0" w:color="auto"/>
        <w:left w:val="none" w:sz="0" w:space="0" w:color="auto"/>
        <w:bottom w:val="none" w:sz="0" w:space="0" w:color="auto"/>
        <w:right w:val="none" w:sz="0" w:space="0" w:color="auto"/>
      </w:divBdr>
    </w:div>
    <w:div w:id="318772258">
      <w:bodyDiv w:val="1"/>
      <w:marLeft w:val="0"/>
      <w:marRight w:val="0"/>
      <w:marTop w:val="0"/>
      <w:marBottom w:val="0"/>
      <w:divBdr>
        <w:top w:val="none" w:sz="0" w:space="0" w:color="auto"/>
        <w:left w:val="none" w:sz="0" w:space="0" w:color="auto"/>
        <w:bottom w:val="none" w:sz="0" w:space="0" w:color="auto"/>
        <w:right w:val="none" w:sz="0" w:space="0" w:color="auto"/>
      </w:divBdr>
    </w:div>
    <w:div w:id="325406752">
      <w:bodyDiv w:val="1"/>
      <w:marLeft w:val="0"/>
      <w:marRight w:val="0"/>
      <w:marTop w:val="0"/>
      <w:marBottom w:val="0"/>
      <w:divBdr>
        <w:top w:val="none" w:sz="0" w:space="0" w:color="auto"/>
        <w:left w:val="none" w:sz="0" w:space="0" w:color="auto"/>
        <w:bottom w:val="none" w:sz="0" w:space="0" w:color="auto"/>
        <w:right w:val="none" w:sz="0" w:space="0" w:color="auto"/>
      </w:divBdr>
    </w:div>
    <w:div w:id="331496975">
      <w:bodyDiv w:val="1"/>
      <w:marLeft w:val="0"/>
      <w:marRight w:val="0"/>
      <w:marTop w:val="0"/>
      <w:marBottom w:val="0"/>
      <w:divBdr>
        <w:top w:val="none" w:sz="0" w:space="0" w:color="auto"/>
        <w:left w:val="none" w:sz="0" w:space="0" w:color="auto"/>
        <w:bottom w:val="none" w:sz="0" w:space="0" w:color="auto"/>
        <w:right w:val="none" w:sz="0" w:space="0" w:color="auto"/>
      </w:divBdr>
    </w:div>
    <w:div w:id="348332774">
      <w:bodyDiv w:val="1"/>
      <w:marLeft w:val="0"/>
      <w:marRight w:val="0"/>
      <w:marTop w:val="0"/>
      <w:marBottom w:val="0"/>
      <w:divBdr>
        <w:top w:val="none" w:sz="0" w:space="0" w:color="auto"/>
        <w:left w:val="none" w:sz="0" w:space="0" w:color="auto"/>
        <w:bottom w:val="none" w:sz="0" w:space="0" w:color="auto"/>
        <w:right w:val="none" w:sz="0" w:space="0" w:color="auto"/>
      </w:divBdr>
    </w:div>
    <w:div w:id="355737073">
      <w:bodyDiv w:val="1"/>
      <w:marLeft w:val="0"/>
      <w:marRight w:val="0"/>
      <w:marTop w:val="0"/>
      <w:marBottom w:val="0"/>
      <w:divBdr>
        <w:top w:val="none" w:sz="0" w:space="0" w:color="auto"/>
        <w:left w:val="none" w:sz="0" w:space="0" w:color="auto"/>
        <w:bottom w:val="none" w:sz="0" w:space="0" w:color="auto"/>
        <w:right w:val="none" w:sz="0" w:space="0" w:color="auto"/>
      </w:divBdr>
    </w:div>
    <w:div w:id="358744821">
      <w:bodyDiv w:val="1"/>
      <w:marLeft w:val="0"/>
      <w:marRight w:val="0"/>
      <w:marTop w:val="0"/>
      <w:marBottom w:val="0"/>
      <w:divBdr>
        <w:top w:val="none" w:sz="0" w:space="0" w:color="auto"/>
        <w:left w:val="none" w:sz="0" w:space="0" w:color="auto"/>
        <w:bottom w:val="none" w:sz="0" w:space="0" w:color="auto"/>
        <w:right w:val="none" w:sz="0" w:space="0" w:color="auto"/>
      </w:divBdr>
    </w:div>
    <w:div w:id="359665942">
      <w:bodyDiv w:val="1"/>
      <w:marLeft w:val="0"/>
      <w:marRight w:val="0"/>
      <w:marTop w:val="0"/>
      <w:marBottom w:val="0"/>
      <w:divBdr>
        <w:top w:val="none" w:sz="0" w:space="0" w:color="auto"/>
        <w:left w:val="none" w:sz="0" w:space="0" w:color="auto"/>
        <w:bottom w:val="none" w:sz="0" w:space="0" w:color="auto"/>
        <w:right w:val="none" w:sz="0" w:space="0" w:color="auto"/>
      </w:divBdr>
    </w:div>
    <w:div w:id="368919899">
      <w:bodyDiv w:val="1"/>
      <w:marLeft w:val="0"/>
      <w:marRight w:val="0"/>
      <w:marTop w:val="0"/>
      <w:marBottom w:val="0"/>
      <w:divBdr>
        <w:top w:val="none" w:sz="0" w:space="0" w:color="auto"/>
        <w:left w:val="none" w:sz="0" w:space="0" w:color="auto"/>
        <w:bottom w:val="none" w:sz="0" w:space="0" w:color="auto"/>
        <w:right w:val="none" w:sz="0" w:space="0" w:color="auto"/>
      </w:divBdr>
    </w:div>
    <w:div w:id="377778623">
      <w:bodyDiv w:val="1"/>
      <w:marLeft w:val="0"/>
      <w:marRight w:val="0"/>
      <w:marTop w:val="0"/>
      <w:marBottom w:val="0"/>
      <w:divBdr>
        <w:top w:val="none" w:sz="0" w:space="0" w:color="auto"/>
        <w:left w:val="none" w:sz="0" w:space="0" w:color="auto"/>
        <w:bottom w:val="none" w:sz="0" w:space="0" w:color="auto"/>
        <w:right w:val="none" w:sz="0" w:space="0" w:color="auto"/>
      </w:divBdr>
    </w:div>
    <w:div w:id="380440682">
      <w:bodyDiv w:val="1"/>
      <w:marLeft w:val="0"/>
      <w:marRight w:val="0"/>
      <w:marTop w:val="0"/>
      <w:marBottom w:val="0"/>
      <w:divBdr>
        <w:top w:val="none" w:sz="0" w:space="0" w:color="auto"/>
        <w:left w:val="none" w:sz="0" w:space="0" w:color="auto"/>
        <w:bottom w:val="none" w:sz="0" w:space="0" w:color="auto"/>
        <w:right w:val="none" w:sz="0" w:space="0" w:color="auto"/>
      </w:divBdr>
    </w:div>
    <w:div w:id="388841221">
      <w:bodyDiv w:val="1"/>
      <w:marLeft w:val="0"/>
      <w:marRight w:val="0"/>
      <w:marTop w:val="0"/>
      <w:marBottom w:val="0"/>
      <w:divBdr>
        <w:top w:val="none" w:sz="0" w:space="0" w:color="auto"/>
        <w:left w:val="none" w:sz="0" w:space="0" w:color="auto"/>
        <w:bottom w:val="none" w:sz="0" w:space="0" w:color="auto"/>
        <w:right w:val="none" w:sz="0" w:space="0" w:color="auto"/>
      </w:divBdr>
    </w:div>
    <w:div w:id="390737369">
      <w:bodyDiv w:val="1"/>
      <w:marLeft w:val="0"/>
      <w:marRight w:val="0"/>
      <w:marTop w:val="0"/>
      <w:marBottom w:val="0"/>
      <w:divBdr>
        <w:top w:val="none" w:sz="0" w:space="0" w:color="auto"/>
        <w:left w:val="none" w:sz="0" w:space="0" w:color="auto"/>
        <w:bottom w:val="none" w:sz="0" w:space="0" w:color="auto"/>
        <w:right w:val="none" w:sz="0" w:space="0" w:color="auto"/>
      </w:divBdr>
    </w:div>
    <w:div w:id="392243051">
      <w:bodyDiv w:val="1"/>
      <w:marLeft w:val="0"/>
      <w:marRight w:val="0"/>
      <w:marTop w:val="0"/>
      <w:marBottom w:val="0"/>
      <w:divBdr>
        <w:top w:val="none" w:sz="0" w:space="0" w:color="auto"/>
        <w:left w:val="none" w:sz="0" w:space="0" w:color="auto"/>
        <w:bottom w:val="none" w:sz="0" w:space="0" w:color="auto"/>
        <w:right w:val="none" w:sz="0" w:space="0" w:color="auto"/>
      </w:divBdr>
    </w:div>
    <w:div w:id="399600045">
      <w:bodyDiv w:val="1"/>
      <w:marLeft w:val="0"/>
      <w:marRight w:val="0"/>
      <w:marTop w:val="0"/>
      <w:marBottom w:val="0"/>
      <w:divBdr>
        <w:top w:val="none" w:sz="0" w:space="0" w:color="auto"/>
        <w:left w:val="none" w:sz="0" w:space="0" w:color="auto"/>
        <w:bottom w:val="none" w:sz="0" w:space="0" w:color="auto"/>
        <w:right w:val="none" w:sz="0" w:space="0" w:color="auto"/>
      </w:divBdr>
    </w:div>
    <w:div w:id="406151337">
      <w:bodyDiv w:val="1"/>
      <w:marLeft w:val="0"/>
      <w:marRight w:val="0"/>
      <w:marTop w:val="0"/>
      <w:marBottom w:val="0"/>
      <w:divBdr>
        <w:top w:val="none" w:sz="0" w:space="0" w:color="auto"/>
        <w:left w:val="none" w:sz="0" w:space="0" w:color="auto"/>
        <w:bottom w:val="none" w:sz="0" w:space="0" w:color="auto"/>
        <w:right w:val="none" w:sz="0" w:space="0" w:color="auto"/>
      </w:divBdr>
    </w:div>
    <w:div w:id="420179160">
      <w:bodyDiv w:val="1"/>
      <w:marLeft w:val="0"/>
      <w:marRight w:val="0"/>
      <w:marTop w:val="0"/>
      <w:marBottom w:val="0"/>
      <w:divBdr>
        <w:top w:val="none" w:sz="0" w:space="0" w:color="auto"/>
        <w:left w:val="none" w:sz="0" w:space="0" w:color="auto"/>
        <w:bottom w:val="none" w:sz="0" w:space="0" w:color="auto"/>
        <w:right w:val="none" w:sz="0" w:space="0" w:color="auto"/>
      </w:divBdr>
    </w:div>
    <w:div w:id="431703727">
      <w:bodyDiv w:val="1"/>
      <w:marLeft w:val="0"/>
      <w:marRight w:val="0"/>
      <w:marTop w:val="0"/>
      <w:marBottom w:val="0"/>
      <w:divBdr>
        <w:top w:val="none" w:sz="0" w:space="0" w:color="auto"/>
        <w:left w:val="none" w:sz="0" w:space="0" w:color="auto"/>
        <w:bottom w:val="none" w:sz="0" w:space="0" w:color="auto"/>
        <w:right w:val="none" w:sz="0" w:space="0" w:color="auto"/>
      </w:divBdr>
    </w:div>
    <w:div w:id="432173101">
      <w:bodyDiv w:val="1"/>
      <w:marLeft w:val="0"/>
      <w:marRight w:val="0"/>
      <w:marTop w:val="0"/>
      <w:marBottom w:val="0"/>
      <w:divBdr>
        <w:top w:val="none" w:sz="0" w:space="0" w:color="auto"/>
        <w:left w:val="none" w:sz="0" w:space="0" w:color="auto"/>
        <w:bottom w:val="none" w:sz="0" w:space="0" w:color="auto"/>
        <w:right w:val="none" w:sz="0" w:space="0" w:color="auto"/>
      </w:divBdr>
    </w:div>
    <w:div w:id="432627736">
      <w:bodyDiv w:val="1"/>
      <w:marLeft w:val="0"/>
      <w:marRight w:val="0"/>
      <w:marTop w:val="0"/>
      <w:marBottom w:val="0"/>
      <w:divBdr>
        <w:top w:val="none" w:sz="0" w:space="0" w:color="auto"/>
        <w:left w:val="none" w:sz="0" w:space="0" w:color="auto"/>
        <w:bottom w:val="none" w:sz="0" w:space="0" w:color="auto"/>
        <w:right w:val="none" w:sz="0" w:space="0" w:color="auto"/>
      </w:divBdr>
    </w:div>
    <w:div w:id="434443823">
      <w:bodyDiv w:val="1"/>
      <w:marLeft w:val="0"/>
      <w:marRight w:val="0"/>
      <w:marTop w:val="0"/>
      <w:marBottom w:val="0"/>
      <w:divBdr>
        <w:top w:val="none" w:sz="0" w:space="0" w:color="auto"/>
        <w:left w:val="none" w:sz="0" w:space="0" w:color="auto"/>
        <w:bottom w:val="none" w:sz="0" w:space="0" w:color="auto"/>
        <w:right w:val="none" w:sz="0" w:space="0" w:color="auto"/>
      </w:divBdr>
    </w:div>
    <w:div w:id="435294360">
      <w:bodyDiv w:val="1"/>
      <w:marLeft w:val="0"/>
      <w:marRight w:val="0"/>
      <w:marTop w:val="0"/>
      <w:marBottom w:val="0"/>
      <w:divBdr>
        <w:top w:val="none" w:sz="0" w:space="0" w:color="auto"/>
        <w:left w:val="none" w:sz="0" w:space="0" w:color="auto"/>
        <w:bottom w:val="none" w:sz="0" w:space="0" w:color="auto"/>
        <w:right w:val="none" w:sz="0" w:space="0" w:color="auto"/>
      </w:divBdr>
    </w:div>
    <w:div w:id="436102872">
      <w:bodyDiv w:val="1"/>
      <w:marLeft w:val="0"/>
      <w:marRight w:val="0"/>
      <w:marTop w:val="0"/>
      <w:marBottom w:val="0"/>
      <w:divBdr>
        <w:top w:val="none" w:sz="0" w:space="0" w:color="auto"/>
        <w:left w:val="none" w:sz="0" w:space="0" w:color="auto"/>
        <w:bottom w:val="none" w:sz="0" w:space="0" w:color="auto"/>
        <w:right w:val="none" w:sz="0" w:space="0" w:color="auto"/>
      </w:divBdr>
    </w:div>
    <w:div w:id="446586316">
      <w:bodyDiv w:val="1"/>
      <w:marLeft w:val="0"/>
      <w:marRight w:val="0"/>
      <w:marTop w:val="0"/>
      <w:marBottom w:val="0"/>
      <w:divBdr>
        <w:top w:val="none" w:sz="0" w:space="0" w:color="auto"/>
        <w:left w:val="none" w:sz="0" w:space="0" w:color="auto"/>
        <w:bottom w:val="none" w:sz="0" w:space="0" w:color="auto"/>
        <w:right w:val="none" w:sz="0" w:space="0" w:color="auto"/>
      </w:divBdr>
    </w:div>
    <w:div w:id="450133859">
      <w:bodyDiv w:val="1"/>
      <w:marLeft w:val="0"/>
      <w:marRight w:val="0"/>
      <w:marTop w:val="0"/>
      <w:marBottom w:val="0"/>
      <w:divBdr>
        <w:top w:val="none" w:sz="0" w:space="0" w:color="auto"/>
        <w:left w:val="none" w:sz="0" w:space="0" w:color="auto"/>
        <w:bottom w:val="none" w:sz="0" w:space="0" w:color="auto"/>
        <w:right w:val="none" w:sz="0" w:space="0" w:color="auto"/>
      </w:divBdr>
    </w:div>
    <w:div w:id="454062321">
      <w:bodyDiv w:val="1"/>
      <w:marLeft w:val="0"/>
      <w:marRight w:val="0"/>
      <w:marTop w:val="0"/>
      <w:marBottom w:val="0"/>
      <w:divBdr>
        <w:top w:val="none" w:sz="0" w:space="0" w:color="auto"/>
        <w:left w:val="none" w:sz="0" w:space="0" w:color="auto"/>
        <w:bottom w:val="none" w:sz="0" w:space="0" w:color="auto"/>
        <w:right w:val="none" w:sz="0" w:space="0" w:color="auto"/>
      </w:divBdr>
    </w:div>
    <w:div w:id="469518294">
      <w:bodyDiv w:val="1"/>
      <w:marLeft w:val="0"/>
      <w:marRight w:val="0"/>
      <w:marTop w:val="0"/>
      <w:marBottom w:val="0"/>
      <w:divBdr>
        <w:top w:val="none" w:sz="0" w:space="0" w:color="auto"/>
        <w:left w:val="none" w:sz="0" w:space="0" w:color="auto"/>
        <w:bottom w:val="none" w:sz="0" w:space="0" w:color="auto"/>
        <w:right w:val="none" w:sz="0" w:space="0" w:color="auto"/>
      </w:divBdr>
    </w:div>
    <w:div w:id="472060356">
      <w:bodyDiv w:val="1"/>
      <w:marLeft w:val="0"/>
      <w:marRight w:val="0"/>
      <w:marTop w:val="0"/>
      <w:marBottom w:val="0"/>
      <w:divBdr>
        <w:top w:val="none" w:sz="0" w:space="0" w:color="auto"/>
        <w:left w:val="none" w:sz="0" w:space="0" w:color="auto"/>
        <w:bottom w:val="none" w:sz="0" w:space="0" w:color="auto"/>
        <w:right w:val="none" w:sz="0" w:space="0" w:color="auto"/>
      </w:divBdr>
    </w:div>
    <w:div w:id="473722201">
      <w:bodyDiv w:val="1"/>
      <w:marLeft w:val="0"/>
      <w:marRight w:val="0"/>
      <w:marTop w:val="0"/>
      <w:marBottom w:val="0"/>
      <w:divBdr>
        <w:top w:val="none" w:sz="0" w:space="0" w:color="auto"/>
        <w:left w:val="none" w:sz="0" w:space="0" w:color="auto"/>
        <w:bottom w:val="none" w:sz="0" w:space="0" w:color="auto"/>
        <w:right w:val="none" w:sz="0" w:space="0" w:color="auto"/>
      </w:divBdr>
    </w:div>
    <w:div w:id="479615737">
      <w:bodyDiv w:val="1"/>
      <w:marLeft w:val="0"/>
      <w:marRight w:val="0"/>
      <w:marTop w:val="0"/>
      <w:marBottom w:val="0"/>
      <w:divBdr>
        <w:top w:val="none" w:sz="0" w:space="0" w:color="auto"/>
        <w:left w:val="none" w:sz="0" w:space="0" w:color="auto"/>
        <w:bottom w:val="none" w:sz="0" w:space="0" w:color="auto"/>
        <w:right w:val="none" w:sz="0" w:space="0" w:color="auto"/>
      </w:divBdr>
    </w:div>
    <w:div w:id="488400674">
      <w:bodyDiv w:val="1"/>
      <w:marLeft w:val="0"/>
      <w:marRight w:val="0"/>
      <w:marTop w:val="0"/>
      <w:marBottom w:val="0"/>
      <w:divBdr>
        <w:top w:val="none" w:sz="0" w:space="0" w:color="auto"/>
        <w:left w:val="none" w:sz="0" w:space="0" w:color="auto"/>
        <w:bottom w:val="none" w:sz="0" w:space="0" w:color="auto"/>
        <w:right w:val="none" w:sz="0" w:space="0" w:color="auto"/>
      </w:divBdr>
    </w:div>
    <w:div w:id="494029126">
      <w:bodyDiv w:val="1"/>
      <w:marLeft w:val="0"/>
      <w:marRight w:val="0"/>
      <w:marTop w:val="0"/>
      <w:marBottom w:val="0"/>
      <w:divBdr>
        <w:top w:val="none" w:sz="0" w:space="0" w:color="auto"/>
        <w:left w:val="none" w:sz="0" w:space="0" w:color="auto"/>
        <w:bottom w:val="none" w:sz="0" w:space="0" w:color="auto"/>
        <w:right w:val="none" w:sz="0" w:space="0" w:color="auto"/>
      </w:divBdr>
    </w:div>
    <w:div w:id="503977669">
      <w:bodyDiv w:val="1"/>
      <w:marLeft w:val="0"/>
      <w:marRight w:val="0"/>
      <w:marTop w:val="0"/>
      <w:marBottom w:val="0"/>
      <w:divBdr>
        <w:top w:val="none" w:sz="0" w:space="0" w:color="auto"/>
        <w:left w:val="none" w:sz="0" w:space="0" w:color="auto"/>
        <w:bottom w:val="none" w:sz="0" w:space="0" w:color="auto"/>
        <w:right w:val="none" w:sz="0" w:space="0" w:color="auto"/>
      </w:divBdr>
    </w:div>
    <w:div w:id="514809812">
      <w:bodyDiv w:val="1"/>
      <w:marLeft w:val="0"/>
      <w:marRight w:val="0"/>
      <w:marTop w:val="0"/>
      <w:marBottom w:val="0"/>
      <w:divBdr>
        <w:top w:val="none" w:sz="0" w:space="0" w:color="auto"/>
        <w:left w:val="none" w:sz="0" w:space="0" w:color="auto"/>
        <w:bottom w:val="none" w:sz="0" w:space="0" w:color="auto"/>
        <w:right w:val="none" w:sz="0" w:space="0" w:color="auto"/>
      </w:divBdr>
    </w:div>
    <w:div w:id="537281300">
      <w:bodyDiv w:val="1"/>
      <w:marLeft w:val="0"/>
      <w:marRight w:val="0"/>
      <w:marTop w:val="0"/>
      <w:marBottom w:val="0"/>
      <w:divBdr>
        <w:top w:val="none" w:sz="0" w:space="0" w:color="auto"/>
        <w:left w:val="none" w:sz="0" w:space="0" w:color="auto"/>
        <w:bottom w:val="none" w:sz="0" w:space="0" w:color="auto"/>
        <w:right w:val="none" w:sz="0" w:space="0" w:color="auto"/>
      </w:divBdr>
    </w:div>
    <w:div w:id="547304713">
      <w:bodyDiv w:val="1"/>
      <w:marLeft w:val="0"/>
      <w:marRight w:val="0"/>
      <w:marTop w:val="0"/>
      <w:marBottom w:val="0"/>
      <w:divBdr>
        <w:top w:val="none" w:sz="0" w:space="0" w:color="auto"/>
        <w:left w:val="none" w:sz="0" w:space="0" w:color="auto"/>
        <w:bottom w:val="none" w:sz="0" w:space="0" w:color="auto"/>
        <w:right w:val="none" w:sz="0" w:space="0" w:color="auto"/>
      </w:divBdr>
    </w:div>
    <w:div w:id="551960788">
      <w:bodyDiv w:val="1"/>
      <w:marLeft w:val="0"/>
      <w:marRight w:val="0"/>
      <w:marTop w:val="0"/>
      <w:marBottom w:val="0"/>
      <w:divBdr>
        <w:top w:val="none" w:sz="0" w:space="0" w:color="auto"/>
        <w:left w:val="none" w:sz="0" w:space="0" w:color="auto"/>
        <w:bottom w:val="none" w:sz="0" w:space="0" w:color="auto"/>
        <w:right w:val="none" w:sz="0" w:space="0" w:color="auto"/>
      </w:divBdr>
    </w:div>
    <w:div w:id="555245266">
      <w:bodyDiv w:val="1"/>
      <w:marLeft w:val="0"/>
      <w:marRight w:val="0"/>
      <w:marTop w:val="0"/>
      <w:marBottom w:val="0"/>
      <w:divBdr>
        <w:top w:val="none" w:sz="0" w:space="0" w:color="auto"/>
        <w:left w:val="none" w:sz="0" w:space="0" w:color="auto"/>
        <w:bottom w:val="none" w:sz="0" w:space="0" w:color="auto"/>
        <w:right w:val="none" w:sz="0" w:space="0" w:color="auto"/>
      </w:divBdr>
    </w:div>
    <w:div w:id="568342904">
      <w:bodyDiv w:val="1"/>
      <w:marLeft w:val="0"/>
      <w:marRight w:val="0"/>
      <w:marTop w:val="0"/>
      <w:marBottom w:val="0"/>
      <w:divBdr>
        <w:top w:val="none" w:sz="0" w:space="0" w:color="auto"/>
        <w:left w:val="none" w:sz="0" w:space="0" w:color="auto"/>
        <w:bottom w:val="none" w:sz="0" w:space="0" w:color="auto"/>
        <w:right w:val="none" w:sz="0" w:space="0" w:color="auto"/>
      </w:divBdr>
    </w:div>
    <w:div w:id="574709660">
      <w:bodyDiv w:val="1"/>
      <w:marLeft w:val="0"/>
      <w:marRight w:val="0"/>
      <w:marTop w:val="0"/>
      <w:marBottom w:val="0"/>
      <w:divBdr>
        <w:top w:val="none" w:sz="0" w:space="0" w:color="auto"/>
        <w:left w:val="none" w:sz="0" w:space="0" w:color="auto"/>
        <w:bottom w:val="none" w:sz="0" w:space="0" w:color="auto"/>
        <w:right w:val="none" w:sz="0" w:space="0" w:color="auto"/>
      </w:divBdr>
    </w:div>
    <w:div w:id="575751577">
      <w:bodyDiv w:val="1"/>
      <w:marLeft w:val="0"/>
      <w:marRight w:val="0"/>
      <w:marTop w:val="0"/>
      <w:marBottom w:val="0"/>
      <w:divBdr>
        <w:top w:val="none" w:sz="0" w:space="0" w:color="auto"/>
        <w:left w:val="none" w:sz="0" w:space="0" w:color="auto"/>
        <w:bottom w:val="none" w:sz="0" w:space="0" w:color="auto"/>
        <w:right w:val="none" w:sz="0" w:space="0" w:color="auto"/>
      </w:divBdr>
    </w:div>
    <w:div w:id="578447000">
      <w:bodyDiv w:val="1"/>
      <w:marLeft w:val="0"/>
      <w:marRight w:val="0"/>
      <w:marTop w:val="0"/>
      <w:marBottom w:val="0"/>
      <w:divBdr>
        <w:top w:val="none" w:sz="0" w:space="0" w:color="auto"/>
        <w:left w:val="none" w:sz="0" w:space="0" w:color="auto"/>
        <w:bottom w:val="none" w:sz="0" w:space="0" w:color="auto"/>
        <w:right w:val="none" w:sz="0" w:space="0" w:color="auto"/>
      </w:divBdr>
    </w:div>
    <w:div w:id="580532655">
      <w:bodyDiv w:val="1"/>
      <w:marLeft w:val="0"/>
      <w:marRight w:val="0"/>
      <w:marTop w:val="0"/>
      <w:marBottom w:val="0"/>
      <w:divBdr>
        <w:top w:val="none" w:sz="0" w:space="0" w:color="auto"/>
        <w:left w:val="none" w:sz="0" w:space="0" w:color="auto"/>
        <w:bottom w:val="none" w:sz="0" w:space="0" w:color="auto"/>
        <w:right w:val="none" w:sz="0" w:space="0" w:color="auto"/>
      </w:divBdr>
    </w:div>
    <w:div w:id="590163558">
      <w:bodyDiv w:val="1"/>
      <w:marLeft w:val="0"/>
      <w:marRight w:val="0"/>
      <w:marTop w:val="0"/>
      <w:marBottom w:val="0"/>
      <w:divBdr>
        <w:top w:val="none" w:sz="0" w:space="0" w:color="auto"/>
        <w:left w:val="none" w:sz="0" w:space="0" w:color="auto"/>
        <w:bottom w:val="none" w:sz="0" w:space="0" w:color="auto"/>
        <w:right w:val="none" w:sz="0" w:space="0" w:color="auto"/>
      </w:divBdr>
    </w:div>
    <w:div w:id="592712259">
      <w:bodyDiv w:val="1"/>
      <w:marLeft w:val="0"/>
      <w:marRight w:val="0"/>
      <w:marTop w:val="0"/>
      <w:marBottom w:val="0"/>
      <w:divBdr>
        <w:top w:val="none" w:sz="0" w:space="0" w:color="auto"/>
        <w:left w:val="none" w:sz="0" w:space="0" w:color="auto"/>
        <w:bottom w:val="none" w:sz="0" w:space="0" w:color="auto"/>
        <w:right w:val="none" w:sz="0" w:space="0" w:color="auto"/>
      </w:divBdr>
    </w:div>
    <w:div w:id="599066110">
      <w:bodyDiv w:val="1"/>
      <w:marLeft w:val="0"/>
      <w:marRight w:val="0"/>
      <w:marTop w:val="0"/>
      <w:marBottom w:val="0"/>
      <w:divBdr>
        <w:top w:val="none" w:sz="0" w:space="0" w:color="auto"/>
        <w:left w:val="none" w:sz="0" w:space="0" w:color="auto"/>
        <w:bottom w:val="none" w:sz="0" w:space="0" w:color="auto"/>
        <w:right w:val="none" w:sz="0" w:space="0" w:color="auto"/>
      </w:divBdr>
    </w:div>
    <w:div w:id="605776209">
      <w:bodyDiv w:val="1"/>
      <w:marLeft w:val="0"/>
      <w:marRight w:val="0"/>
      <w:marTop w:val="0"/>
      <w:marBottom w:val="0"/>
      <w:divBdr>
        <w:top w:val="none" w:sz="0" w:space="0" w:color="auto"/>
        <w:left w:val="none" w:sz="0" w:space="0" w:color="auto"/>
        <w:bottom w:val="none" w:sz="0" w:space="0" w:color="auto"/>
        <w:right w:val="none" w:sz="0" w:space="0" w:color="auto"/>
      </w:divBdr>
    </w:div>
    <w:div w:id="613557826">
      <w:bodyDiv w:val="1"/>
      <w:marLeft w:val="0"/>
      <w:marRight w:val="0"/>
      <w:marTop w:val="0"/>
      <w:marBottom w:val="0"/>
      <w:divBdr>
        <w:top w:val="none" w:sz="0" w:space="0" w:color="auto"/>
        <w:left w:val="none" w:sz="0" w:space="0" w:color="auto"/>
        <w:bottom w:val="none" w:sz="0" w:space="0" w:color="auto"/>
        <w:right w:val="none" w:sz="0" w:space="0" w:color="auto"/>
      </w:divBdr>
    </w:div>
    <w:div w:id="616839180">
      <w:bodyDiv w:val="1"/>
      <w:marLeft w:val="0"/>
      <w:marRight w:val="0"/>
      <w:marTop w:val="0"/>
      <w:marBottom w:val="0"/>
      <w:divBdr>
        <w:top w:val="none" w:sz="0" w:space="0" w:color="auto"/>
        <w:left w:val="none" w:sz="0" w:space="0" w:color="auto"/>
        <w:bottom w:val="none" w:sz="0" w:space="0" w:color="auto"/>
        <w:right w:val="none" w:sz="0" w:space="0" w:color="auto"/>
      </w:divBdr>
    </w:div>
    <w:div w:id="619070557">
      <w:bodyDiv w:val="1"/>
      <w:marLeft w:val="0"/>
      <w:marRight w:val="0"/>
      <w:marTop w:val="0"/>
      <w:marBottom w:val="0"/>
      <w:divBdr>
        <w:top w:val="none" w:sz="0" w:space="0" w:color="auto"/>
        <w:left w:val="none" w:sz="0" w:space="0" w:color="auto"/>
        <w:bottom w:val="none" w:sz="0" w:space="0" w:color="auto"/>
        <w:right w:val="none" w:sz="0" w:space="0" w:color="auto"/>
      </w:divBdr>
    </w:div>
    <w:div w:id="622733233">
      <w:bodyDiv w:val="1"/>
      <w:marLeft w:val="0"/>
      <w:marRight w:val="0"/>
      <w:marTop w:val="0"/>
      <w:marBottom w:val="0"/>
      <w:divBdr>
        <w:top w:val="none" w:sz="0" w:space="0" w:color="auto"/>
        <w:left w:val="none" w:sz="0" w:space="0" w:color="auto"/>
        <w:bottom w:val="none" w:sz="0" w:space="0" w:color="auto"/>
        <w:right w:val="none" w:sz="0" w:space="0" w:color="auto"/>
      </w:divBdr>
    </w:div>
    <w:div w:id="627392627">
      <w:bodyDiv w:val="1"/>
      <w:marLeft w:val="0"/>
      <w:marRight w:val="0"/>
      <w:marTop w:val="0"/>
      <w:marBottom w:val="0"/>
      <w:divBdr>
        <w:top w:val="none" w:sz="0" w:space="0" w:color="auto"/>
        <w:left w:val="none" w:sz="0" w:space="0" w:color="auto"/>
        <w:bottom w:val="none" w:sz="0" w:space="0" w:color="auto"/>
        <w:right w:val="none" w:sz="0" w:space="0" w:color="auto"/>
      </w:divBdr>
    </w:div>
    <w:div w:id="628827602">
      <w:bodyDiv w:val="1"/>
      <w:marLeft w:val="0"/>
      <w:marRight w:val="0"/>
      <w:marTop w:val="0"/>
      <w:marBottom w:val="0"/>
      <w:divBdr>
        <w:top w:val="none" w:sz="0" w:space="0" w:color="auto"/>
        <w:left w:val="none" w:sz="0" w:space="0" w:color="auto"/>
        <w:bottom w:val="none" w:sz="0" w:space="0" w:color="auto"/>
        <w:right w:val="none" w:sz="0" w:space="0" w:color="auto"/>
      </w:divBdr>
    </w:div>
    <w:div w:id="633290607">
      <w:bodyDiv w:val="1"/>
      <w:marLeft w:val="0"/>
      <w:marRight w:val="0"/>
      <w:marTop w:val="0"/>
      <w:marBottom w:val="0"/>
      <w:divBdr>
        <w:top w:val="none" w:sz="0" w:space="0" w:color="auto"/>
        <w:left w:val="none" w:sz="0" w:space="0" w:color="auto"/>
        <w:bottom w:val="none" w:sz="0" w:space="0" w:color="auto"/>
        <w:right w:val="none" w:sz="0" w:space="0" w:color="auto"/>
      </w:divBdr>
    </w:div>
    <w:div w:id="639116652">
      <w:bodyDiv w:val="1"/>
      <w:marLeft w:val="0"/>
      <w:marRight w:val="0"/>
      <w:marTop w:val="0"/>
      <w:marBottom w:val="0"/>
      <w:divBdr>
        <w:top w:val="none" w:sz="0" w:space="0" w:color="auto"/>
        <w:left w:val="none" w:sz="0" w:space="0" w:color="auto"/>
        <w:bottom w:val="none" w:sz="0" w:space="0" w:color="auto"/>
        <w:right w:val="none" w:sz="0" w:space="0" w:color="auto"/>
      </w:divBdr>
    </w:div>
    <w:div w:id="658078189">
      <w:bodyDiv w:val="1"/>
      <w:marLeft w:val="0"/>
      <w:marRight w:val="0"/>
      <w:marTop w:val="0"/>
      <w:marBottom w:val="0"/>
      <w:divBdr>
        <w:top w:val="none" w:sz="0" w:space="0" w:color="auto"/>
        <w:left w:val="none" w:sz="0" w:space="0" w:color="auto"/>
        <w:bottom w:val="none" w:sz="0" w:space="0" w:color="auto"/>
        <w:right w:val="none" w:sz="0" w:space="0" w:color="auto"/>
      </w:divBdr>
    </w:div>
    <w:div w:id="659966038">
      <w:bodyDiv w:val="1"/>
      <w:marLeft w:val="0"/>
      <w:marRight w:val="0"/>
      <w:marTop w:val="0"/>
      <w:marBottom w:val="0"/>
      <w:divBdr>
        <w:top w:val="none" w:sz="0" w:space="0" w:color="auto"/>
        <w:left w:val="none" w:sz="0" w:space="0" w:color="auto"/>
        <w:bottom w:val="none" w:sz="0" w:space="0" w:color="auto"/>
        <w:right w:val="none" w:sz="0" w:space="0" w:color="auto"/>
      </w:divBdr>
    </w:div>
    <w:div w:id="663624675">
      <w:bodyDiv w:val="1"/>
      <w:marLeft w:val="0"/>
      <w:marRight w:val="0"/>
      <w:marTop w:val="0"/>
      <w:marBottom w:val="0"/>
      <w:divBdr>
        <w:top w:val="none" w:sz="0" w:space="0" w:color="auto"/>
        <w:left w:val="none" w:sz="0" w:space="0" w:color="auto"/>
        <w:bottom w:val="none" w:sz="0" w:space="0" w:color="auto"/>
        <w:right w:val="none" w:sz="0" w:space="0" w:color="auto"/>
      </w:divBdr>
    </w:div>
    <w:div w:id="665088883">
      <w:bodyDiv w:val="1"/>
      <w:marLeft w:val="0"/>
      <w:marRight w:val="0"/>
      <w:marTop w:val="0"/>
      <w:marBottom w:val="0"/>
      <w:divBdr>
        <w:top w:val="none" w:sz="0" w:space="0" w:color="auto"/>
        <w:left w:val="none" w:sz="0" w:space="0" w:color="auto"/>
        <w:bottom w:val="none" w:sz="0" w:space="0" w:color="auto"/>
        <w:right w:val="none" w:sz="0" w:space="0" w:color="auto"/>
      </w:divBdr>
    </w:div>
    <w:div w:id="670984184">
      <w:bodyDiv w:val="1"/>
      <w:marLeft w:val="0"/>
      <w:marRight w:val="0"/>
      <w:marTop w:val="0"/>
      <w:marBottom w:val="0"/>
      <w:divBdr>
        <w:top w:val="none" w:sz="0" w:space="0" w:color="auto"/>
        <w:left w:val="none" w:sz="0" w:space="0" w:color="auto"/>
        <w:bottom w:val="none" w:sz="0" w:space="0" w:color="auto"/>
        <w:right w:val="none" w:sz="0" w:space="0" w:color="auto"/>
      </w:divBdr>
    </w:div>
    <w:div w:id="672412087">
      <w:bodyDiv w:val="1"/>
      <w:marLeft w:val="0"/>
      <w:marRight w:val="0"/>
      <w:marTop w:val="0"/>
      <w:marBottom w:val="0"/>
      <w:divBdr>
        <w:top w:val="none" w:sz="0" w:space="0" w:color="auto"/>
        <w:left w:val="none" w:sz="0" w:space="0" w:color="auto"/>
        <w:bottom w:val="none" w:sz="0" w:space="0" w:color="auto"/>
        <w:right w:val="none" w:sz="0" w:space="0" w:color="auto"/>
      </w:divBdr>
    </w:div>
    <w:div w:id="674452810">
      <w:bodyDiv w:val="1"/>
      <w:marLeft w:val="0"/>
      <w:marRight w:val="0"/>
      <w:marTop w:val="0"/>
      <w:marBottom w:val="0"/>
      <w:divBdr>
        <w:top w:val="none" w:sz="0" w:space="0" w:color="auto"/>
        <w:left w:val="none" w:sz="0" w:space="0" w:color="auto"/>
        <w:bottom w:val="none" w:sz="0" w:space="0" w:color="auto"/>
        <w:right w:val="none" w:sz="0" w:space="0" w:color="auto"/>
      </w:divBdr>
    </w:div>
    <w:div w:id="683820569">
      <w:bodyDiv w:val="1"/>
      <w:marLeft w:val="0"/>
      <w:marRight w:val="0"/>
      <w:marTop w:val="0"/>
      <w:marBottom w:val="0"/>
      <w:divBdr>
        <w:top w:val="none" w:sz="0" w:space="0" w:color="auto"/>
        <w:left w:val="none" w:sz="0" w:space="0" w:color="auto"/>
        <w:bottom w:val="none" w:sz="0" w:space="0" w:color="auto"/>
        <w:right w:val="none" w:sz="0" w:space="0" w:color="auto"/>
      </w:divBdr>
    </w:div>
    <w:div w:id="693963376">
      <w:bodyDiv w:val="1"/>
      <w:marLeft w:val="0"/>
      <w:marRight w:val="0"/>
      <w:marTop w:val="0"/>
      <w:marBottom w:val="0"/>
      <w:divBdr>
        <w:top w:val="none" w:sz="0" w:space="0" w:color="auto"/>
        <w:left w:val="none" w:sz="0" w:space="0" w:color="auto"/>
        <w:bottom w:val="none" w:sz="0" w:space="0" w:color="auto"/>
        <w:right w:val="none" w:sz="0" w:space="0" w:color="auto"/>
      </w:divBdr>
    </w:div>
    <w:div w:id="694424101">
      <w:bodyDiv w:val="1"/>
      <w:marLeft w:val="0"/>
      <w:marRight w:val="0"/>
      <w:marTop w:val="0"/>
      <w:marBottom w:val="0"/>
      <w:divBdr>
        <w:top w:val="none" w:sz="0" w:space="0" w:color="auto"/>
        <w:left w:val="none" w:sz="0" w:space="0" w:color="auto"/>
        <w:bottom w:val="none" w:sz="0" w:space="0" w:color="auto"/>
        <w:right w:val="none" w:sz="0" w:space="0" w:color="auto"/>
      </w:divBdr>
    </w:div>
    <w:div w:id="717555014">
      <w:bodyDiv w:val="1"/>
      <w:marLeft w:val="0"/>
      <w:marRight w:val="0"/>
      <w:marTop w:val="0"/>
      <w:marBottom w:val="0"/>
      <w:divBdr>
        <w:top w:val="none" w:sz="0" w:space="0" w:color="auto"/>
        <w:left w:val="none" w:sz="0" w:space="0" w:color="auto"/>
        <w:bottom w:val="none" w:sz="0" w:space="0" w:color="auto"/>
        <w:right w:val="none" w:sz="0" w:space="0" w:color="auto"/>
      </w:divBdr>
    </w:div>
    <w:div w:id="718626647">
      <w:bodyDiv w:val="1"/>
      <w:marLeft w:val="0"/>
      <w:marRight w:val="0"/>
      <w:marTop w:val="0"/>
      <w:marBottom w:val="0"/>
      <w:divBdr>
        <w:top w:val="none" w:sz="0" w:space="0" w:color="auto"/>
        <w:left w:val="none" w:sz="0" w:space="0" w:color="auto"/>
        <w:bottom w:val="none" w:sz="0" w:space="0" w:color="auto"/>
        <w:right w:val="none" w:sz="0" w:space="0" w:color="auto"/>
      </w:divBdr>
    </w:div>
    <w:div w:id="719207437">
      <w:bodyDiv w:val="1"/>
      <w:marLeft w:val="0"/>
      <w:marRight w:val="0"/>
      <w:marTop w:val="0"/>
      <w:marBottom w:val="0"/>
      <w:divBdr>
        <w:top w:val="none" w:sz="0" w:space="0" w:color="auto"/>
        <w:left w:val="none" w:sz="0" w:space="0" w:color="auto"/>
        <w:bottom w:val="none" w:sz="0" w:space="0" w:color="auto"/>
        <w:right w:val="none" w:sz="0" w:space="0" w:color="auto"/>
      </w:divBdr>
    </w:div>
    <w:div w:id="736392784">
      <w:bodyDiv w:val="1"/>
      <w:marLeft w:val="0"/>
      <w:marRight w:val="0"/>
      <w:marTop w:val="0"/>
      <w:marBottom w:val="0"/>
      <w:divBdr>
        <w:top w:val="none" w:sz="0" w:space="0" w:color="auto"/>
        <w:left w:val="none" w:sz="0" w:space="0" w:color="auto"/>
        <w:bottom w:val="none" w:sz="0" w:space="0" w:color="auto"/>
        <w:right w:val="none" w:sz="0" w:space="0" w:color="auto"/>
      </w:divBdr>
    </w:div>
    <w:div w:id="737902468">
      <w:bodyDiv w:val="1"/>
      <w:marLeft w:val="0"/>
      <w:marRight w:val="0"/>
      <w:marTop w:val="0"/>
      <w:marBottom w:val="0"/>
      <w:divBdr>
        <w:top w:val="none" w:sz="0" w:space="0" w:color="auto"/>
        <w:left w:val="none" w:sz="0" w:space="0" w:color="auto"/>
        <w:bottom w:val="none" w:sz="0" w:space="0" w:color="auto"/>
        <w:right w:val="none" w:sz="0" w:space="0" w:color="auto"/>
      </w:divBdr>
    </w:div>
    <w:div w:id="738213909">
      <w:bodyDiv w:val="1"/>
      <w:marLeft w:val="0"/>
      <w:marRight w:val="0"/>
      <w:marTop w:val="0"/>
      <w:marBottom w:val="0"/>
      <w:divBdr>
        <w:top w:val="none" w:sz="0" w:space="0" w:color="auto"/>
        <w:left w:val="none" w:sz="0" w:space="0" w:color="auto"/>
        <w:bottom w:val="none" w:sz="0" w:space="0" w:color="auto"/>
        <w:right w:val="none" w:sz="0" w:space="0" w:color="auto"/>
      </w:divBdr>
    </w:div>
    <w:div w:id="743142993">
      <w:bodyDiv w:val="1"/>
      <w:marLeft w:val="0"/>
      <w:marRight w:val="0"/>
      <w:marTop w:val="0"/>
      <w:marBottom w:val="0"/>
      <w:divBdr>
        <w:top w:val="none" w:sz="0" w:space="0" w:color="auto"/>
        <w:left w:val="none" w:sz="0" w:space="0" w:color="auto"/>
        <w:bottom w:val="none" w:sz="0" w:space="0" w:color="auto"/>
        <w:right w:val="none" w:sz="0" w:space="0" w:color="auto"/>
      </w:divBdr>
    </w:div>
    <w:div w:id="747966305">
      <w:bodyDiv w:val="1"/>
      <w:marLeft w:val="0"/>
      <w:marRight w:val="0"/>
      <w:marTop w:val="0"/>
      <w:marBottom w:val="0"/>
      <w:divBdr>
        <w:top w:val="none" w:sz="0" w:space="0" w:color="auto"/>
        <w:left w:val="none" w:sz="0" w:space="0" w:color="auto"/>
        <w:bottom w:val="none" w:sz="0" w:space="0" w:color="auto"/>
        <w:right w:val="none" w:sz="0" w:space="0" w:color="auto"/>
      </w:divBdr>
    </w:div>
    <w:div w:id="759183178">
      <w:bodyDiv w:val="1"/>
      <w:marLeft w:val="0"/>
      <w:marRight w:val="0"/>
      <w:marTop w:val="0"/>
      <w:marBottom w:val="0"/>
      <w:divBdr>
        <w:top w:val="none" w:sz="0" w:space="0" w:color="auto"/>
        <w:left w:val="none" w:sz="0" w:space="0" w:color="auto"/>
        <w:bottom w:val="none" w:sz="0" w:space="0" w:color="auto"/>
        <w:right w:val="none" w:sz="0" w:space="0" w:color="auto"/>
      </w:divBdr>
    </w:div>
    <w:div w:id="760182454">
      <w:bodyDiv w:val="1"/>
      <w:marLeft w:val="0"/>
      <w:marRight w:val="0"/>
      <w:marTop w:val="0"/>
      <w:marBottom w:val="0"/>
      <w:divBdr>
        <w:top w:val="none" w:sz="0" w:space="0" w:color="auto"/>
        <w:left w:val="none" w:sz="0" w:space="0" w:color="auto"/>
        <w:bottom w:val="none" w:sz="0" w:space="0" w:color="auto"/>
        <w:right w:val="none" w:sz="0" w:space="0" w:color="auto"/>
      </w:divBdr>
    </w:div>
    <w:div w:id="760368158">
      <w:bodyDiv w:val="1"/>
      <w:marLeft w:val="0"/>
      <w:marRight w:val="0"/>
      <w:marTop w:val="0"/>
      <w:marBottom w:val="0"/>
      <w:divBdr>
        <w:top w:val="none" w:sz="0" w:space="0" w:color="auto"/>
        <w:left w:val="none" w:sz="0" w:space="0" w:color="auto"/>
        <w:bottom w:val="none" w:sz="0" w:space="0" w:color="auto"/>
        <w:right w:val="none" w:sz="0" w:space="0" w:color="auto"/>
      </w:divBdr>
    </w:div>
    <w:div w:id="766803119">
      <w:bodyDiv w:val="1"/>
      <w:marLeft w:val="0"/>
      <w:marRight w:val="0"/>
      <w:marTop w:val="0"/>
      <w:marBottom w:val="0"/>
      <w:divBdr>
        <w:top w:val="none" w:sz="0" w:space="0" w:color="auto"/>
        <w:left w:val="none" w:sz="0" w:space="0" w:color="auto"/>
        <w:bottom w:val="none" w:sz="0" w:space="0" w:color="auto"/>
        <w:right w:val="none" w:sz="0" w:space="0" w:color="auto"/>
      </w:divBdr>
    </w:div>
    <w:div w:id="766930415">
      <w:bodyDiv w:val="1"/>
      <w:marLeft w:val="0"/>
      <w:marRight w:val="0"/>
      <w:marTop w:val="0"/>
      <w:marBottom w:val="0"/>
      <w:divBdr>
        <w:top w:val="none" w:sz="0" w:space="0" w:color="auto"/>
        <w:left w:val="none" w:sz="0" w:space="0" w:color="auto"/>
        <w:bottom w:val="none" w:sz="0" w:space="0" w:color="auto"/>
        <w:right w:val="none" w:sz="0" w:space="0" w:color="auto"/>
      </w:divBdr>
    </w:div>
    <w:div w:id="770927882">
      <w:bodyDiv w:val="1"/>
      <w:marLeft w:val="0"/>
      <w:marRight w:val="0"/>
      <w:marTop w:val="0"/>
      <w:marBottom w:val="0"/>
      <w:divBdr>
        <w:top w:val="none" w:sz="0" w:space="0" w:color="auto"/>
        <w:left w:val="none" w:sz="0" w:space="0" w:color="auto"/>
        <w:bottom w:val="none" w:sz="0" w:space="0" w:color="auto"/>
        <w:right w:val="none" w:sz="0" w:space="0" w:color="auto"/>
      </w:divBdr>
    </w:div>
    <w:div w:id="775176401">
      <w:bodyDiv w:val="1"/>
      <w:marLeft w:val="0"/>
      <w:marRight w:val="0"/>
      <w:marTop w:val="0"/>
      <w:marBottom w:val="0"/>
      <w:divBdr>
        <w:top w:val="none" w:sz="0" w:space="0" w:color="auto"/>
        <w:left w:val="none" w:sz="0" w:space="0" w:color="auto"/>
        <w:bottom w:val="none" w:sz="0" w:space="0" w:color="auto"/>
        <w:right w:val="none" w:sz="0" w:space="0" w:color="auto"/>
      </w:divBdr>
    </w:div>
    <w:div w:id="776872379">
      <w:bodyDiv w:val="1"/>
      <w:marLeft w:val="0"/>
      <w:marRight w:val="0"/>
      <w:marTop w:val="0"/>
      <w:marBottom w:val="0"/>
      <w:divBdr>
        <w:top w:val="none" w:sz="0" w:space="0" w:color="auto"/>
        <w:left w:val="none" w:sz="0" w:space="0" w:color="auto"/>
        <w:bottom w:val="none" w:sz="0" w:space="0" w:color="auto"/>
        <w:right w:val="none" w:sz="0" w:space="0" w:color="auto"/>
      </w:divBdr>
    </w:div>
    <w:div w:id="787164440">
      <w:bodyDiv w:val="1"/>
      <w:marLeft w:val="0"/>
      <w:marRight w:val="0"/>
      <w:marTop w:val="0"/>
      <w:marBottom w:val="0"/>
      <w:divBdr>
        <w:top w:val="none" w:sz="0" w:space="0" w:color="auto"/>
        <w:left w:val="none" w:sz="0" w:space="0" w:color="auto"/>
        <w:bottom w:val="none" w:sz="0" w:space="0" w:color="auto"/>
        <w:right w:val="none" w:sz="0" w:space="0" w:color="auto"/>
      </w:divBdr>
    </w:div>
    <w:div w:id="789326812">
      <w:bodyDiv w:val="1"/>
      <w:marLeft w:val="0"/>
      <w:marRight w:val="0"/>
      <w:marTop w:val="0"/>
      <w:marBottom w:val="0"/>
      <w:divBdr>
        <w:top w:val="none" w:sz="0" w:space="0" w:color="auto"/>
        <w:left w:val="none" w:sz="0" w:space="0" w:color="auto"/>
        <w:bottom w:val="none" w:sz="0" w:space="0" w:color="auto"/>
        <w:right w:val="none" w:sz="0" w:space="0" w:color="auto"/>
      </w:divBdr>
    </w:div>
    <w:div w:id="789787005">
      <w:bodyDiv w:val="1"/>
      <w:marLeft w:val="0"/>
      <w:marRight w:val="0"/>
      <w:marTop w:val="0"/>
      <w:marBottom w:val="0"/>
      <w:divBdr>
        <w:top w:val="none" w:sz="0" w:space="0" w:color="auto"/>
        <w:left w:val="none" w:sz="0" w:space="0" w:color="auto"/>
        <w:bottom w:val="none" w:sz="0" w:space="0" w:color="auto"/>
        <w:right w:val="none" w:sz="0" w:space="0" w:color="auto"/>
      </w:divBdr>
    </w:div>
    <w:div w:id="792018179">
      <w:bodyDiv w:val="1"/>
      <w:marLeft w:val="0"/>
      <w:marRight w:val="0"/>
      <w:marTop w:val="0"/>
      <w:marBottom w:val="0"/>
      <w:divBdr>
        <w:top w:val="none" w:sz="0" w:space="0" w:color="auto"/>
        <w:left w:val="none" w:sz="0" w:space="0" w:color="auto"/>
        <w:bottom w:val="none" w:sz="0" w:space="0" w:color="auto"/>
        <w:right w:val="none" w:sz="0" w:space="0" w:color="auto"/>
      </w:divBdr>
    </w:div>
    <w:div w:id="795873970">
      <w:bodyDiv w:val="1"/>
      <w:marLeft w:val="0"/>
      <w:marRight w:val="0"/>
      <w:marTop w:val="0"/>
      <w:marBottom w:val="0"/>
      <w:divBdr>
        <w:top w:val="none" w:sz="0" w:space="0" w:color="auto"/>
        <w:left w:val="none" w:sz="0" w:space="0" w:color="auto"/>
        <w:bottom w:val="none" w:sz="0" w:space="0" w:color="auto"/>
        <w:right w:val="none" w:sz="0" w:space="0" w:color="auto"/>
      </w:divBdr>
    </w:div>
    <w:div w:id="799767475">
      <w:bodyDiv w:val="1"/>
      <w:marLeft w:val="0"/>
      <w:marRight w:val="0"/>
      <w:marTop w:val="0"/>
      <w:marBottom w:val="0"/>
      <w:divBdr>
        <w:top w:val="none" w:sz="0" w:space="0" w:color="auto"/>
        <w:left w:val="none" w:sz="0" w:space="0" w:color="auto"/>
        <w:bottom w:val="none" w:sz="0" w:space="0" w:color="auto"/>
        <w:right w:val="none" w:sz="0" w:space="0" w:color="auto"/>
      </w:divBdr>
    </w:div>
    <w:div w:id="807094951">
      <w:bodyDiv w:val="1"/>
      <w:marLeft w:val="0"/>
      <w:marRight w:val="0"/>
      <w:marTop w:val="0"/>
      <w:marBottom w:val="0"/>
      <w:divBdr>
        <w:top w:val="none" w:sz="0" w:space="0" w:color="auto"/>
        <w:left w:val="none" w:sz="0" w:space="0" w:color="auto"/>
        <w:bottom w:val="none" w:sz="0" w:space="0" w:color="auto"/>
        <w:right w:val="none" w:sz="0" w:space="0" w:color="auto"/>
      </w:divBdr>
    </w:div>
    <w:div w:id="807670901">
      <w:bodyDiv w:val="1"/>
      <w:marLeft w:val="0"/>
      <w:marRight w:val="0"/>
      <w:marTop w:val="0"/>
      <w:marBottom w:val="0"/>
      <w:divBdr>
        <w:top w:val="none" w:sz="0" w:space="0" w:color="auto"/>
        <w:left w:val="none" w:sz="0" w:space="0" w:color="auto"/>
        <w:bottom w:val="none" w:sz="0" w:space="0" w:color="auto"/>
        <w:right w:val="none" w:sz="0" w:space="0" w:color="auto"/>
      </w:divBdr>
    </w:div>
    <w:div w:id="807864726">
      <w:bodyDiv w:val="1"/>
      <w:marLeft w:val="0"/>
      <w:marRight w:val="0"/>
      <w:marTop w:val="0"/>
      <w:marBottom w:val="0"/>
      <w:divBdr>
        <w:top w:val="none" w:sz="0" w:space="0" w:color="auto"/>
        <w:left w:val="none" w:sz="0" w:space="0" w:color="auto"/>
        <w:bottom w:val="none" w:sz="0" w:space="0" w:color="auto"/>
        <w:right w:val="none" w:sz="0" w:space="0" w:color="auto"/>
      </w:divBdr>
    </w:div>
    <w:div w:id="809397037">
      <w:bodyDiv w:val="1"/>
      <w:marLeft w:val="0"/>
      <w:marRight w:val="0"/>
      <w:marTop w:val="0"/>
      <w:marBottom w:val="0"/>
      <w:divBdr>
        <w:top w:val="none" w:sz="0" w:space="0" w:color="auto"/>
        <w:left w:val="none" w:sz="0" w:space="0" w:color="auto"/>
        <w:bottom w:val="none" w:sz="0" w:space="0" w:color="auto"/>
        <w:right w:val="none" w:sz="0" w:space="0" w:color="auto"/>
      </w:divBdr>
    </w:div>
    <w:div w:id="812916471">
      <w:bodyDiv w:val="1"/>
      <w:marLeft w:val="0"/>
      <w:marRight w:val="0"/>
      <w:marTop w:val="0"/>
      <w:marBottom w:val="0"/>
      <w:divBdr>
        <w:top w:val="none" w:sz="0" w:space="0" w:color="auto"/>
        <w:left w:val="none" w:sz="0" w:space="0" w:color="auto"/>
        <w:bottom w:val="none" w:sz="0" w:space="0" w:color="auto"/>
        <w:right w:val="none" w:sz="0" w:space="0" w:color="auto"/>
      </w:divBdr>
    </w:div>
    <w:div w:id="813520698">
      <w:bodyDiv w:val="1"/>
      <w:marLeft w:val="0"/>
      <w:marRight w:val="0"/>
      <w:marTop w:val="0"/>
      <w:marBottom w:val="0"/>
      <w:divBdr>
        <w:top w:val="none" w:sz="0" w:space="0" w:color="auto"/>
        <w:left w:val="none" w:sz="0" w:space="0" w:color="auto"/>
        <w:bottom w:val="none" w:sz="0" w:space="0" w:color="auto"/>
        <w:right w:val="none" w:sz="0" w:space="0" w:color="auto"/>
      </w:divBdr>
    </w:div>
    <w:div w:id="814251993">
      <w:bodyDiv w:val="1"/>
      <w:marLeft w:val="0"/>
      <w:marRight w:val="0"/>
      <w:marTop w:val="0"/>
      <w:marBottom w:val="0"/>
      <w:divBdr>
        <w:top w:val="none" w:sz="0" w:space="0" w:color="auto"/>
        <w:left w:val="none" w:sz="0" w:space="0" w:color="auto"/>
        <w:bottom w:val="none" w:sz="0" w:space="0" w:color="auto"/>
        <w:right w:val="none" w:sz="0" w:space="0" w:color="auto"/>
      </w:divBdr>
    </w:div>
    <w:div w:id="818033866">
      <w:bodyDiv w:val="1"/>
      <w:marLeft w:val="0"/>
      <w:marRight w:val="0"/>
      <w:marTop w:val="0"/>
      <w:marBottom w:val="0"/>
      <w:divBdr>
        <w:top w:val="none" w:sz="0" w:space="0" w:color="auto"/>
        <w:left w:val="none" w:sz="0" w:space="0" w:color="auto"/>
        <w:bottom w:val="none" w:sz="0" w:space="0" w:color="auto"/>
        <w:right w:val="none" w:sz="0" w:space="0" w:color="auto"/>
      </w:divBdr>
    </w:div>
    <w:div w:id="818495346">
      <w:bodyDiv w:val="1"/>
      <w:marLeft w:val="0"/>
      <w:marRight w:val="0"/>
      <w:marTop w:val="0"/>
      <w:marBottom w:val="0"/>
      <w:divBdr>
        <w:top w:val="none" w:sz="0" w:space="0" w:color="auto"/>
        <w:left w:val="none" w:sz="0" w:space="0" w:color="auto"/>
        <w:bottom w:val="none" w:sz="0" w:space="0" w:color="auto"/>
        <w:right w:val="none" w:sz="0" w:space="0" w:color="auto"/>
      </w:divBdr>
    </w:div>
    <w:div w:id="826048126">
      <w:bodyDiv w:val="1"/>
      <w:marLeft w:val="0"/>
      <w:marRight w:val="0"/>
      <w:marTop w:val="0"/>
      <w:marBottom w:val="0"/>
      <w:divBdr>
        <w:top w:val="none" w:sz="0" w:space="0" w:color="auto"/>
        <w:left w:val="none" w:sz="0" w:space="0" w:color="auto"/>
        <w:bottom w:val="none" w:sz="0" w:space="0" w:color="auto"/>
        <w:right w:val="none" w:sz="0" w:space="0" w:color="auto"/>
      </w:divBdr>
    </w:div>
    <w:div w:id="837043348">
      <w:bodyDiv w:val="1"/>
      <w:marLeft w:val="0"/>
      <w:marRight w:val="0"/>
      <w:marTop w:val="0"/>
      <w:marBottom w:val="0"/>
      <w:divBdr>
        <w:top w:val="none" w:sz="0" w:space="0" w:color="auto"/>
        <w:left w:val="none" w:sz="0" w:space="0" w:color="auto"/>
        <w:bottom w:val="none" w:sz="0" w:space="0" w:color="auto"/>
        <w:right w:val="none" w:sz="0" w:space="0" w:color="auto"/>
      </w:divBdr>
    </w:div>
    <w:div w:id="845903495">
      <w:bodyDiv w:val="1"/>
      <w:marLeft w:val="0"/>
      <w:marRight w:val="0"/>
      <w:marTop w:val="0"/>
      <w:marBottom w:val="0"/>
      <w:divBdr>
        <w:top w:val="none" w:sz="0" w:space="0" w:color="auto"/>
        <w:left w:val="none" w:sz="0" w:space="0" w:color="auto"/>
        <w:bottom w:val="none" w:sz="0" w:space="0" w:color="auto"/>
        <w:right w:val="none" w:sz="0" w:space="0" w:color="auto"/>
      </w:divBdr>
    </w:div>
    <w:div w:id="847718470">
      <w:bodyDiv w:val="1"/>
      <w:marLeft w:val="0"/>
      <w:marRight w:val="0"/>
      <w:marTop w:val="0"/>
      <w:marBottom w:val="0"/>
      <w:divBdr>
        <w:top w:val="none" w:sz="0" w:space="0" w:color="auto"/>
        <w:left w:val="none" w:sz="0" w:space="0" w:color="auto"/>
        <w:bottom w:val="none" w:sz="0" w:space="0" w:color="auto"/>
        <w:right w:val="none" w:sz="0" w:space="0" w:color="auto"/>
      </w:divBdr>
    </w:div>
    <w:div w:id="855003816">
      <w:bodyDiv w:val="1"/>
      <w:marLeft w:val="0"/>
      <w:marRight w:val="0"/>
      <w:marTop w:val="0"/>
      <w:marBottom w:val="0"/>
      <w:divBdr>
        <w:top w:val="none" w:sz="0" w:space="0" w:color="auto"/>
        <w:left w:val="none" w:sz="0" w:space="0" w:color="auto"/>
        <w:bottom w:val="none" w:sz="0" w:space="0" w:color="auto"/>
        <w:right w:val="none" w:sz="0" w:space="0" w:color="auto"/>
      </w:divBdr>
    </w:div>
    <w:div w:id="860050097">
      <w:bodyDiv w:val="1"/>
      <w:marLeft w:val="0"/>
      <w:marRight w:val="0"/>
      <w:marTop w:val="0"/>
      <w:marBottom w:val="0"/>
      <w:divBdr>
        <w:top w:val="none" w:sz="0" w:space="0" w:color="auto"/>
        <w:left w:val="none" w:sz="0" w:space="0" w:color="auto"/>
        <w:bottom w:val="none" w:sz="0" w:space="0" w:color="auto"/>
        <w:right w:val="none" w:sz="0" w:space="0" w:color="auto"/>
      </w:divBdr>
    </w:div>
    <w:div w:id="863858380">
      <w:bodyDiv w:val="1"/>
      <w:marLeft w:val="0"/>
      <w:marRight w:val="0"/>
      <w:marTop w:val="0"/>
      <w:marBottom w:val="0"/>
      <w:divBdr>
        <w:top w:val="none" w:sz="0" w:space="0" w:color="auto"/>
        <w:left w:val="none" w:sz="0" w:space="0" w:color="auto"/>
        <w:bottom w:val="none" w:sz="0" w:space="0" w:color="auto"/>
        <w:right w:val="none" w:sz="0" w:space="0" w:color="auto"/>
      </w:divBdr>
    </w:div>
    <w:div w:id="870532517">
      <w:bodyDiv w:val="1"/>
      <w:marLeft w:val="0"/>
      <w:marRight w:val="0"/>
      <w:marTop w:val="0"/>
      <w:marBottom w:val="0"/>
      <w:divBdr>
        <w:top w:val="none" w:sz="0" w:space="0" w:color="auto"/>
        <w:left w:val="none" w:sz="0" w:space="0" w:color="auto"/>
        <w:bottom w:val="none" w:sz="0" w:space="0" w:color="auto"/>
        <w:right w:val="none" w:sz="0" w:space="0" w:color="auto"/>
      </w:divBdr>
    </w:div>
    <w:div w:id="873470484">
      <w:bodyDiv w:val="1"/>
      <w:marLeft w:val="0"/>
      <w:marRight w:val="0"/>
      <w:marTop w:val="0"/>
      <w:marBottom w:val="0"/>
      <w:divBdr>
        <w:top w:val="none" w:sz="0" w:space="0" w:color="auto"/>
        <w:left w:val="none" w:sz="0" w:space="0" w:color="auto"/>
        <w:bottom w:val="none" w:sz="0" w:space="0" w:color="auto"/>
        <w:right w:val="none" w:sz="0" w:space="0" w:color="auto"/>
      </w:divBdr>
    </w:div>
    <w:div w:id="873887839">
      <w:bodyDiv w:val="1"/>
      <w:marLeft w:val="0"/>
      <w:marRight w:val="0"/>
      <w:marTop w:val="0"/>
      <w:marBottom w:val="0"/>
      <w:divBdr>
        <w:top w:val="none" w:sz="0" w:space="0" w:color="auto"/>
        <w:left w:val="none" w:sz="0" w:space="0" w:color="auto"/>
        <w:bottom w:val="none" w:sz="0" w:space="0" w:color="auto"/>
        <w:right w:val="none" w:sz="0" w:space="0" w:color="auto"/>
      </w:divBdr>
    </w:div>
    <w:div w:id="887230611">
      <w:bodyDiv w:val="1"/>
      <w:marLeft w:val="0"/>
      <w:marRight w:val="0"/>
      <w:marTop w:val="0"/>
      <w:marBottom w:val="0"/>
      <w:divBdr>
        <w:top w:val="none" w:sz="0" w:space="0" w:color="auto"/>
        <w:left w:val="none" w:sz="0" w:space="0" w:color="auto"/>
        <w:bottom w:val="none" w:sz="0" w:space="0" w:color="auto"/>
        <w:right w:val="none" w:sz="0" w:space="0" w:color="auto"/>
      </w:divBdr>
    </w:div>
    <w:div w:id="898713234">
      <w:bodyDiv w:val="1"/>
      <w:marLeft w:val="0"/>
      <w:marRight w:val="0"/>
      <w:marTop w:val="0"/>
      <w:marBottom w:val="0"/>
      <w:divBdr>
        <w:top w:val="none" w:sz="0" w:space="0" w:color="auto"/>
        <w:left w:val="none" w:sz="0" w:space="0" w:color="auto"/>
        <w:bottom w:val="none" w:sz="0" w:space="0" w:color="auto"/>
        <w:right w:val="none" w:sz="0" w:space="0" w:color="auto"/>
      </w:divBdr>
    </w:div>
    <w:div w:id="906494536">
      <w:bodyDiv w:val="1"/>
      <w:marLeft w:val="0"/>
      <w:marRight w:val="0"/>
      <w:marTop w:val="0"/>
      <w:marBottom w:val="0"/>
      <w:divBdr>
        <w:top w:val="none" w:sz="0" w:space="0" w:color="auto"/>
        <w:left w:val="none" w:sz="0" w:space="0" w:color="auto"/>
        <w:bottom w:val="none" w:sz="0" w:space="0" w:color="auto"/>
        <w:right w:val="none" w:sz="0" w:space="0" w:color="auto"/>
      </w:divBdr>
    </w:div>
    <w:div w:id="913585093">
      <w:bodyDiv w:val="1"/>
      <w:marLeft w:val="0"/>
      <w:marRight w:val="0"/>
      <w:marTop w:val="0"/>
      <w:marBottom w:val="0"/>
      <w:divBdr>
        <w:top w:val="none" w:sz="0" w:space="0" w:color="auto"/>
        <w:left w:val="none" w:sz="0" w:space="0" w:color="auto"/>
        <w:bottom w:val="none" w:sz="0" w:space="0" w:color="auto"/>
        <w:right w:val="none" w:sz="0" w:space="0" w:color="auto"/>
      </w:divBdr>
    </w:div>
    <w:div w:id="917060773">
      <w:bodyDiv w:val="1"/>
      <w:marLeft w:val="0"/>
      <w:marRight w:val="0"/>
      <w:marTop w:val="0"/>
      <w:marBottom w:val="0"/>
      <w:divBdr>
        <w:top w:val="none" w:sz="0" w:space="0" w:color="auto"/>
        <w:left w:val="none" w:sz="0" w:space="0" w:color="auto"/>
        <w:bottom w:val="none" w:sz="0" w:space="0" w:color="auto"/>
        <w:right w:val="none" w:sz="0" w:space="0" w:color="auto"/>
      </w:divBdr>
    </w:div>
    <w:div w:id="921648261">
      <w:bodyDiv w:val="1"/>
      <w:marLeft w:val="0"/>
      <w:marRight w:val="0"/>
      <w:marTop w:val="0"/>
      <w:marBottom w:val="0"/>
      <w:divBdr>
        <w:top w:val="none" w:sz="0" w:space="0" w:color="auto"/>
        <w:left w:val="none" w:sz="0" w:space="0" w:color="auto"/>
        <w:bottom w:val="none" w:sz="0" w:space="0" w:color="auto"/>
        <w:right w:val="none" w:sz="0" w:space="0" w:color="auto"/>
      </w:divBdr>
    </w:div>
    <w:div w:id="932013695">
      <w:bodyDiv w:val="1"/>
      <w:marLeft w:val="0"/>
      <w:marRight w:val="0"/>
      <w:marTop w:val="0"/>
      <w:marBottom w:val="0"/>
      <w:divBdr>
        <w:top w:val="none" w:sz="0" w:space="0" w:color="auto"/>
        <w:left w:val="none" w:sz="0" w:space="0" w:color="auto"/>
        <w:bottom w:val="none" w:sz="0" w:space="0" w:color="auto"/>
        <w:right w:val="none" w:sz="0" w:space="0" w:color="auto"/>
      </w:divBdr>
    </w:div>
    <w:div w:id="942497954">
      <w:bodyDiv w:val="1"/>
      <w:marLeft w:val="0"/>
      <w:marRight w:val="0"/>
      <w:marTop w:val="0"/>
      <w:marBottom w:val="0"/>
      <w:divBdr>
        <w:top w:val="none" w:sz="0" w:space="0" w:color="auto"/>
        <w:left w:val="none" w:sz="0" w:space="0" w:color="auto"/>
        <w:bottom w:val="none" w:sz="0" w:space="0" w:color="auto"/>
        <w:right w:val="none" w:sz="0" w:space="0" w:color="auto"/>
      </w:divBdr>
    </w:div>
    <w:div w:id="949163657">
      <w:bodyDiv w:val="1"/>
      <w:marLeft w:val="0"/>
      <w:marRight w:val="0"/>
      <w:marTop w:val="0"/>
      <w:marBottom w:val="0"/>
      <w:divBdr>
        <w:top w:val="none" w:sz="0" w:space="0" w:color="auto"/>
        <w:left w:val="none" w:sz="0" w:space="0" w:color="auto"/>
        <w:bottom w:val="none" w:sz="0" w:space="0" w:color="auto"/>
        <w:right w:val="none" w:sz="0" w:space="0" w:color="auto"/>
      </w:divBdr>
    </w:div>
    <w:div w:id="951089228">
      <w:bodyDiv w:val="1"/>
      <w:marLeft w:val="0"/>
      <w:marRight w:val="0"/>
      <w:marTop w:val="0"/>
      <w:marBottom w:val="0"/>
      <w:divBdr>
        <w:top w:val="none" w:sz="0" w:space="0" w:color="auto"/>
        <w:left w:val="none" w:sz="0" w:space="0" w:color="auto"/>
        <w:bottom w:val="none" w:sz="0" w:space="0" w:color="auto"/>
        <w:right w:val="none" w:sz="0" w:space="0" w:color="auto"/>
      </w:divBdr>
    </w:div>
    <w:div w:id="953950814">
      <w:bodyDiv w:val="1"/>
      <w:marLeft w:val="0"/>
      <w:marRight w:val="0"/>
      <w:marTop w:val="0"/>
      <w:marBottom w:val="0"/>
      <w:divBdr>
        <w:top w:val="none" w:sz="0" w:space="0" w:color="auto"/>
        <w:left w:val="none" w:sz="0" w:space="0" w:color="auto"/>
        <w:bottom w:val="none" w:sz="0" w:space="0" w:color="auto"/>
        <w:right w:val="none" w:sz="0" w:space="0" w:color="auto"/>
      </w:divBdr>
    </w:div>
    <w:div w:id="955331201">
      <w:bodyDiv w:val="1"/>
      <w:marLeft w:val="0"/>
      <w:marRight w:val="0"/>
      <w:marTop w:val="0"/>
      <w:marBottom w:val="0"/>
      <w:divBdr>
        <w:top w:val="none" w:sz="0" w:space="0" w:color="auto"/>
        <w:left w:val="none" w:sz="0" w:space="0" w:color="auto"/>
        <w:bottom w:val="none" w:sz="0" w:space="0" w:color="auto"/>
        <w:right w:val="none" w:sz="0" w:space="0" w:color="auto"/>
      </w:divBdr>
    </w:div>
    <w:div w:id="969238704">
      <w:bodyDiv w:val="1"/>
      <w:marLeft w:val="0"/>
      <w:marRight w:val="0"/>
      <w:marTop w:val="0"/>
      <w:marBottom w:val="0"/>
      <w:divBdr>
        <w:top w:val="none" w:sz="0" w:space="0" w:color="auto"/>
        <w:left w:val="none" w:sz="0" w:space="0" w:color="auto"/>
        <w:bottom w:val="none" w:sz="0" w:space="0" w:color="auto"/>
        <w:right w:val="none" w:sz="0" w:space="0" w:color="auto"/>
      </w:divBdr>
    </w:div>
    <w:div w:id="971331475">
      <w:bodyDiv w:val="1"/>
      <w:marLeft w:val="0"/>
      <w:marRight w:val="0"/>
      <w:marTop w:val="0"/>
      <w:marBottom w:val="0"/>
      <w:divBdr>
        <w:top w:val="none" w:sz="0" w:space="0" w:color="auto"/>
        <w:left w:val="none" w:sz="0" w:space="0" w:color="auto"/>
        <w:bottom w:val="none" w:sz="0" w:space="0" w:color="auto"/>
        <w:right w:val="none" w:sz="0" w:space="0" w:color="auto"/>
      </w:divBdr>
    </w:div>
    <w:div w:id="975913938">
      <w:bodyDiv w:val="1"/>
      <w:marLeft w:val="0"/>
      <w:marRight w:val="0"/>
      <w:marTop w:val="0"/>
      <w:marBottom w:val="0"/>
      <w:divBdr>
        <w:top w:val="none" w:sz="0" w:space="0" w:color="auto"/>
        <w:left w:val="none" w:sz="0" w:space="0" w:color="auto"/>
        <w:bottom w:val="none" w:sz="0" w:space="0" w:color="auto"/>
        <w:right w:val="none" w:sz="0" w:space="0" w:color="auto"/>
      </w:divBdr>
    </w:div>
    <w:div w:id="977301258">
      <w:bodyDiv w:val="1"/>
      <w:marLeft w:val="0"/>
      <w:marRight w:val="0"/>
      <w:marTop w:val="0"/>
      <w:marBottom w:val="0"/>
      <w:divBdr>
        <w:top w:val="none" w:sz="0" w:space="0" w:color="auto"/>
        <w:left w:val="none" w:sz="0" w:space="0" w:color="auto"/>
        <w:bottom w:val="none" w:sz="0" w:space="0" w:color="auto"/>
        <w:right w:val="none" w:sz="0" w:space="0" w:color="auto"/>
      </w:divBdr>
    </w:div>
    <w:div w:id="979113894">
      <w:bodyDiv w:val="1"/>
      <w:marLeft w:val="0"/>
      <w:marRight w:val="0"/>
      <w:marTop w:val="0"/>
      <w:marBottom w:val="0"/>
      <w:divBdr>
        <w:top w:val="none" w:sz="0" w:space="0" w:color="auto"/>
        <w:left w:val="none" w:sz="0" w:space="0" w:color="auto"/>
        <w:bottom w:val="none" w:sz="0" w:space="0" w:color="auto"/>
        <w:right w:val="none" w:sz="0" w:space="0" w:color="auto"/>
      </w:divBdr>
    </w:div>
    <w:div w:id="983848296">
      <w:bodyDiv w:val="1"/>
      <w:marLeft w:val="0"/>
      <w:marRight w:val="0"/>
      <w:marTop w:val="0"/>
      <w:marBottom w:val="0"/>
      <w:divBdr>
        <w:top w:val="none" w:sz="0" w:space="0" w:color="auto"/>
        <w:left w:val="none" w:sz="0" w:space="0" w:color="auto"/>
        <w:bottom w:val="none" w:sz="0" w:space="0" w:color="auto"/>
        <w:right w:val="none" w:sz="0" w:space="0" w:color="auto"/>
      </w:divBdr>
    </w:div>
    <w:div w:id="989362222">
      <w:bodyDiv w:val="1"/>
      <w:marLeft w:val="0"/>
      <w:marRight w:val="0"/>
      <w:marTop w:val="0"/>
      <w:marBottom w:val="0"/>
      <w:divBdr>
        <w:top w:val="none" w:sz="0" w:space="0" w:color="auto"/>
        <w:left w:val="none" w:sz="0" w:space="0" w:color="auto"/>
        <w:bottom w:val="none" w:sz="0" w:space="0" w:color="auto"/>
        <w:right w:val="none" w:sz="0" w:space="0" w:color="auto"/>
      </w:divBdr>
    </w:div>
    <w:div w:id="999692129">
      <w:bodyDiv w:val="1"/>
      <w:marLeft w:val="0"/>
      <w:marRight w:val="0"/>
      <w:marTop w:val="0"/>
      <w:marBottom w:val="0"/>
      <w:divBdr>
        <w:top w:val="none" w:sz="0" w:space="0" w:color="auto"/>
        <w:left w:val="none" w:sz="0" w:space="0" w:color="auto"/>
        <w:bottom w:val="none" w:sz="0" w:space="0" w:color="auto"/>
        <w:right w:val="none" w:sz="0" w:space="0" w:color="auto"/>
      </w:divBdr>
    </w:div>
    <w:div w:id="1029524285">
      <w:bodyDiv w:val="1"/>
      <w:marLeft w:val="0"/>
      <w:marRight w:val="0"/>
      <w:marTop w:val="0"/>
      <w:marBottom w:val="0"/>
      <w:divBdr>
        <w:top w:val="none" w:sz="0" w:space="0" w:color="auto"/>
        <w:left w:val="none" w:sz="0" w:space="0" w:color="auto"/>
        <w:bottom w:val="none" w:sz="0" w:space="0" w:color="auto"/>
        <w:right w:val="none" w:sz="0" w:space="0" w:color="auto"/>
      </w:divBdr>
    </w:div>
    <w:div w:id="1030109016">
      <w:bodyDiv w:val="1"/>
      <w:marLeft w:val="0"/>
      <w:marRight w:val="0"/>
      <w:marTop w:val="0"/>
      <w:marBottom w:val="0"/>
      <w:divBdr>
        <w:top w:val="none" w:sz="0" w:space="0" w:color="auto"/>
        <w:left w:val="none" w:sz="0" w:space="0" w:color="auto"/>
        <w:bottom w:val="none" w:sz="0" w:space="0" w:color="auto"/>
        <w:right w:val="none" w:sz="0" w:space="0" w:color="auto"/>
      </w:divBdr>
    </w:div>
    <w:div w:id="1038630778">
      <w:bodyDiv w:val="1"/>
      <w:marLeft w:val="0"/>
      <w:marRight w:val="0"/>
      <w:marTop w:val="0"/>
      <w:marBottom w:val="0"/>
      <w:divBdr>
        <w:top w:val="none" w:sz="0" w:space="0" w:color="auto"/>
        <w:left w:val="none" w:sz="0" w:space="0" w:color="auto"/>
        <w:bottom w:val="none" w:sz="0" w:space="0" w:color="auto"/>
        <w:right w:val="none" w:sz="0" w:space="0" w:color="auto"/>
      </w:divBdr>
    </w:div>
    <w:div w:id="1043674942">
      <w:bodyDiv w:val="1"/>
      <w:marLeft w:val="0"/>
      <w:marRight w:val="0"/>
      <w:marTop w:val="0"/>
      <w:marBottom w:val="0"/>
      <w:divBdr>
        <w:top w:val="none" w:sz="0" w:space="0" w:color="auto"/>
        <w:left w:val="none" w:sz="0" w:space="0" w:color="auto"/>
        <w:bottom w:val="none" w:sz="0" w:space="0" w:color="auto"/>
        <w:right w:val="none" w:sz="0" w:space="0" w:color="auto"/>
      </w:divBdr>
    </w:div>
    <w:div w:id="1051535843">
      <w:bodyDiv w:val="1"/>
      <w:marLeft w:val="0"/>
      <w:marRight w:val="0"/>
      <w:marTop w:val="0"/>
      <w:marBottom w:val="0"/>
      <w:divBdr>
        <w:top w:val="none" w:sz="0" w:space="0" w:color="auto"/>
        <w:left w:val="none" w:sz="0" w:space="0" w:color="auto"/>
        <w:bottom w:val="none" w:sz="0" w:space="0" w:color="auto"/>
        <w:right w:val="none" w:sz="0" w:space="0" w:color="auto"/>
      </w:divBdr>
    </w:div>
    <w:div w:id="1062633447">
      <w:bodyDiv w:val="1"/>
      <w:marLeft w:val="0"/>
      <w:marRight w:val="0"/>
      <w:marTop w:val="0"/>
      <w:marBottom w:val="0"/>
      <w:divBdr>
        <w:top w:val="none" w:sz="0" w:space="0" w:color="auto"/>
        <w:left w:val="none" w:sz="0" w:space="0" w:color="auto"/>
        <w:bottom w:val="none" w:sz="0" w:space="0" w:color="auto"/>
        <w:right w:val="none" w:sz="0" w:space="0" w:color="auto"/>
      </w:divBdr>
    </w:div>
    <w:div w:id="1093283904">
      <w:bodyDiv w:val="1"/>
      <w:marLeft w:val="0"/>
      <w:marRight w:val="0"/>
      <w:marTop w:val="0"/>
      <w:marBottom w:val="0"/>
      <w:divBdr>
        <w:top w:val="none" w:sz="0" w:space="0" w:color="auto"/>
        <w:left w:val="none" w:sz="0" w:space="0" w:color="auto"/>
        <w:bottom w:val="none" w:sz="0" w:space="0" w:color="auto"/>
        <w:right w:val="none" w:sz="0" w:space="0" w:color="auto"/>
      </w:divBdr>
    </w:div>
    <w:div w:id="1095830122">
      <w:bodyDiv w:val="1"/>
      <w:marLeft w:val="0"/>
      <w:marRight w:val="0"/>
      <w:marTop w:val="0"/>
      <w:marBottom w:val="0"/>
      <w:divBdr>
        <w:top w:val="none" w:sz="0" w:space="0" w:color="auto"/>
        <w:left w:val="none" w:sz="0" w:space="0" w:color="auto"/>
        <w:bottom w:val="none" w:sz="0" w:space="0" w:color="auto"/>
        <w:right w:val="none" w:sz="0" w:space="0" w:color="auto"/>
      </w:divBdr>
    </w:div>
    <w:div w:id="1106972479">
      <w:bodyDiv w:val="1"/>
      <w:marLeft w:val="0"/>
      <w:marRight w:val="0"/>
      <w:marTop w:val="0"/>
      <w:marBottom w:val="0"/>
      <w:divBdr>
        <w:top w:val="none" w:sz="0" w:space="0" w:color="auto"/>
        <w:left w:val="none" w:sz="0" w:space="0" w:color="auto"/>
        <w:bottom w:val="none" w:sz="0" w:space="0" w:color="auto"/>
        <w:right w:val="none" w:sz="0" w:space="0" w:color="auto"/>
      </w:divBdr>
    </w:div>
    <w:div w:id="1109468467">
      <w:bodyDiv w:val="1"/>
      <w:marLeft w:val="0"/>
      <w:marRight w:val="0"/>
      <w:marTop w:val="0"/>
      <w:marBottom w:val="0"/>
      <w:divBdr>
        <w:top w:val="none" w:sz="0" w:space="0" w:color="auto"/>
        <w:left w:val="none" w:sz="0" w:space="0" w:color="auto"/>
        <w:bottom w:val="none" w:sz="0" w:space="0" w:color="auto"/>
        <w:right w:val="none" w:sz="0" w:space="0" w:color="auto"/>
      </w:divBdr>
    </w:div>
    <w:div w:id="1115323037">
      <w:bodyDiv w:val="1"/>
      <w:marLeft w:val="0"/>
      <w:marRight w:val="0"/>
      <w:marTop w:val="0"/>
      <w:marBottom w:val="0"/>
      <w:divBdr>
        <w:top w:val="none" w:sz="0" w:space="0" w:color="auto"/>
        <w:left w:val="none" w:sz="0" w:space="0" w:color="auto"/>
        <w:bottom w:val="none" w:sz="0" w:space="0" w:color="auto"/>
        <w:right w:val="none" w:sz="0" w:space="0" w:color="auto"/>
      </w:divBdr>
    </w:div>
    <w:div w:id="1121799927">
      <w:bodyDiv w:val="1"/>
      <w:marLeft w:val="0"/>
      <w:marRight w:val="0"/>
      <w:marTop w:val="0"/>
      <w:marBottom w:val="0"/>
      <w:divBdr>
        <w:top w:val="none" w:sz="0" w:space="0" w:color="auto"/>
        <w:left w:val="none" w:sz="0" w:space="0" w:color="auto"/>
        <w:bottom w:val="none" w:sz="0" w:space="0" w:color="auto"/>
        <w:right w:val="none" w:sz="0" w:space="0" w:color="auto"/>
      </w:divBdr>
    </w:div>
    <w:div w:id="1134441953">
      <w:bodyDiv w:val="1"/>
      <w:marLeft w:val="0"/>
      <w:marRight w:val="0"/>
      <w:marTop w:val="0"/>
      <w:marBottom w:val="0"/>
      <w:divBdr>
        <w:top w:val="none" w:sz="0" w:space="0" w:color="auto"/>
        <w:left w:val="none" w:sz="0" w:space="0" w:color="auto"/>
        <w:bottom w:val="none" w:sz="0" w:space="0" w:color="auto"/>
        <w:right w:val="none" w:sz="0" w:space="0" w:color="auto"/>
      </w:divBdr>
    </w:div>
    <w:div w:id="1139960623">
      <w:bodyDiv w:val="1"/>
      <w:marLeft w:val="0"/>
      <w:marRight w:val="0"/>
      <w:marTop w:val="0"/>
      <w:marBottom w:val="0"/>
      <w:divBdr>
        <w:top w:val="none" w:sz="0" w:space="0" w:color="auto"/>
        <w:left w:val="none" w:sz="0" w:space="0" w:color="auto"/>
        <w:bottom w:val="none" w:sz="0" w:space="0" w:color="auto"/>
        <w:right w:val="none" w:sz="0" w:space="0" w:color="auto"/>
      </w:divBdr>
    </w:div>
    <w:div w:id="1142118065">
      <w:bodyDiv w:val="1"/>
      <w:marLeft w:val="0"/>
      <w:marRight w:val="0"/>
      <w:marTop w:val="0"/>
      <w:marBottom w:val="0"/>
      <w:divBdr>
        <w:top w:val="none" w:sz="0" w:space="0" w:color="auto"/>
        <w:left w:val="none" w:sz="0" w:space="0" w:color="auto"/>
        <w:bottom w:val="none" w:sz="0" w:space="0" w:color="auto"/>
        <w:right w:val="none" w:sz="0" w:space="0" w:color="auto"/>
      </w:divBdr>
    </w:div>
    <w:div w:id="1155217697">
      <w:bodyDiv w:val="1"/>
      <w:marLeft w:val="0"/>
      <w:marRight w:val="0"/>
      <w:marTop w:val="0"/>
      <w:marBottom w:val="0"/>
      <w:divBdr>
        <w:top w:val="none" w:sz="0" w:space="0" w:color="auto"/>
        <w:left w:val="none" w:sz="0" w:space="0" w:color="auto"/>
        <w:bottom w:val="none" w:sz="0" w:space="0" w:color="auto"/>
        <w:right w:val="none" w:sz="0" w:space="0" w:color="auto"/>
      </w:divBdr>
    </w:div>
    <w:div w:id="1155991897">
      <w:bodyDiv w:val="1"/>
      <w:marLeft w:val="0"/>
      <w:marRight w:val="0"/>
      <w:marTop w:val="0"/>
      <w:marBottom w:val="0"/>
      <w:divBdr>
        <w:top w:val="none" w:sz="0" w:space="0" w:color="auto"/>
        <w:left w:val="none" w:sz="0" w:space="0" w:color="auto"/>
        <w:bottom w:val="none" w:sz="0" w:space="0" w:color="auto"/>
        <w:right w:val="none" w:sz="0" w:space="0" w:color="auto"/>
      </w:divBdr>
    </w:div>
    <w:div w:id="1165052919">
      <w:bodyDiv w:val="1"/>
      <w:marLeft w:val="0"/>
      <w:marRight w:val="0"/>
      <w:marTop w:val="0"/>
      <w:marBottom w:val="0"/>
      <w:divBdr>
        <w:top w:val="none" w:sz="0" w:space="0" w:color="auto"/>
        <w:left w:val="none" w:sz="0" w:space="0" w:color="auto"/>
        <w:bottom w:val="none" w:sz="0" w:space="0" w:color="auto"/>
        <w:right w:val="none" w:sz="0" w:space="0" w:color="auto"/>
      </w:divBdr>
    </w:div>
    <w:div w:id="1172455830">
      <w:bodyDiv w:val="1"/>
      <w:marLeft w:val="0"/>
      <w:marRight w:val="0"/>
      <w:marTop w:val="0"/>
      <w:marBottom w:val="0"/>
      <w:divBdr>
        <w:top w:val="none" w:sz="0" w:space="0" w:color="auto"/>
        <w:left w:val="none" w:sz="0" w:space="0" w:color="auto"/>
        <w:bottom w:val="none" w:sz="0" w:space="0" w:color="auto"/>
        <w:right w:val="none" w:sz="0" w:space="0" w:color="auto"/>
      </w:divBdr>
    </w:div>
    <w:div w:id="1175077075">
      <w:bodyDiv w:val="1"/>
      <w:marLeft w:val="0"/>
      <w:marRight w:val="0"/>
      <w:marTop w:val="0"/>
      <w:marBottom w:val="0"/>
      <w:divBdr>
        <w:top w:val="none" w:sz="0" w:space="0" w:color="auto"/>
        <w:left w:val="none" w:sz="0" w:space="0" w:color="auto"/>
        <w:bottom w:val="none" w:sz="0" w:space="0" w:color="auto"/>
        <w:right w:val="none" w:sz="0" w:space="0" w:color="auto"/>
      </w:divBdr>
    </w:div>
    <w:div w:id="1181703709">
      <w:bodyDiv w:val="1"/>
      <w:marLeft w:val="0"/>
      <w:marRight w:val="0"/>
      <w:marTop w:val="0"/>
      <w:marBottom w:val="0"/>
      <w:divBdr>
        <w:top w:val="none" w:sz="0" w:space="0" w:color="auto"/>
        <w:left w:val="none" w:sz="0" w:space="0" w:color="auto"/>
        <w:bottom w:val="none" w:sz="0" w:space="0" w:color="auto"/>
        <w:right w:val="none" w:sz="0" w:space="0" w:color="auto"/>
      </w:divBdr>
    </w:div>
    <w:div w:id="1182547318">
      <w:bodyDiv w:val="1"/>
      <w:marLeft w:val="0"/>
      <w:marRight w:val="0"/>
      <w:marTop w:val="0"/>
      <w:marBottom w:val="0"/>
      <w:divBdr>
        <w:top w:val="none" w:sz="0" w:space="0" w:color="auto"/>
        <w:left w:val="none" w:sz="0" w:space="0" w:color="auto"/>
        <w:bottom w:val="none" w:sz="0" w:space="0" w:color="auto"/>
        <w:right w:val="none" w:sz="0" w:space="0" w:color="auto"/>
      </w:divBdr>
    </w:div>
    <w:div w:id="1183938288">
      <w:bodyDiv w:val="1"/>
      <w:marLeft w:val="0"/>
      <w:marRight w:val="0"/>
      <w:marTop w:val="0"/>
      <w:marBottom w:val="0"/>
      <w:divBdr>
        <w:top w:val="none" w:sz="0" w:space="0" w:color="auto"/>
        <w:left w:val="none" w:sz="0" w:space="0" w:color="auto"/>
        <w:bottom w:val="none" w:sz="0" w:space="0" w:color="auto"/>
        <w:right w:val="none" w:sz="0" w:space="0" w:color="auto"/>
      </w:divBdr>
    </w:div>
    <w:div w:id="1189952279">
      <w:bodyDiv w:val="1"/>
      <w:marLeft w:val="0"/>
      <w:marRight w:val="0"/>
      <w:marTop w:val="0"/>
      <w:marBottom w:val="0"/>
      <w:divBdr>
        <w:top w:val="none" w:sz="0" w:space="0" w:color="auto"/>
        <w:left w:val="none" w:sz="0" w:space="0" w:color="auto"/>
        <w:bottom w:val="none" w:sz="0" w:space="0" w:color="auto"/>
        <w:right w:val="none" w:sz="0" w:space="0" w:color="auto"/>
      </w:divBdr>
    </w:div>
    <w:div w:id="1192694780">
      <w:bodyDiv w:val="1"/>
      <w:marLeft w:val="0"/>
      <w:marRight w:val="0"/>
      <w:marTop w:val="0"/>
      <w:marBottom w:val="0"/>
      <w:divBdr>
        <w:top w:val="none" w:sz="0" w:space="0" w:color="auto"/>
        <w:left w:val="none" w:sz="0" w:space="0" w:color="auto"/>
        <w:bottom w:val="none" w:sz="0" w:space="0" w:color="auto"/>
        <w:right w:val="none" w:sz="0" w:space="0" w:color="auto"/>
      </w:divBdr>
    </w:div>
    <w:div w:id="1198784941">
      <w:bodyDiv w:val="1"/>
      <w:marLeft w:val="0"/>
      <w:marRight w:val="0"/>
      <w:marTop w:val="0"/>
      <w:marBottom w:val="0"/>
      <w:divBdr>
        <w:top w:val="none" w:sz="0" w:space="0" w:color="auto"/>
        <w:left w:val="none" w:sz="0" w:space="0" w:color="auto"/>
        <w:bottom w:val="none" w:sz="0" w:space="0" w:color="auto"/>
        <w:right w:val="none" w:sz="0" w:space="0" w:color="auto"/>
      </w:divBdr>
    </w:div>
    <w:div w:id="1202012971">
      <w:bodyDiv w:val="1"/>
      <w:marLeft w:val="0"/>
      <w:marRight w:val="0"/>
      <w:marTop w:val="0"/>
      <w:marBottom w:val="0"/>
      <w:divBdr>
        <w:top w:val="none" w:sz="0" w:space="0" w:color="auto"/>
        <w:left w:val="none" w:sz="0" w:space="0" w:color="auto"/>
        <w:bottom w:val="none" w:sz="0" w:space="0" w:color="auto"/>
        <w:right w:val="none" w:sz="0" w:space="0" w:color="auto"/>
      </w:divBdr>
    </w:div>
    <w:div w:id="1204169868">
      <w:bodyDiv w:val="1"/>
      <w:marLeft w:val="0"/>
      <w:marRight w:val="0"/>
      <w:marTop w:val="0"/>
      <w:marBottom w:val="0"/>
      <w:divBdr>
        <w:top w:val="none" w:sz="0" w:space="0" w:color="auto"/>
        <w:left w:val="none" w:sz="0" w:space="0" w:color="auto"/>
        <w:bottom w:val="none" w:sz="0" w:space="0" w:color="auto"/>
        <w:right w:val="none" w:sz="0" w:space="0" w:color="auto"/>
      </w:divBdr>
    </w:div>
    <w:div w:id="1204171842">
      <w:bodyDiv w:val="1"/>
      <w:marLeft w:val="0"/>
      <w:marRight w:val="0"/>
      <w:marTop w:val="0"/>
      <w:marBottom w:val="0"/>
      <w:divBdr>
        <w:top w:val="none" w:sz="0" w:space="0" w:color="auto"/>
        <w:left w:val="none" w:sz="0" w:space="0" w:color="auto"/>
        <w:bottom w:val="none" w:sz="0" w:space="0" w:color="auto"/>
        <w:right w:val="none" w:sz="0" w:space="0" w:color="auto"/>
      </w:divBdr>
    </w:div>
    <w:div w:id="1210847471">
      <w:bodyDiv w:val="1"/>
      <w:marLeft w:val="0"/>
      <w:marRight w:val="0"/>
      <w:marTop w:val="0"/>
      <w:marBottom w:val="0"/>
      <w:divBdr>
        <w:top w:val="none" w:sz="0" w:space="0" w:color="auto"/>
        <w:left w:val="none" w:sz="0" w:space="0" w:color="auto"/>
        <w:bottom w:val="none" w:sz="0" w:space="0" w:color="auto"/>
        <w:right w:val="none" w:sz="0" w:space="0" w:color="auto"/>
      </w:divBdr>
    </w:div>
    <w:div w:id="1222987825">
      <w:bodyDiv w:val="1"/>
      <w:marLeft w:val="0"/>
      <w:marRight w:val="0"/>
      <w:marTop w:val="0"/>
      <w:marBottom w:val="0"/>
      <w:divBdr>
        <w:top w:val="none" w:sz="0" w:space="0" w:color="auto"/>
        <w:left w:val="none" w:sz="0" w:space="0" w:color="auto"/>
        <w:bottom w:val="none" w:sz="0" w:space="0" w:color="auto"/>
        <w:right w:val="none" w:sz="0" w:space="0" w:color="auto"/>
      </w:divBdr>
    </w:div>
    <w:div w:id="1233152112">
      <w:bodyDiv w:val="1"/>
      <w:marLeft w:val="0"/>
      <w:marRight w:val="0"/>
      <w:marTop w:val="0"/>
      <w:marBottom w:val="0"/>
      <w:divBdr>
        <w:top w:val="none" w:sz="0" w:space="0" w:color="auto"/>
        <w:left w:val="none" w:sz="0" w:space="0" w:color="auto"/>
        <w:bottom w:val="none" w:sz="0" w:space="0" w:color="auto"/>
        <w:right w:val="none" w:sz="0" w:space="0" w:color="auto"/>
      </w:divBdr>
    </w:div>
    <w:div w:id="1235356480">
      <w:bodyDiv w:val="1"/>
      <w:marLeft w:val="0"/>
      <w:marRight w:val="0"/>
      <w:marTop w:val="0"/>
      <w:marBottom w:val="0"/>
      <w:divBdr>
        <w:top w:val="none" w:sz="0" w:space="0" w:color="auto"/>
        <w:left w:val="none" w:sz="0" w:space="0" w:color="auto"/>
        <w:bottom w:val="none" w:sz="0" w:space="0" w:color="auto"/>
        <w:right w:val="none" w:sz="0" w:space="0" w:color="auto"/>
      </w:divBdr>
    </w:div>
    <w:div w:id="1243875449">
      <w:bodyDiv w:val="1"/>
      <w:marLeft w:val="0"/>
      <w:marRight w:val="0"/>
      <w:marTop w:val="0"/>
      <w:marBottom w:val="0"/>
      <w:divBdr>
        <w:top w:val="none" w:sz="0" w:space="0" w:color="auto"/>
        <w:left w:val="none" w:sz="0" w:space="0" w:color="auto"/>
        <w:bottom w:val="none" w:sz="0" w:space="0" w:color="auto"/>
        <w:right w:val="none" w:sz="0" w:space="0" w:color="auto"/>
      </w:divBdr>
    </w:div>
    <w:div w:id="1244225085">
      <w:bodyDiv w:val="1"/>
      <w:marLeft w:val="0"/>
      <w:marRight w:val="0"/>
      <w:marTop w:val="0"/>
      <w:marBottom w:val="0"/>
      <w:divBdr>
        <w:top w:val="none" w:sz="0" w:space="0" w:color="auto"/>
        <w:left w:val="none" w:sz="0" w:space="0" w:color="auto"/>
        <w:bottom w:val="none" w:sz="0" w:space="0" w:color="auto"/>
        <w:right w:val="none" w:sz="0" w:space="0" w:color="auto"/>
      </w:divBdr>
    </w:div>
    <w:div w:id="1256403622">
      <w:bodyDiv w:val="1"/>
      <w:marLeft w:val="0"/>
      <w:marRight w:val="0"/>
      <w:marTop w:val="0"/>
      <w:marBottom w:val="0"/>
      <w:divBdr>
        <w:top w:val="none" w:sz="0" w:space="0" w:color="auto"/>
        <w:left w:val="none" w:sz="0" w:space="0" w:color="auto"/>
        <w:bottom w:val="none" w:sz="0" w:space="0" w:color="auto"/>
        <w:right w:val="none" w:sz="0" w:space="0" w:color="auto"/>
      </w:divBdr>
    </w:div>
    <w:div w:id="1259364259">
      <w:bodyDiv w:val="1"/>
      <w:marLeft w:val="0"/>
      <w:marRight w:val="0"/>
      <w:marTop w:val="0"/>
      <w:marBottom w:val="0"/>
      <w:divBdr>
        <w:top w:val="none" w:sz="0" w:space="0" w:color="auto"/>
        <w:left w:val="none" w:sz="0" w:space="0" w:color="auto"/>
        <w:bottom w:val="none" w:sz="0" w:space="0" w:color="auto"/>
        <w:right w:val="none" w:sz="0" w:space="0" w:color="auto"/>
      </w:divBdr>
    </w:div>
    <w:div w:id="1263491683">
      <w:bodyDiv w:val="1"/>
      <w:marLeft w:val="0"/>
      <w:marRight w:val="0"/>
      <w:marTop w:val="0"/>
      <w:marBottom w:val="0"/>
      <w:divBdr>
        <w:top w:val="none" w:sz="0" w:space="0" w:color="auto"/>
        <w:left w:val="none" w:sz="0" w:space="0" w:color="auto"/>
        <w:bottom w:val="none" w:sz="0" w:space="0" w:color="auto"/>
        <w:right w:val="none" w:sz="0" w:space="0" w:color="auto"/>
      </w:divBdr>
    </w:div>
    <w:div w:id="1279531078">
      <w:bodyDiv w:val="1"/>
      <w:marLeft w:val="0"/>
      <w:marRight w:val="0"/>
      <w:marTop w:val="0"/>
      <w:marBottom w:val="0"/>
      <w:divBdr>
        <w:top w:val="none" w:sz="0" w:space="0" w:color="auto"/>
        <w:left w:val="none" w:sz="0" w:space="0" w:color="auto"/>
        <w:bottom w:val="none" w:sz="0" w:space="0" w:color="auto"/>
        <w:right w:val="none" w:sz="0" w:space="0" w:color="auto"/>
      </w:divBdr>
    </w:div>
    <w:div w:id="1292176436">
      <w:bodyDiv w:val="1"/>
      <w:marLeft w:val="0"/>
      <w:marRight w:val="0"/>
      <w:marTop w:val="0"/>
      <w:marBottom w:val="0"/>
      <w:divBdr>
        <w:top w:val="none" w:sz="0" w:space="0" w:color="auto"/>
        <w:left w:val="none" w:sz="0" w:space="0" w:color="auto"/>
        <w:bottom w:val="none" w:sz="0" w:space="0" w:color="auto"/>
        <w:right w:val="none" w:sz="0" w:space="0" w:color="auto"/>
      </w:divBdr>
    </w:div>
    <w:div w:id="1301886997">
      <w:bodyDiv w:val="1"/>
      <w:marLeft w:val="0"/>
      <w:marRight w:val="0"/>
      <w:marTop w:val="0"/>
      <w:marBottom w:val="0"/>
      <w:divBdr>
        <w:top w:val="none" w:sz="0" w:space="0" w:color="auto"/>
        <w:left w:val="none" w:sz="0" w:space="0" w:color="auto"/>
        <w:bottom w:val="none" w:sz="0" w:space="0" w:color="auto"/>
        <w:right w:val="none" w:sz="0" w:space="0" w:color="auto"/>
      </w:divBdr>
    </w:div>
    <w:div w:id="1303315460">
      <w:bodyDiv w:val="1"/>
      <w:marLeft w:val="0"/>
      <w:marRight w:val="0"/>
      <w:marTop w:val="0"/>
      <w:marBottom w:val="0"/>
      <w:divBdr>
        <w:top w:val="none" w:sz="0" w:space="0" w:color="auto"/>
        <w:left w:val="none" w:sz="0" w:space="0" w:color="auto"/>
        <w:bottom w:val="none" w:sz="0" w:space="0" w:color="auto"/>
        <w:right w:val="none" w:sz="0" w:space="0" w:color="auto"/>
      </w:divBdr>
    </w:div>
    <w:div w:id="1304502248">
      <w:bodyDiv w:val="1"/>
      <w:marLeft w:val="0"/>
      <w:marRight w:val="0"/>
      <w:marTop w:val="0"/>
      <w:marBottom w:val="0"/>
      <w:divBdr>
        <w:top w:val="none" w:sz="0" w:space="0" w:color="auto"/>
        <w:left w:val="none" w:sz="0" w:space="0" w:color="auto"/>
        <w:bottom w:val="none" w:sz="0" w:space="0" w:color="auto"/>
        <w:right w:val="none" w:sz="0" w:space="0" w:color="auto"/>
      </w:divBdr>
    </w:div>
    <w:div w:id="1304654961">
      <w:bodyDiv w:val="1"/>
      <w:marLeft w:val="0"/>
      <w:marRight w:val="0"/>
      <w:marTop w:val="0"/>
      <w:marBottom w:val="0"/>
      <w:divBdr>
        <w:top w:val="none" w:sz="0" w:space="0" w:color="auto"/>
        <w:left w:val="none" w:sz="0" w:space="0" w:color="auto"/>
        <w:bottom w:val="none" w:sz="0" w:space="0" w:color="auto"/>
        <w:right w:val="none" w:sz="0" w:space="0" w:color="auto"/>
      </w:divBdr>
    </w:div>
    <w:div w:id="1310473687">
      <w:bodyDiv w:val="1"/>
      <w:marLeft w:val="0"/>
      <w:marRight w:val="0"/>
      <w:marTop w:val="0"/>
      <w:marBottom w:val="0"/>
      <w:divBdr>
        <w:top w:val="none" w:sz="0" w:space="0" w:color="auto"/>
        <w:left w:val="none" w:sz="0" w:space="0" w:color="auto"/>
        <w:bottom w:val="none" w:sz="0" w:space="0" w:color="auto"/>
        <w:right w:val="none" w:sz="0" w:space="0" w:color="auto"/>
      </w:divBdr>
    </w:div>
    <w:div w:id="1312559495">
      <w:bodyDiv w:val="1"/>
      <w:marLeft w:val="0"/>
      <w:marRight w:val="0"/>
      <w:marTop w:val="0"/>
      <w:marBottom w:val="0"/>
      <w:divBdr>
        <w:top w:val="none" w:sz="0" w:space="0" w:color="auto"/>
        <w:left w:val="none" w:sz="0" w:space="0" w:color="auto"/>
        <w:bottom w:val="none" w:sz="0" w:space="0" w:color="auto"/>
        <w:right w:val="none" w:sz="0" w:space="0" w:color="auto"/>
      </w:divBdr>
    </w:div>
    <w:div w:id="1314483248">
      <w:bodyDiv w:val="1"/>
      <w:marLeft w:val="0"/>
      <w:marRight w:val="0"/>
      <w:marTop w:val="0"/>
      <w:marBottom w:val="0"/>
      <w:divBdr>
        <w:top w:val="none" w:sz="0" w:space="0" w:color="auto"/>
        <w:left w:val="none" w:sz="0" w:space="0" w:color="auto"/>
        <w:bottom w:val="none" w:sz="0" w:space="0" w:color="auto"/>
        <w:right w:val="none" w:sz="0" w:space="0" w:color="auto"/>
      </w:divBdr>
    </w:div>
    <w:div w:id="1325738949">
      <w:bodyDiv w:val="1"/>
      <w:marLeft w:val="0"/>
      <w:marRight w:val="0"/>
      <w:marTop w:val="0"/>
      <w:marBottom w:val="0"/>
      <w:divBdr>
        <w:top w:val="none" w:sz="0" w:space="0" w:color="auto"/>
        <w:left w:val="none" w:sz="0" w:space="0" w:color="auto"/>
        <w:bottom w:val="none" w:sz="0" w:space="0" w:color="auto"/>
        <w:right w:val="none" w:sz="0" w:space="0" w:color="auto"/>
      </w:divBdr>
    </w:div>
    <w:div w:id="1334990976">
      <w:bodyDiv w:val="1"/>
      <w:marLeft w:val="0"/>
      <w:marRight w:val="0"/>
      <w:marTop w:val="0"/>
      <w:marBottom w:val="0"/>
      <w:divBdr>
        <w:top w:val="none" w:sz="0" w:space="0" w:color="auto"/>
        <w:left w:val="none" w:sz="0" w:space="0" w:color="auto"/>
        <w:bottom w:val="none" w:sz="0" w:space="0" w:color="auto"/>
        <w:right w:val="none" w:sz="0" w:space="0" w:color="auto"/>
      </w:divBdr>
    </w:div>
    <w:div w:id="1343509470">
      <w:bodyDiv w:val="1"/>
      <w:marLeft w:val="0"/>
      <w:marRight w:val="0"/>
      <w:marTop w:val="0"/>
      <w:marBottom w:val="0"/>
      <w:divBdr>
        <w:top w:val="none" w:sz="0" w:space="0" w:color="auto"/>
        <w:left w:val="none" w:sz="0" w:space="0" w:color="auto"/>
        <w:bottom w:val="none" w:sz="0" w:space="0" w:color="auto"/>
        <w:right w:val="none" w:sz="0" w:space="0" w:color="auto"/>
      </w:divBdr>
    </w:div>
    <w:div w:id="1349256063">
      <w:bodyDiv w:val="1"/>
      <w:marLeft w:val="0"/>
      <w:marRight w:val="0"/>
      <w:marTop w:val="0"/>
      <w:marBottom w:val="0"/>
      <w:divBdr>
        <w:top w:val="none" w:sz="0" w:space="0" w:color="auto"/>
        <w:left w:val="none" w:sz="0" w:space="0" w:color="auto"/>
        <w:bottom w:val="none" w:sz="0" w:space="0" w:color="auto"/>
        <w:right w:val="none" w:sz="0" w:space="0" w:color="auto"/>
      </w:divBdr>
    </w:div>
    <w:div w:id="1353145333">
      <w:bodyDiv w:val="1"/>
      <w:marLeft w:val="0"/>
      <w:marRight w:val="0"/>
      <w:marTop w:val="0"/>
      <w:marBottom w:val="0"/>
      <w:divBdr>
        <w:top w:val="none" w:sz="0" w:space="0" w:color="auto"/>
        <w:left w:val="none" w:sz="0" w:space="0" w:color="auto"/>
        <w:bottom w:val="none" w:sz="0" w:space="0" w:color="auto"/>
        <w:right w:val="none" w:sz="0" w:space="0" w:color="auto"/>
      </w:divBdr>
    </w:div>
    <w:div w:id="1358198429">
      <w:bodyDiv w:val="1"/>
      <w:marLeft w:val="0"/>
      <w:marRight w:val="0"/>
      <w:marTop w:val="0"/>
      <w:marBottom w:val="0"/>
      <w:divBdr>
        <w:top w:val="none" w:sz="0" w:space="0" w:color="auto"/>
        <w:left w:val="none" w:sz="0" w:space="0" w:color="auto"/>
        <w:bottom w:val="none" w:sz="0" w:space="0" w:color="auto"/>
        <w:right w:val="none" w:sz="0" w:space="0" w:color="auto"/>
      </w:divBdr>
    </w:div>
    <w:div w:id="1361931454">
      <w:bodyDiv w:val="1"/>
      <w:marLeft w:val="0"/>
      <w:marRight w:val="0"/>
      <w:marTop w:val="0"/>
      <w:marBottom w:val="0"/>
      <w:divBdr>
        <w:top w:val="none" w:sz="0" w:space="0" w:color="auto"/>
        <w:left w:val="none" w:sz="0" w:space="0" w:color="auto"/>
        <w:bottom w:val="none" w:sz="0" w:space="0" w:color="auto"/>
        <w:right w:val="none" w:sz="0" w:space="0" w:color="auto"/>
      </w:divBdr>
    </w:div>
    <w:div w:id="1362123011">
      <w:bodyDiv w:val="1"/>
      <w:marLeft w:val="0"/>
      <w:marRight w:val="0"/>
      <w:marTop w:val="0"/>
      <w:marBottom w:val="0"/>
      <w:divBdr>
        <w:top w:val="none" w:sz="0" w:space="0" w:color="auto"/>
        <w:left w:val="none" w:sz="0" w:space="0" w:color="auto"/>
        <w:bottom w:val="none" w:sz="0" w:space="0" w:color="auto"/>
        <w:right w:val="none" w:sz="0" w:space="0" w:color="auto"/>
      </w:divBdr>
    </w:div>
    <w:div w:id="1363168643">
      <w:bodyDiv w:val="1"/>
      <w:marLeft w:val="0"/>
      <w:marRight w:val="0"/>
      <w:marTop w:val="0"/>
      <w:marBottom w:val="0"/>
      <w:divBdr>
        <w:top w:val="none" w:sz="0" w:space="0" w:color="auto"/>
        <w:left w:val="none" w:sz="0" w:space="0" w:color="auto"/>
        <w:bottom w:val="none" w:sz="0" w:space="0" w:color="auto"/>
        <w:right w:val="none" w:sz="0" w:space="0" w:color="auto"/>
      </w:divBdr>
    </w:div>
    <w:div w:id="1381711674">
      <w:bodyDiv w:val="1"/>
      <w:marLeft w:val="0"/>
      <w:marRight w:val="0"/>
      <w:marTop w:val="0"/>
      <w:marBottom w:val="0"/>
      <w:divBdr>
        <w:top w:val="none" w:sz="0" w:space="0" w:color="auto"/>
        <w:left w:val="none" w:sz="0" w:space="0" w:color="auto"/>
        <w:bottom w:val="none" w:sz="0" w:space="0" w:color="auto"/>
        <w:right w:val="none" w:sz="0" w:space="0" w:color="auto"/>
      </w:divBdr>
    </w:div>
    <w:div w:id="1384326110">
      <w:bodyDiv w:val="1"/>
      <w:marLeft w:val="0"/>
      <w:marRight w:val="0"/>
      <w:marTop w:val="0"/>
      <w:marBottom w:val="0"/>
      <w:divBdr>
        <w:top w:val="none" w:sz="0" w:space="0" w:color="auto"/>
        <w:left w:val="none" w:sz="0" w:space="0" w:color="auto"/>
        <w:bottom w:val="none" w:sz="0" w:space="0" w:color="auto"/>
        <w:right w:val="none" w:sz="0" w:space="0" w:color="auto"/>
      </w:divBdr>
    </w:div>
    <w:div w:id="1386567175">
      <w:bodyDiv w:val="1"/>
      <w:marLeft w:val="0"/>
      <w:marRight w:val="0"/>
      <w:marTop w:val="0"/>
      <w:marBottom w:val="0"/>
      <w:divBdr>
        <w:top w:val="none" w:sz="0" w:space="0" w:color="auto"/>
        <w:left w:val="none" w:sz="0" w:space="0" w:color="auto"/>
        <w:bottom w:val="none" w:sz="0" w:space="0" w:color="auto"/>
        <w:right w:val="none" w:sz="0" w:space="0" w:color="auto"/>
      </w:divBdr>
    </w:div>
    <w:div w:id="1387410610">
      <w:bodyDiv w:val="1"/>
      <w:marLeft w:val="0"/>
      <w:marRight w:val="0"/>
      <w:marTop w:val="0"/>
      <w:marBottom w:val="0"/>
      <w:divBdr>
        <w:top w:val="none" w:sz="0" w:space="0" w:color="auto"/>
        <w:left w:val="none" w:sz="0" w:space="0" w:color="auto"/>
        <w:bottom w:val="none" w:sz="0" w:space="0" w:color="auto"/>
        <w:right w:val="none" w:sz="0" w:space="0" w:color="auto"/>
      </w:divBdr>
    </w:div>
    <w:div w:id="1402673060">
      <w:bodyDiv w:val="1"/>
      <w:marLeft w:val="0"/>
      <w:marRight w:val="0"/>
      <w:marTop w:val="0"/>
      <w:marBottom w:val="0"/>
      <w:divBdr>
        <w:top w:val="none" w:sz="0" w:space="0" w:color="auto"/>
        <w:left w:val="none" w:sz="0" w:space="0" w:color="auto"/>
        <w:bottom w:val="none" w:sz="0" w:space="0" w:color="auto"/>
        <w:right w:val="none" w:sz="0" w:space="0" w:color="auto"/>
      </w:divBdr>
    </w:div>
    <w:div w:id="1409428208">
      <w:bodyDiv w:val="1"/>
      <w:marLeft w:val="0"/>
      <w:marRight w:val="0"/>
      <w:marTop w:val="0"/>
      <w:marBottom w:val="0"/>
      <w:divBdr>
        <w:top w:val="none" w:sz="0" w:space="0" w:color="auto"/>
        <w:left w:val="none" w:sz="0" w:space="0" w:color="auto"/>
        <w:bottom w:val="none" w:sz="0" w:space="0" w:color="auto"/>
        <w:right w:val="none" w:sz="0" w:space="0" w:color="auto"/>
      </w:divBdr>
    </w:div>
    <w:div w:id="1411198266">
      <w:bodyDiv w:val="1"/>
      <w:marLeft w:val="0"/>
      <w:marRight w:val="0"/>
      <w:marTop w:val="0"/>
      <w:marBottom w:val="0"/>
      <w:divBdr>
        <w:top w:val="none" w:sz="0" w:space="0" w:color="auto"/>
        <w:left w:val="none" w:sz="0" w:space="0" w:color="auto"/>
        <w:bottom w:val="none" w:sz="0" w:space="0" w:color="auto"/>
        <w:right w:val="none" w:sz="0" w:space="0" w:color="auto"/>
      </w:divBdr>
    </w:div>
    <w:div w:id="1434475477">
      <w:bodyDiv w:val="1"/>
      <w:marLeft w:val="0"/>
      <w:marRight w:val="0"/>
      <w:marTop w:val="0"/>
      <w:marBottom w:val="0"/>
      <w:divBdr>
        <w:top w:val="none" w:sz="0" w:space="0" w:color="auto"/>
        <w:left w:val="none" w:sz="0" w:space="0" w:color="auto"/>
        <w:bottom w:val="none" w:sz="0" w:space="0" w:color="auto"/>
        <w:right w:val="none" w:sz="0" w:space="0" w:color="auto"/>
      </w:divBdr>
    </w:div>
    <w:div w:id="1445347313">
      <w:bodyDiv w:val="1"/>
      <w:marLeft w:val="0"/>
      <w:marRight w:val="0"/>
      <w:marTop w:val="0"/>
      <w:marBottom w:val="0"/>
      <w:divBdr>
        <w:top w:val="none" w:sz="0" w:space="0" w:color="auto"/>
        <w:left w:val="none" w:sz="0" w:space="0" w:color="auto"/>
        <w:bottom w:val="none" w:sz="0" w:space="0" w:color="auto"/>
        <w:right w:val="none" w:sz="0" w:space="0" w:color="auto"/>
      </w:divBdr>
    </w:div>
    <w:div w:id="1457140096">
      <w:bodyDiv w:val="1"/>
      <w:marLeft w:val="0"/>
      <w:marRight w:val="0"/>
      <w:marTop w:val="0"/>
      <w:marBottom w:val="0"/>
      <w:divBdr>
        <w:top w:val="none" w:sz="0" w:space="0" w:color="auto"/>
        <w:left w:val="none" w:sz="0" w:space="0" w:color="auto"/>
        <w:bottom w:val="none" w:sz="0" w:space="0" w:color="auto"/>
        <w:right w:val="none" w:sz="0" w:space="0" w:color="auto"/>
      </w:divBdr>
    </w:div>
    <w:div w:id="1457796716">
      <w:bodyDiv w:val="1"/>
      <w:marLeft w:val="0"/>
      <w:marRight w:val="0"/>
      <w:marTop w:val="0"/>
      <w:marBottom w:val="0"/>
      <w:divBdr>
        <w:top w:val="none" w:sz="0" w:space="0" w:color="auto"/>
        <w:left w:val="none" w:sz="0" w:space="0" w:color="auto"/>
        <w:bottom w:val="none" w:sz="0" w:space="0" w:color="auto"/>
        <w:right w:val="none" w:sz="0" w:space="0" w:color="auto"/>
      </w:divBdr>
    </w:div>
    <w:div w:id="1461610459">
      <w:bodyDiv w:val="1"/>
      <w:marLeft w:val="0"/>
      <w:marRight w:val="0"/>
      <w:marTop w:val="0"/>
      <w:marBottom w:val="0"/>
      <w:divBdr>
        <w:top w:val="none" w:sz="0" w:space="0" w:color="auto"/>
        <w:left w:val="none" w:sz="0" w:space="0" w:color="auto"/>
        <w:bottom w:val="none" w:sz="0" w:space="0" w:color="auto"/>
        <w:right w:val="none" w:sz="0" w:space="0" w:color="auto"/>
      </w:divBdr>
    </w:div>
    <w:div w:id="1468547070">
      <w:bodyDiv w:val="1"/>
      <w:marLeft w:val="0"/>
      <w:marRight w:val="0"/>
      <w:marTop w:val="0"/>
      <w:marBottom w:val="0"/>
      <w:divBdr>
        <w:top w:val="none" w:sz="0" w:space="0" w:color="auto"/>
        <w:left w:val="none" w:sz="0" w:space="0" w:color="auto"/>
        <w:bottom w:val="none" w:sz="0" w:space="0" w:color="auto"/>
        <w:right w:val="none" w:sz="0" w:space="0" w:color="auto"/>
      </w:divBdr>
    </w:div>
    <w:div w:id="1480875639">
      <w:bodyDiv w:val="1"/>
      <w:marLeft w:val="0"/>
      <w:marRight w:val="0"/>
      <w:marTop w:val="0"/>
      <w:marBottom w:val="0"/>
      <w:divBdr>
        <w:top w:val="none" w:sz="0" w:space="0" w:color="auto"/>
        <w:left w:val="none" w:sz="0" w:space="0" w:color="auto"/>
        <w:bottom w:val="none" w:sz="0" w:space="0" w:color="auto"/>
        <w:right w:val="none" w:sz="0" w:space="0" w:color="auto"/>
      </w:divBdr>
    </w:div>
    <w:div w:id="1481995151">
      <w:bodyDiv w:val="1"/>
      <w:marLeft w:val="0"/>
      <w:marRight w:val="0"/>
      <w:marTop w:val="0"/>
      <w:marBottom w:val="0"/>
      <w:divBdr>
        <w:top w:val="none" w:sz="0" w:space="0" w:color="auto"/>
        <w:left w:val="none" w:sz="0" w:space="0" w:color="auto"/>
        <w:bottom w:val="none" w:sz="0" w:space="0" w:color="auto"/>
        <w:right w:val="none" w:sz="0" w:space="0" w:color="auto"/>
      </w:divBdr>
    </w:div>
    <w:div w:id="1483426630">
      <w:bodyDiv w:val="1"/>
      <w:marLeft w:val="0"/>
      <w:marRight w:val="0"/>
      <w:marTop w:val="0"/>
      <w:marBottom w:val="0"/>
      <w:divBdr>
        <w:top w:val="none" w:sz="0" w:space="0" w:color="auto"/>
        <w:left w:val="none" w:sz="0" w:space="0" w:color="auto"/>
        <w:bottom w:val="none" w:sz="0" w:space="0" w:color="auto"/>
        <w:right w:val="none" w:sz="0" w:space="0" w:color="auto"/>
      </w:divBdr>
    </w:div>
    <w:div w:id="1498836891">
      <w:bodyDiv w:val="1"/>
      <w:marLeft w:val="0"/>
      <w:marRight w:val="0"/>
      <w:marTop w:val="0"/>
      <w:marBottom w:val="0"/>
      <w:divBdr>
        <w:top w:val="none" w:sz="0" w:space="0" w:color="auto"/>
        <w:left w:val="none" w:sz="0" w:space="0" w:color="auto"/>
        <w:bottom w:val="none" w:sz="0" w:space="0" w:color="auto"/>
        <w:right w:val="none" w:sz="0" w:space="0" w:color="auto"/>
      </w:divBdr>
    </w:div>
    <w:div w:id="1502433192">
      <w:bodyDiv w:val="1"/>
      <w:marLeft w:val="0"/>
      <w:marRight w:val="0"/>
      <w:marTop w:val="0"/>
      <w:marBottom w:val="0"/>
      <w:divBdr>
        <w:top w:val="none" w:sz="0" w:space="0" w:color="auto"/>
        <w:left w:val="none" w:sz="0" w:space="0" w:color="auto"/>
        <w:bottom w:val="none" w:sz="0" w:space="0" w:color="auto"/>
        <w:right w:val="none" w:sz="0" w:space="0" w:color="auto"/>
      </w:divBdr>
    </w:div>
    <w:div w:id="1504933167">
      <w:bodyDiv w:val="1"/>
      <w:marLeft w:val="0"/>
      <w:marRight w:val="0"/>
      <w:marTop w:val="0"/>
      <w:marBottom w:val="0"/>
      <w:divBdr>
        <w:top w:val="none" w:sz="0" w:space="0" w:color="auto"/>
        <w:left w:val="none" w:sz="0" w:space="0" w:color="auto"/>
        <w:bottom w:val="none" w:sz="0" w:space="0" w:color="auto"/>
        <w:right w:val="none" w:sz="0" w:space="0" w:color="auto"/>
      </w:divBdr>
    </w:div>
    <w:div w:id="1508865468">
      <w:bodyDiv w:val="1"/>
      <w:marLeft w:val="0"/>
      <w:marRight w:val="0"/>
      <w:marTop w:val="0"/>
      <w:marBottom w:val="0"/>
      <w:divBdr>
        <w:top w:val="none" w:sz="0" w:space="0" w:color="auto"/>
        <w:left w:val="none" w:sz="0" w:space="0" w:color="auto"/>
        <w:bottom w:val="none" w:sz="0" w:space="0" w:color="auto"/>
        <w:right w:val="none" w:sz="0" w:space="0" w:color="auto"/>
      </w:divBdr>
    </w:div>
    <w:div w:id="1535117067">
      <w:bodyDiv w:val="1"/>
      <w:marLeft w:val="0"/>
      <w:marRight w:val="0"/>
      <w:marTop w:val="0"/>
      <w:marBottom w:val="0"/>
      <w:divBdr>
        <w:top w:val="none" w:sz="0" w:space="0" w:color="auto"/>
        <w:left w:val="none" w:sz="0" w:space="0" w:color="auto"/>
        <w:bottom w:val="none" w:sz="0" w:space="0" w:color="auto"/>
        <w:right w:val="none" w:sz="0" w:space="0" w:color="auto"/>
      </w:divBdr>
    </w:div>
    <w:div w:id="1539391157">
      <w:bodyDiv w:val="1"/>
      <w:marLeft w:val="0"/>
      <w:marRight w:val="0"/>
      <w:marTop w:val="0"/>
      <w:marBottom w:val="0"/>
      <w:divBdr>
        <w:top w:val="none" w:sz="0" w:space="0" w:color="auto"/>
        <w:left w:val="none" w:sz="0" w:space="0" w:color="auto"/>
        <w:bottom w:val="none" w:sz="0" w:space="0" w:color="auto"/>
        <w:right w:val="none" w:sz="0" w:space="0" w:color="auto"/>
      </w:divBdr>
    </w:div>
    <w:div w:id="1542207027">
      <w:bodyDiv w:val="1"/>
      <w:marLeft w:val="0"/>
      <w:marRight w:val="0"/>
      <w:marTop w:val="0"/>
      <w:marBottom w:val="0"/>
      <w:divBdr>
        <w:top w:val="none" w:sz="0" w:space="0" w:color="auto"/>
        <w:left w:val="none" w:sz="0" w:space="0" w:color="auto"/>
        <w:bottom w:val="none" w:sz="0" w:space="0" w:color="auto"/>
        <w:right w:val="none" w:sz="0" w:space="0" w:color="auto"/>
      </w:divBdr>
    </w:div>
    <w:div w:id="1542666854">
      <w:bodyDiv w:val="1"/>
      <w:marLeft w:val="0"/>
      <w:marRight w:val="0"/>
      <w:marTop w:val="0"/>
      <w:marBottom w:val="0"/>
      <w:divBdr>
        <w:top w:val="none" w:sz="0" w:space="0" w:color="auto"/>
        <w:left w:val="none" w:sz="0" w:space="0" w:color="auto"/>
        <w:bottom w:val="none" w:sz="0" w:space="0" w:color="auto"/>
        <w:right w:val="none" w:sz="0" w:space="0" w:color="auto"/>
      </w:divBdr>
    </w:div>
    <w:div w:id="1544247490">
      <w:bodyDiv w:val="1"/>
      <w:marLeft w:val="0"/>
      <w:marRight w:val="0"/>
      <w:marTop w:val="0"/>
      <w:marBottom w:val="0"/>
      <w:divBdr>
        <w:top w:val="none" w:sz="0" w:space="0" w:color="auto"/>
        <w:left w:val="none" w:sz="0" w:space="0" w:color="auto"/>
        <w:bottom w:val="none" w:sz="0" w:space="0" w:color="auto"/>
        <w:right w:val="none" w:sz="0" w:space="0" w:color="auto"/>
      </w:divBdr>
    </w:div>
    <w:div w:id="1546141415">
      <w:bodyDiv w:val="1"/>
      <w:marLeft w:val="0"/>
      <w:marRight w:val="0"/>
      <w:marTop w:val="0"/>
      <w:marBottom w:val="0"/>
      <w:divBdr>
        <w:top w:val="none" w:sz="0" w:space="0" w:color="auto"/>
        <w:left w:val="none" w:sz="0" w:space="0" w:color="auto"/>
        <w:bottom w:val="none" w:sz="0" w:space="0" w:color="auto"/>
        <w:right w:val="none" w:sz="0" w:space="0" w:color="auto"/>
      </w:divBdr>
    </w:div>
    <w:div w:id="1552813807">
      <w:bodyDiv w:val="1"/>
      <w:marLeft w:val="0"/>
      <w:marRight w:val="0"/>
      <w:marTop w:val="0"/>
      <w:marBottom w:val="0"/>
      <w:divBdr>
        <w:top w:val="none" w:sz="0" w:space="0" w:color="auto"/>
        <w:left w:val="none" w:sz="0" w:space="0" w:color="auto"/>
        <w:bottom w:val="none" w:sz="0" w:space="0" w:color="auto"/>
        <w:right w:val="none" w:sz="0" w:space="0" w:color="auto"/>
      </w:divBdr>
    </w:div>
    <w:div w:id="1558249694">
      <w:bodyDiv w:val="1"/>
      <w:marLeft w:val="0"/>
      <w:marRight w:val="0"/>
      <w:marTop w:val="0"/>
      <w:marBottom w:val="0"/>
      <w:divBdr>
        <w:top w:val="none" w:sz="0" w:space="0" w:color="auto"/>
        <w:left w:val="none" w:sz="0" w:space="0" w:color="auto"/>
        <w:bottom w:val="none" w:sz="0" w:space="0" w:color="auto"/>
        <w:right w:val="none" w:sz="0" w:space="0" w:color="auto"/>
      </w:divBdr>
    </w:div>
    <w:div w:id="1558857529">
      <w:bodyDiv w:val="1"/>
      <w:marLeft w:val="0"/>
      <w:marRight w:val="0"/>
      <w:marTop w:val="0"/>
      <w:marBottom w:val="0"/>
      <w:divBdr>
        <w:top w:val="none" w:sz="0" w:space="0" w:color="auto"/>
        <w:left w:val="none" w:sz="0" w:space="0" w:color="auto"/>
        <w:bottom w:val="none" w:sz="0" w:space="0" w:color="auto"/>
        <w:right w:val="none" w:sz="0" w:space="0" w:color="auto"/>
      </w:divBdr>
    </w:div>
    <w:div w:id="1559512052">
      <w:bodyDiv w:val="1"/>
      <w:marLeft w:val="0"/>
      <w:marRight w:val="0"/>
      <w:marTop w:val="0"/>
      <w:marBottom w:val="0"/>
      <w:divBdr>
        <w:top w:val="none" w:sz="0" w:space="0" w:color="auto"/>
        <w:left w:val="none" w:sz="0" w:space="0" w:color="auto"/>
        <w:bottom w:val="none" w:sz="0" w:space="0" w:color="auto"/>
        <w:right w:val="none" w:sz="0" w:space="0" w:color="auto"/>
      </w:divBdr>
    </w:div>
    <w:div w:id="1563638759">
      <w:bodyDiv w:val="1"/>
      <w:marLeft w:val="0"/>
      <w:marRight w:val="0"/>
      <w:marTop w:val="0"/>
      <w:marBottom w:val="0"/>
      <w:divBdr>
        <w:top w:val="none" w:sz="0" w:space="0" w:color="auto"/>
        <w:left w:val="none" w:sz="0" w:space="0" w:color="auto"/>
        <w:bottom w:val="none" w:sz="0" w:space="0" w:color="auto"/>
        <w:right w:val="none" w:sz="0" w:space="0" w:color="auto"/>
      </w:divBdr>
    </w:div>
    <w:div w:id="1564635554">
      <w:bodyDiv w:val="1"/>
      <w:marLeft w:val="0"/>
      <w:marRight w:val="0"/>
      <w:marTop w:val="0"/>
      <w:marBottom w:val="0"/>
      <w:divBdr>
        <w:top w:val="none" w:sz="0" w:space="0" w:color="auto"/>
        <w:left w:val="none" w:sz="0" w:space="0" w:color="auto"/>
        <w:bottom w:val="none" w:sz="0" w:space="0" w:color="auto"/>
        <w:right w:val="none" w:sz="0" w:space="0" w:color="auto"/>
      </w:divBdr>
    </w:div>
    <w:div w:id="1566406666">
      <w:bodyDiv w:val="1"/>
      <w:marLeft w:val="0"/>
      <w:marRight w:val="0"/>
      <w:marTop w:val="0"/>
      <w:marBottom w:val="0"/>
      <w:divBdr>
        <w:top w:val="none" w:sz="0" w:space="0" w:color="auto"/>
        <w:left w:val="none" w:sz="0" w:space="0" w:color="auto"/>
        <w:bottom w:val="none" w:sz="0" w:space="0" w:color="auto"/>
        <w:right w:val="none" w:sz="0" w:space="0" w:color="auto"/>
      </w:divBdr>
    </w:div>
    <w:div w:id="1568416785">
      <w:bodyDiv w:val="1"/>
      <w:marLeft w:val="0"/>
      <w:marRight w:val="0"/>
      <w:marTop w:val="0"/>
      <w:marBottom w:val="0"/>
      <w:divBdr>
        <w:top w:val="none" w:sz="0" w:space="0" w:color="auto"/>
        <w:left w:val="none" w:sz="0" w:space="0" w:color="auto"/>
        <w:bottom w:val="none" w:sz="0" w:space="0" w:color="auto"/>
        <w:right w:val="none" w:sz="0" w:space="0" w:color="auto"/>
      </w:divBdr>
    </w:div>
    <w:div w:id="1585411352">
      <w:bodyDiv w:val="1"/>
      <w:marLeft w:val="0"/>
      <w:marRight w:val="0"/>
      <w:marTop w:val="0"/>
      <w:marBottom w:val="0"/>
      <w:divBdr>
        <w:top w:val="none" w:sz="0" w:space="0" w:color="auto"/>
        <w:left w:val="none" w:sz="0" w:space="0" w:color="auto"/>
        <w:bottom w:val="none" w:sz="0" w:space="0" w:color="auto"/>
        <w:right w:val="none" w:sz="0" w:space="0" w:color="auto"/>
      </w:divBdr>
    </w:div>
    <w:div w:id="1608459761">
      <w:bodyDiv w:val="1"/>
      <w:marLeft w:val="0"/>
      <w:marRight w:val="0"/>
      <w:marTop w:val="0"/>
      <w:marBottom w:val="0"/>
      <w:divBdr>
        <w:top w:val="none" w:sz="0" w:space="0" w:color="auto"/>
        <w:left w:val="none" w:sz="0" w:space="0" w:color="auto"/>
        <w:bottom w:val="none" w:sz="0" w:space="0" w:color="auto"/>
        <w:right w:val="none" w:sz="0" w:space="0" w:color="auto"/>
      </w:divBdr>
    </w:div>
    <w:div w:id="1614551395">
      <w:bodyDiv w:val="1"/>
      <w:marLeft w:val="0"/>
      <w:marRight w:val="0"/>
      <w:marTop w:val="0"/>
      <w:marBottom w:val="0"/>
      <w:divBdr>
        <w:top w:val="none" w:sz="0" w:space="0" w:color="auto"/>
        <w:left w:val="none" w:sz="0" w:space="0" w:color="auto"/>
        <w:bottom w:val="none" w:sz="0" w:space="0" w:color="auto"/>
        <w:right w:val="none" w:sz="0" w:space="0" w:color="auto"/>
      </w:divBdr>
    </w:div>
    <w:div w:id="1628396037">
      <w:bodyDiv w:val="1"/>
      <w:marLeft w:val="0"/>
      <w:marRight w:val="0"/>
      <w:marTop w:val="0"/>
      <w:marBottom w:val="0"/>
      <w:divBdr>
        <w:top w:val="none" w:sz="0" w:space="0" w:color="auto"/>
        <w:left w:val="none" w:sz="0" w:space="0" w:color="auto"/>
        <w:bottom w:val="none" w:sz="0" w:space="0" w:color="auto"/>
        <w:right w:val="none" w:sz="0" w:space="0" w:color="auto"/>
      </w:divBdr>
    </w:div>
    <w:div w:id="1643651671">
      <w:bodyDiv w:val="1"/>
      <w:marLeft w:val="0"/>
      <w:marRight w:val="0"/>
      <w:marTop w:val="0"/>
      <w:marBottom w:val="0"/>
      <w:divBdr>
        <w:top w:val="none" w:sz="0" w:space="0" w:color="auto"/>
        <w:left w:val="none" w:sz="0" w:space="0" w:color="auto"/>
        <w:bottom w:val="none" w:sz="0" w:space="0" w:color="auto"/>
        <w:right w:val="none" w:sz="0" w:space="0" w:color="auto"/>
      </w:divBdr>
    </w:div>
    <w:div w:id="1656180458">
      <w:bodyDiv w:val="1"/>
      <w:marLeft w:val="0"/>
      <w:marRight w:val="0"/>
      <w:marTop w:val="0"/>
      <w:marBottom w:val="0"/>
      <w:divBdr>
        <w:top w:val="none" w:sz="0" w:space="0" w:color="auto"/>
        <w:left w:val="none" w:sz="0" w:space="0" w:color="auto"/>
        <w:bottom w:val="none" w:sz="0" w:space="0" w:color="auto"/>
        <w:right w:val="none" w:sz="0" w:space="0" w:color="auto"/>
      </w:divBdr>
    </w:div>
    <w:div w:id="1659529231">
      <w:bodyDiv w:val="1"/>
      <w:marLeft w:val="0"/>
      <w:marRight w:val="0"/>
      <w:marTop w:val="0"/>
      <w:marBottom w:val="0"/>
      <w:divBdr>
        <w:top w:val="none" w:sz="0" w:space="0" w:color="auto"/>
        <w:left w:val="none" w:sz="0" w:space="0" w:color="auto"/>
        <w:bottom w:val="none" w:sz="0" w:space="0" w:color="auto"/>
        <w:right w:val="none" w:sz="0" w:space="0" w:color="auto"/>
      </w:divBdr>
    </w:div>
    <w:div w:id="1662271105">
      <w:bodyDiv w:val="1"/>
      <w:marLeft w:val="0"/>
      <w:marRight w:val="0"/>
      <w:marTop w:val="0"/>
      <w:marBottom w:val="0"/>
      <w:divBdr>
        <w:top w:val="none" w:sz="0" w:space="0" w:color="auto"/>
        <w:left w:val="none" w:sz="0" w:space="0" w:color="auto"/>
        <w:bottom w:val="none" w:sz="0" w:space="0" w:color="auto"/>
        <w:right w:val="none" w:sz="0" w:space="0" w:color="auto"/>
      </w:divBdr>
    </w:div>
    <w:div w:id="1667320579">
      <w:bodyDiv w:val="1"/>
      <w:marLeft w:val="0"/>
      <w:marRight w:val="0"/>
      <w:marTop w:val="0"/>
      <w:marBottom w:val="0"/>
      <w:divBdr>
        <w:top w:val="none" w:sz="0" w:space="0" w:color="auto"/>
        <w:left w:val="none" w:sz="0" w:space="0" w:color="auto"/>
        <w:bottom w:val="none" w:sz="0" w:space="0" w:color="auto"/>
        <w:right w:val="none" w:sz="0" w:space="0" w:color="auto"/>
      </w:divBdr>
    </w:div>
    <w:div w:id="1671518196">
      <w:bodyDiv w:val="1"/>
      <w:marLeft w:val="0"/>
      <w:marRight w:val="0"/>
      <w:marTop w:val="0"/>
      <w:marBottom w:val="0"/>
      <w:divBdr>
        <w:top w:val="none" w:sz="0" w:space="0" w:color="auto"/>
        <w:left w:val="none" w:sz="0" w:space="0" w:color="auto"/>
        <w:bottom w:val="none" w:sz="0" w:space="0" w:color="auto"/>
        <w:right w:val="none" w:sz="0" w:space="0" w:color="auto"/>
      </w:divBdr>
    </w:div>
    <w:div w:id="1677461056">
      <w:bodyDiv w:val="1"/>
      <w:marLeft w:val="0"/>
      <w:marRight w:val="0"/>
      <w:marTop w:val="0"/>
      <w:marBottom w:val="0"/>
      <w:divBdr>
        <w:top w:val="none" w:sz="0" w:space="0" w:color="auto"/>
        <w:left w:val="none" w:sz="0" w:space="0" w:color="auto"/>
        <w:bottom w:val="none" w:sz="0" w:space="0" w:color="auto"/>
        <w:right w:val="none" w:sz="0" w:space="0" w:color="auto"/>
      </w:divBdr>
    </w:div>
    <w:div w:id="1678851116">
      <w:bodyDiv w:val="1"/>
      <w:marLeft w:val="0"/>
      <w:marRight w:val="0"/>
      <w:marTop w:val="0"/>
      <w:marBottom w:val="0"/>
      <w:divBdr>
        <w:top w:val="none" w:sz="0" w:space="0" w:color="auto"/>
        <w:left w:val="none" w:sz="0" w:space="0" w:color="auto"/>
        <w:bottom w:val="none" w:sz="0" w:space="0" w:color="auto"/>
        <w:right w:val="none" w:sz="0" w:space="0" w:color="auto"/>
      </w:divBdr>
    </w:div>
    <w:div w:id="1680161008">
      <w:bodyDiv w:val="1"/>
      <w:marLeft w:val="0"/>
      <w:marRight w:val="0"/>
      <w:marTop w:val="0"/>
      <w:marBottom w:val="0"/>
      <w:divBdr>
        <w:top w:val="none" w:sz="0" w:space="0" w:color="auto"/>
        <w:left w:val="none" w:sz="0" w:space="0" w:color="auto"/>
        <w:bottom w:val="none" w:sz="0" w:space="0" w:color="auto"/>
        <w:right w:val="none" w:sz="0" w:space="0" w:color="auto"/>
      </w:divBdr>
    </w:div>
    <w:div w:id="1718897113">
      <w:bodyDiv w:val="1"/>
      <w:marLeft w:val="0"/>
      <w:marRight w:val="0"/>
      <w:marTop w:val="0"/>
      <w:marBottom w:val="0"/>
      <w:divBdr>
        <w:top w:val="none" w:sz="0" w:space="0" w:color="auto"/>
        <w:left w:val="none" w:sz="0" w:space="0" w:color="auto"/>
        <w:bottom w:val="none" w:sz="0" w:space="0" w:color="auto"/>
        <w:right w:val="none" w:sz="0" w:space="0" w:color="auto"/>
      </w:divBdr>
    </w:div>
    <w:div w:id="1726442998">
      <w:bodyDiv w:val="1"/>
      <w:marLeft w:val="0"/>
      <w:marRight w:val="0"/>
      <w:marTop w:val="0"/>
      <w:marBottom w:val="0"/>
      <w:divBdr>
        <w:top w:val="none" w:sz="0" w:space="0" w:color="auto"/>
        <w:left w:val="none" w:sz="0" w:space="0" w:color="auto"/>
        <w:bottom w:val="none" w:sz="0" w:space="0" w:color="auto"/>
        <w:right w:val="none" w:sz="0" w:space="0" w:color="auto"/>
      </w:divBdr>
    </w:div>
    <w:div w:id="1732269475">
      <w:bodyDiv w:val="1"/>
      <w:marLeft w:val="0"/>
      <w:marRight w:val="0"/>
      <w:marTop w:val="0"/>
      <w:marBottom w:val="0"/>
      <w:divBdr>
        <w:top w:val="none" w:sz="0" w:space="0" w:color="auto"/>
        <w:left w:val="none" w:sz="0" w:space="0" w:color="auto"/>
        <w:bottom w:val="none" w:sz="0" w:space="0" w:color="auto"/>
        <w:right w:val="none" w:sz="0" w:space="0" w:color="auto"/>
      </w:divBdr>
    </w:div>
    <w:div w:id="1732575854">
      <w:bodyDiv w:val="1"/>
      <w:marLeft w:val="0"/>
      <w:marRight w:val="0"/>
      <w:marTop w:val="0"/>
      <w:marBottom w:val="0"/>
      <w:divBdr>
        <w:top w:val="none" w:sz="0" w:space="0" w:color="auto"/>
        <w:left w:val="none" w:sz="0" w:space="0" w:color="auto"/>
        <w:bottom w:val="none" w:sz="0" w:space="0" w:color="auto"/>
        <w:right w:val="none" w:sz="0" w:space="0" w:color="auto"/>
      </w:divBdr>
    </w:div>
    <w:div w:id="1743021638">
      <w:bodyDiv w:val="1"/>
      <w:marLeft w:val="0"/>
      <w:marRight w:val="0"/>
      <w:marTop w:val="0"/>
      <w:marBottom w:val="0"/>
      <w:divBdr>
        <w:top w:val="none" w:sz="0" w:space="0" w:color="auto"/>
        <w:left w:val="none" w:sz="0" w:space="0" w:color="auto"/>
        <w:bottom w:val="none" w:sz="0" w:space="0" w:color="auto"/>
        <w:right w:val="none" w:sz="0" w:space="0" w:color="auto"/>
      </w:divBdr>
    </w:div>
    <w:div w:id="1748264605">
      <w:bodyDiv w:val="1"/>
      <w:marLeft w:val="0"/>
      <w:marRight w:val="0"/>
      <w:marTop w:val="0"/>
      <w:marBottom w:val="0"/>
      <w:divBdr>
        <w:top w:val="none" w:sz="0" w:space="0" w:color="auto"/>
        <w:left w:val="none" w:sz="0" w:space="0" w:color="auto"/>
        <w:bottom w:val="none" w:sz="0" w:space="0" w:color="auto"/>
        <w:right w:val="none" w:sz="0" w:space="0" w:color="auto"/>
      </w:divBdr>
    </w:div>
    <w:div w:id="1753887192">
      <w:bodyDiv w:val="1"/>
      <w:marLeft w:val="0"/>
      <w:marRight w:val="0"/>
      <w:marTop w:val="0"/>
      <w:marBottom w:val="0"/>
      <w:divBdr>
        <w:top w:val="none" w:sz="0" w:space="0" w:color="auto"/>
        <w:left w:val="none" w:sz="0" w:space="0" w:color="auto"/>
        <w:bottom w:val="none" w:sz="0" w:space="0" w:color="auto"/>
        <w:right w:val="none" w:sz="0" w:space="0" w:color="auto"/>
      </w:divBdr>
    </w:div>
    <w:div w:id="1763641694">
      <w:bodyDiv w:val="1"/>
      <w:marLeft w:val="0"/>
      <w:marRight w:val="0"/>
      <w:marTop w:val="0"/>
      <w:marBottom w:val="0"/>
      <w:divBdr>
        <w:top w:val="none" w:sz="0" w:space="0" w:color="auto"/>
        <w:left w:val="none" w:sz="0" w:space="0" w:color="auto"/>
        <w:bottom w:val="none" w:sz="0" w:space="0" w:color="auto"/>
        <w:right w:val="none" w:sz="0" w:space="0" w:color="auto"/>
      </w:divBdr>
    </w:div>
    <w:div w:id="1765999749">
      <w:bodyDiv w:val="1"/>
      <w:marLeft w:val="0"/>
      <w:marRight w:val="0"/>
      <w:marTop w:val="0"/>
      <w:marBottom w:val="0"/>
      <w:divBdr>
        <w:top w:val="none" w:sz="0" w:space="0" w:color="auto"/>
        <w:left w:val="none" w:sz="0" w:space="0" w:color="auto"/>
        <w:bottom w:val="none" w:sz="0" w:space="0" w:color="auto"/>
        <w:right w:val="none" w:sz="0" w:space="0" w:color="auto"/>
      </w:divBdr>
    </w:div>
    <w:div w:id="1768621304">
      <w:bodyDiv w:val="1"/>
      <w:marLeft w:val="0"/>
      <w:marRight w:val="0"/>
      <w:marTop w:val="0"/>
      <w:marBottom w:val="0"/>
      <w:divBdr>
        <w:top w:val="none" w:sz="0" w:space="0" w:color="auto"/>
        <w:left w:val="none" w:sz="0" w:space="0" w:color="auto"/>
        <w:bottom w:val="none" w:sz="0" w:space="0" w:color="auto"/>
        <w:right w:val="none" w:sz="0" w:space="0" w:color="auto"/>
      </w:divBdr>
    </w:div>
    <w:div w:id="1770395586">
      <w:bodyDiv w:val="1"/>
      <w:marLeft w:val="0"/>
      <w:marRight w:val="0"/>
      <w:marTop w:val="0"/>
      <w:marBottom w:val="0"/>
      <w:divBdr>
        <w:top w:val="none" w:sz="0" w:space="0" w:color="auto"/>
        <w:left w:val="none" w:sz="0" w:space="0" w:color="auto"/>
        <w:bottom w:val="none" w:sz="0" w:space="0" w:color="auto"/>
        <w:right w:val="none" w:sz="0" w:space="0" w:color="auto"/>
      </w:divBdr>
    </w:div>
    <w:div w:id="1779249294">
      <w:bodyDiv w:val="1"/>
      <w:marLeft w:val="0"/>
      <w:marRight w:val="0"/>
      <w:marTop w:val="0"/>
      <w:marBottom w:val="0"/>
      <w:divBdr>
        <w:top w:val="none" w:sz="0" w:space="0" w:color="auto"/>
        <w:left w:val="none" w:sz="0" w:space="0" w:color="auto"/>
        <w:bottom w:val="none" w:sz="0" w:space="0" w:color="auto"/>
        <w:right w:val="none" w:sz="0" w:space="0" w:color="auto"/>
      </w:divBdr>
    </w:div>
    <w:div w:id="1779332648">
      <w:bodyDiv w:val="1"/>
      <w:marLeft w:val="0"/>
      <w:marRight w:val="0"/>
      <w:marTop w:val="0"/>
      <w:marBottom w:val="0"/>
      <w:divBdr>
        <w:top w:val="none" w:sz="0" w:space="0" w:color="auto"/>
        <w:left w:val="none" w:sz="0" w:space="0" w:color="auto"/>
        <w:bottom w:val="none" w:sz="0" w:space="0" w:color="auto"/>
        <w:right w:val="none" w:sz="0" w:space="0" w:color="auto"/>
      </w:divBdr>
    </w:div>
    <w:div w:id="1790707389">
      <w:bodyDiv w:val="1"/>
      <w:marLeft w:val="0"/>
      <w:marRight w:val="0"/>
      <w:marTop w:val="0"/>
      <w:marBottom w:val="0"/>
      <w:divBdr>
        <w:top w:val="none" w:sz="0" w:space="0" w:color="auto"/>
        <w:left w:val="none" w:sz="0" w:space="0" w:color="auto"/>
        <w:bottom w:val="none" w:sz="0" w:space="0" w:color="auto"/>
        <w:right w:val="none" w:sz="0" w:space="0" w:color="auto"/>
      </w:divBdr>
    </w:div>
    <w:div w:id="1802529002">
      <w:bodyDiv w:val="1"/>
      <w:marLeft w:val="0"/>
      <w:marRight w:val="0"/>
      <w:marTop w:val="0"/>
      <w:marBottom w:val="0"/>
      <w:divBdr>
        <w:top w:val="none" w:sz="0" w:space="0" w:color="auto"/>
        <w:left w:val="none" w:sz="0" w:space="0" w:color="auto"/>
        <w:bottom w:val="none" w:sz="0" w:space="0" w:color="auto"/>
        <w:right w:val="none" w:sz="0" w:space="0" w:color="auto"/>
      </w:divBdr>
    </w:div>
    <w:div w:id="1813138864">
      <w:bodyDiv w:val="1"/>
      <w:marLeft w:val="0"/>
      <w:marRight w:val="0"/>
      <w:marTop w:val="0"/>
      <w:marBottom w:val="0"/>
      <w:divBdr>
        <w:top w:val="none" w:sz="0" w:space="0" w:color="auto"/>
        <w:left w:val="none" w:sz="0" w:space="0" w:color="auto"/>
        <w:bottom w:val="none" w:sz="0" w:space="0" w:color="auto"/>
        <w:right w:val="none" w:sz="0" w:space="0" w:color="auto"/>
      </w:divBdr>
    </w:div>
    <w:div w:id="1814591367">
      <w:bodyDiv w:val="1"/>
      <w:marLeft w:val="0"/>
      <w:marRight w:val="0"/>
      <w:marTop w:val="0"/>
      <w:marBottom w:val="0"/>
      <w:divBdr>
        <w:top w:val="none" w:sz="0" w:space="0" w:color="auto"/>
        <w:left w:val="none" w:sz="0" w:space="0" w:color="auto"/>
        <w:bottom w:val="none" w:sz="0" w:space="0" w:color="auto"/>
        <w:right w:val="none" w:sz="0" w:space="0" w:color="auto"/>
      </w:divBdr>
    </w:div>
    <w:div w:id="1814639876">
      <w:bodyDiv w:val="1"/>
      <w:marLeft w:val="0"/>
      <w:marRight w:val="0"/>
      <w:marTop w:val="0"/>
      <w:marBottom w:val="0"/>
      <w:divBdr>
        <w:top w:val="none" w:sz="0" w:space="0" w:color="auto"/>
        <w:left w:val="none" w:sz="0" w:space="0" w:color="auto"/>
        <w:bottom w:val="none" w:sz="0" w:space="0" w:color="auto"/>
        <w:right w:val="none" w:sz="0" w:space="0" w:color="auto"/>
      </w:divBdr>
    </w:div>
    <w:div w:id="1814906416">
      <w:bodyDiv w:val="1"/>
      <w:marLeft w:val="0"/>
      <w:marRight w:val="0"/>
      <w:marTop w:val="0"/>
      <w:marBottom w:val="0"/>
      <w:divBdr>
        <w:top w:val="none" w:sz="0" w:space="0" w:color="auto"/>
        <w:left w:val="none" w:sz="0" w:space="0" w:color="auto"/>
        <w:bottom w:val="none" w:sz="0" w:space="0" w:color="auto"/>
        <w:right w:val="none" w:sz="0" w:space="0" w:color="auto"/>
      </w:divBdr>
    </w:div>
    <w:div w:id="1826311307">
      <w:bodyDiv w:val="1"/>
      <w:marLeft w:val="0"/>
      <w:marRight w:val="0"/>
      <w:marTop w:val="0"/>
      <w:marBottom w:val="0"/>
      <w:divBdr>
        <w:top w:val="none" w:sz="0" w:space="0" w:color="auto"/>
        <w:left w:val="none" w:sz="0" w:space="0" w:color="auto"/>
        <w:bottom w:val="none" w:sz="0" w:space="0" w:color="auto"/>
        <w:right w:val="none" w:sz="0" w:space="0" w:color="auto"/>
      </w:divBdr>
    </w:div>
    <w:div w:id="1830365156">
      <w:bodyDiv w:val="1"/>
      <w:marLeft w:val="0"/>
      <w:marRight w:val="0"/>
      <w:marTop w:val="0"/>
      <w:marBottom w:val="0"/>
      <w:divBdr>
        <w:top w:val="none" w:sz="0" w:space="0" w:color="auto"/>
        <w:left w:val="none" w:sz="0" w:space="0" w:color="auto"/>
        <w:bottom w:val="none" w:sz="0" w:space="0" w:color="auto"/>
        <w:right w:val="none" w:sz="0" w:space="0" w:color="auto"/>
      </w:divBdr>
    </w:div>
    <w:div w:id="1834567248">
      <w:bodyDiv w:val="1"/>
      <w:marLeft w:val="0"/>
      <w:marRight w:val="0"/>
      <w:marTop w:val="0"/>
      <w:marBottom w:val="0"/>
      <w:divBdr>
        <w:top w:val="none" w:sz="0" w:space="0" w:color="auto"/>
        <w:left w:val="none" w:sz="0" w:space="0" w:color="auto"/>
        <w:bottom w:val="none" w:sz="0" w:space="0" w:color="auto"/>
        <w:right w:val="none" w:sz="0" w:space="0" w:color="auto"/>
      </w:divBdr>
    </w:div>
    <w:div w:id="1850561904">
      <w:bodyDiv w:val="1"/>
      <w:marLeft w:val="0"/>
      <w:marRight w:val="0"/>
      <w:marTop w:val="0"/>
      <w:marBottom w:val="0"/>
      <w:divBdr>
        <w:top w:val="none" w:sz="0" w:space="0" w:color="auto"/>
        <w:left w:val="none" w:sz="0" w:space="0" w:color="auto"/>
        <w:bottom w:val="none" w:sz="0" w:space="0" w:color="auto"/>
        <w:right w:val="none" w:sz="0" w:space="0" w:color="auto"/>
      </w:divBdr>
    </w:div>
    <w:div w:id="1860926841">
      <w:bodyDiv w:val="1"/>
      <w:marLeft w:val="0"/>
      <w:marRight w:val="0"/>
      <w:marTop w:val="0"/>
      <w:marBottom w:val="0"/>
      <w:divBdr>
        <w:top w:val="none" w:sz="0" w:space="0" w:color="auto"/>
        <w:left w:val="none" w:sz="0" w:space="0" w:color="auto"/>
        <w:bottom w:val="none" w:sz="0" w:space="0" w:color="auto"/>
        <w:right w:val="none" w:sz="0" w:space="0" w:color="auto"/>
      </w:divBdr>
    </w:div>
    <w:div w:id="1870333477">
      <w:bodyDiv w:val="1"/>
      <w:marLeft w:val="0"/>
      <w:marRight w:val="0"/>
      <w:marTop w:val="0"/>
      <w:marBottom w:val="0"/>
      <w:divBdr>
        <w:top w:val="none" w:sz="0" w:space="0" w:color="auto"/>
        <w:left w:val="none" w:sz="0" w:space="0" w:color="auto"/>
        <w:bottom w:val="none" w:sz="0" w:space="0" w:color="auto"/>
        <w:right w:val="none" w:sz="0" w:space="0" w:color="auto"/>
      </w:divBdr>
    </w:div>
    <w:div w:id="1877161211">
      <w:bodyDiv w:val="1"/>
      <w:marLeft w:val="0"/>
      <w:marRight w:val="0"/>
      <w:marTop w:val="0"/>
      <w:marBottom w:val="0"/>
      <w:divBdr>
        <w:top w:val="none" w:sz="0" w:space="0" w:color="auto"/>
        <w:left w:val="none" w:sz="0" w:space="0" w:color="auto"/>
        <w:bottom w:val="none" w:sz="0" w:space="0" w:color="auto"/>
        <w:right w:val="none" w:sz="0" w:space="0" w:color="auto"/>
      </w:divBdr>
    </w:div>
    <w:div w:id="1878423779">
      <w:bodyDiv w:val="1"/>
      <w:marLeft w:val="0"/>
      <w:marRight w:val="0"/>
      <w:marTop w:val="0"/>
      <w:marBottom w:val="0"/>
      <w:divBdr>
        <w:top w:val="none" w:sz="0" w:space="0" w:color="auto"/>
        <w:left w:val="none" w:sz="0" w:space="0" w:color="auto"/>
        <w:bottom w:val="none" w:sz="0" w:space="0" w:color="auto"/>
        <w:right w:val="none" w:sz="0" w:space="0" w:color="auto"/>
      </w:divBdr>
    </w:div>
    <w:div w:id="1883784334">
      <w:bodyDiv w:val="1"/>
      <w:marLeft w:val="0"/>
      <w:marRight w:val="0"/>
      <w:marTop w:val="0"/>
      <w:marBottom w:val="0"/>
      <w:divBdr>
        <w:top w:val="none" w:sz="0" w:space="0" w:color="auto"/>
        <w:left w:val="none" w:sz="0" w:space="0" w:color="auto"/>
        <w:bottom w:val="none" w:sz="0" w:space="0" w:color="auto"/>
        <w:right w:val="none" w:sz="0" w:space="0" w:color="auto"/>
      </w:divBdr>
    </w:div>
    <w:div w:id="1884249915">
      <w:bodyDiv w:val="1"/>
      <w:marLeft w:val="0"/>
      <w:marRight w:val="0"/>
      <w:marTop w:val="0"/>
      <w:marBottom w:val="0"/>
      <w:divBdr>
        <w:top w:val="none" w:sz="0" w:space="0" w:color="auto"/>
        <w:left w:val="none" w:sz="0" w:space="0" w:color="auto"/>
        <w:bottom w:val="none" w:sz="0" w:space="0" w:color="auto"/>
        <w:right w:val="none" w:sz="0" w:space="0" w:color="auto"/>
      </w:divBdr>
    </w:div>
    <w:div w:id="1891575832">
      <w:bodyDiv w:val="1"/>
      <w:marLeft w:val="0"/>
      <w:marRight w:val="0"/>
      <w:marTop w:val="0"/>
      <w:marBottom w:val="0"/>
      <w:divBdr>
        <w:top w:val="none" w:sz="0" w:space="0" w:color="auto"/>
        <w:left w:val="none" w:sz="0" w:space="0" w:color="auto"/>
        <w:bottom w:val="none" w:sz="0" w:space="0" w:color="auto"/>
        <w:right w:val="none" w:sz="0" w:space="0" w:color="auto"/>
      </w:divBdr>
    </w:div>
    <w:div w:id="1899196185">
      <w:bodyDiv w:val="1"/>
      <w:marLeft w:val="0"/>
      <w:marRight w:val="0"/>
      <w:marTop w:val="0"/>
      <w:marBottom w:val="0"/>
      <w:divBdr>
        <w:top w:val="none" w:sz="0" w:space="0" w:color="auto"/>
        <w:left w:val="none" w:sz="0" w:space="0" w:color="auto"/>
        <w:bottom w:val="none" w:sz="0" w:space="0" w:color="auto"/>
        <w:right w:val="none" w:sz="0" w:space="0" w:color="auto"/>
      </w:divBdr>
    </w:div>
    <w:div w:id="1912352873">
      <w:bodyDiv w:val="1"/>
      <w:marLeft w:val="0"/>
      <w:marRight w:val="0"/>
      <w:marTop w:val="0"/>
      <w:marBottom w:val="0"/>
      <w:divBdr>
        <w:top w:val="none" w:sz="0" w:space="0" w:color="auto"/>
        <w:left w:val="none" w:sz="0" w:space="0" w:color="auto"/>
        <w:bottom w:val="none" w:sz="0" w:space="0" w:color="auto"/>
        <w:right w:val="none" w:sz="0" w:space="0" w:color="auto"/>
      </w:divBdr>
    </w:div>
    <w:div w:id="1919439761">
      <w:bodyDiv w:val="1"/>
      <w:marLeft w:val="0"/>
      <w:marRight w:val="0"/>
      <w:marTop w:val="0"/>
      <w:marBottom w:val="0"/>
      <w:divBdr>
        <w:top w:val="none" w:sz="0" w:space="0" w:color="auto"/>
        <w:left w:val="none" w:sz="0" w:space="0" w:color="auto"/>
        <w:bottom w:val="none" w:sz="0" w:space="0" w:color="auto"/>
        <w:right w:val="none" w:sz="0" w:space="0" w:color="auto"/>
      </w:divBdr>
    </w:div>
    <w:div w:id="1933052586">
      <w:bodyDiv w:val="1"/>
      <w:marLeft w:val="0"/>
      <w:marRight w:val="0"/>
      <w:marTop w:val="0"/>
      <w:marBottom w:val="0"/>
      <w:divBdr>
        <w:top w:val="none" w:sz="0" w:space="0" w:color="auto"/>
        <w:left w:val="none" w:sz="0" w:space="0" w:color="auto"/>
        <w:bottom w:val="none" w:sz="0" w:space="0" w:color="auto"/>
        <w:right w:val="none" w:sz="0" w:space="0" w:color="auto"/>
      </w:divBdr>
    </w:div>
    <w:div w:id="1942107927">
      <w:bodyDiv w:val="1"/>
      <w:marLeft w:val="0"/>
      <w:marRight w:val="0"/>
      <w:marTop w:val="0"/>
      <w:marBottom w:val="0"/>
      <w:divBdr>
        <w:top w:val="none" w:sz="0" w:space="0" w:color="auto"/>
        <w:left w:val="none" w:sz="0" w:space="0" w:color="auto"/>
        <w:bottom w:val="none" w:sz="0" w:space="0" w:color="auto"/>
        <w:right w:val="none" w:sz="0" w:space="0" w:color="auto"/>
      </w:divBdr>
    </w:div>
    <w:div w:id="1943414484">
      <w:bodyDiv w:val="1"/>
      <w:marLeft w:val="0"/>
      <w:marRight w:val="0"/>
      <w:marTop w:val="0"/>
      <w:marBottom w:val="0"/>
      <w:divBdr>
        <w:top w:val="none" w:sz="0" w:space="0" w:color="auto"/>
        <w:left w:val="none" w:sz="0" w:space="0" w:color="auto"/>
        <w:bottom w:val="none" w:sz="0" w:space="0" w:color="auto"/>
        <w:right w:val="none" w:sz="0" w:space="0" w:color="auto"/>
      </w:divBdr>
    </w:div>
    <w:div w:id="1951235316">
      <w:bodyDiv w:val="1"/>
      <w:marLeft w:val="0"/>
      <w:marRight w:val="0"/>
      <w:marTop w:val="0"/>
      <w:marBottom w:val="0"/>
      <w:divBdr>
        <w:top w:val="none" w:sz="0" w:space="0" w:color="auto"/>
        <w:left w:val="none" w:sz="0" w:space="0" w:color="auto"/>
        <w:bottom w:val="none" w:sz="0" w:space="0" w:color="auto"/>
        <w:right w:val="none" w:sz="0" w:space="0" w:color="auto"/>
      </w:divBdr>
    </w:div>
    <w:div w:id="1952742038">
      <w:bodyDiv w:val="1"/>
      <w:marLeft w:val="0"/>
      <w:marRight w:val="0"/>
      <w:marTop w:val="0"/>
      <w:marBottom w:val="0"/>
      <w:divBdr>
        <w:top w:val="none" w:sz="0" w:space="0" w:color="auto"/>
        <w:left w:val="none" w:sz="0" w:space="0" w:color="auto"/>
        <w:bottom w:val="none" w:sz="0" w:space="0" w:color="auto"/>
        <w:right w:val="none" w:sz="0" w:space="0" w:color="auto"/>
      </w:divBdr>
    </w:div>
    <w:div w:id="1958176851">
      <w:bodyDiv w:val="1"/>
      <w:marLeft w:val="0"/>
      <w:marRight w:val="0"/>
      <w:marTop w:val="0"/>
      <w:marBottom w:val="0"/>
      <w:divBdr>
        <w:top w:val="none" w:sz="0" w:space="0" w:color="auto"/>
        <w:left w:val="none" w:sz="0" w:space="0" w:color="auto"/>
        <w:bottom w:val="none" w:sz="0" w:space="0" w:color="auto"/>
        <w:right w:val="none" w:sz="0" w:space="0" w:color="auto"/>
      </w:divBdr>
    </w:div>
    <w:div w:id="1959949358">
      <w:bodyDiv w:val="1"/>
      <w:marLeft w:val="0"/>
      <w:marRight w:val="0"/>
      <w:marTop w:val="0"/>
      <w:marBottom w:val="0"/>
      <w:divBdr>
        <w:top w:val="none" w:sz="0" w:space="0" w:color="auto"/>
        <w:left w:val="none" w:sz="0" w:space="0" w:color="auto"/>
        <w:bottom w:val="none" w:sz="0" w:space="0" w:color="auto"/>
        <w:right w:val="none" w:sz="0" w:space="0" w:color="auto"/>
      </w:divBdr>
    </w:div>
    <w:div w:id="1961566797">
      <w:bodyDiv w:val="1"/>
      <w:marLeft w:val="0"/>
      <w:marRight w:val="0"/>
      <w:marTop w:val="0"/>
      <w:marBottom w:val="0"/>
      <w:divBdr>
        <w:top w:val="none" w:sz="0" w:space="0" w:color="auto"/>
        <w:left w:val="none" w:sz="0" w:space="0" w:color="auto"/>
        <w:bottom w:val="none" w:sz="0" w:space="0" w:color="auto"/>
        <w:right w:val="none" w:sz="0" w:space="0" w:color="auto"/>
      </w:divBdr>
    </w:div>
    <w:div w:id="1973823934">
      <w:bodyDiv w:val="1"/>
      <w:marLeft w:val="0"/>
      <w:marRight w:val="0"/>
      <w:marTop w:val="0"/>
      <w:marBottom w:val="0"/>
      <w:divBdr>
        <w:top w:val="none" w:sz="0" w:space="0" w:color="auto"/>
        <w:left w:val="none" w:sz="0" w:space="0" w:color="auto"/>
        <w:bottom w:val="none" w:sz="0" w:space="0" w:color="auto"/>
        <w:right w:val="none" w:sz="0" w:space="0" w:color="auto"/>
      </w:divBdr>
    </w:div>
    <w:div w:id="1974362659">
      <w:bodyDiv w:val="1"/>
      <w:marLeft w:val="0"/>
      <w:marRight w:val="0"/>
      <w:marTop w:val="0"/>
      <w:marBottom w:val="0"/>
      <w:divBdr>
        <w:top w:val="none" w:sz="0" w:space="0" w:color="auto"/>
        <w:left w:val="none" w:sz="0" w:space="0" w:color="auto"/>
        <w:bottom w:val="none" w:sz="0" w:space="0" w:color="auto"/>
        <w:right w:val="none" w:sz="0" w:space="0" w:color="auto"/>
      </w:divBdr>
    </w:div>
    <w:div w:id="1975524444">
      <w:bodyDiv w:val="1"/>
      <w:marLeft w:val="0"/>
      <w:marRight w:val="0"/>
      <w:marTop w:val="0"/>
      <w:marBottom w:val="0"/>
      <w:divBdr>
        <w:top w:val="none" w:sz="0" w:space="0" w:color="auto"/>
        <w:left w:val="none" w:sz="0" w:space="0" w:color="auto"/>
        <w:bottom w:val="none" w:sz="0" w:space="0" w:color="auto"/>
        <w:right w:val="none" w:sz="0" w:space="0" w:color="auto"/>
      </w:divBdr>
    </w:div>
    <w:div w:id="1977249310">
      <w:bodyDiv w:val="1"/>
      <w:marLeft w:val="0"/>
      <w:marRight w:val="0"/>
      <w:marTop w:val="0"/>
      <w:marBottom w:val="0"/>
      <w:divBdr>
        <w:top w:val="none" w:sz="0" w:space="0" w:color="auto"/>
        <w:left w:val="none" w:sz="0" w:space="0" w:color="auto"/>
        <w:bottom w:val="none" w:sz="0" w:space="0" w:color="auto"/>
        <w:right w:val="none" w:sz="0" w:space="0" w:color="auto"/>
      </w:divBdr>
    </w:div>
    <w:div w:id="1983120202">
      <w:bodyDiv w:val="1"/>
      <w:marLeft w:val="0"/>
      <w:marRight w:val="0"/>
      <w:marTop w:val="0"/>
      <w:marBottom w:val="0"/>
      <w:divBdr>
        <w:top w:val="none" w:sz="0" w:space="0" w:color="auto"/>
        <w:left w:val="none" w:sz="0" w:space="0" w:color="auto"/>
        <w:bottom w:val="none" w:sz="0" w:space="0" w:color="auto"/>
        <w:right w:val="none" w:sz="0" w:space="0" w:color="auto"/>
      </w:divBdr>
    </w:div>
    <w:div w:id="1995597029">
      <w:bodyDiv w:val="1"/>
      <w:marLeft w:val="0"/>
      <w:marRight w:val="0"/>
      <w:marTop w:val="0"/>
      <w:marBottom w:val="0"/>
      <w:divBdr>
        <w:top w:val="none" w:sz="0" w:space="0" w:color="auto"/>
        <w:left w:val="none" w:sz="0" w:space="0" w:color="auto"/>
        <w:bottom w:val="none" w:sz="0" w:space="0" w:color="auto"/>
        <w:right w:val="none" w:sz="0" w:space="0" w:color="auto"/>
      </w:divBdr>
    </w:div>
    <w:div w:id="1996298524">
      <w:bodyDiv w:val="1"/>
      <w:marLeft w:val="0"/>
      <w:marRight w:val="0"/>
      <w:marTop w:val="0"/>
      <w:marBottom w:val="0"/>
      <w:divBdr>
        <w:top w:val="none" w:sz="0" w:space="0" w:color="auto"/>
        <w:left w:val="none" w:sz="0" w:space="0" w:color="auto"/>
        <w:bottom w:val="none" w:sz="0" w:space="0" w:color="auto"/>
        <w:right w:val="none" w:sz="0" w:space="0" w:color="auto"/>
      </w:divBdr>
    </w:div>
    <w:div w:id="1996567229">
      <w:bodyDiv w:val="1"/>
      <w:marLeft w:val="0"/>
      <w:marRight w:val="0"/>
      <w:marTop w:val="0"/>
      <w:marBottom w:val="0"/>
      <w:divBdr>
        <w:top w:val="none" w:sz="0" w:space="0" w:color="auto"/>
        <w:left w:val="none" w:sz="0" w:space="0" w:color="auto"/>
        <w:bottom w:val="none" w:sz="0" w:space="0" w:color="auto"/>
        <w:right w:val="none" w:sz="0" w:space="0" w:color="auto"/>
      </w:divBdr>
    </w:div>
    <w:div w:id="2001998199">
      <w:bodyDiv w:val="1"/>
      <w:marLeft w:val="0"/>
      <w:marRight w:val="0"/>
      <w:marTop w:val="0"/>
      <w:marBottom w:val="0"/>
      <w:divBdr>
        <w:top w:val="none" w:sz="0" w:space="0" w:color="auto"/>
        <w:left w:val="none" w:sz="0" w:space="0" w:color="auto"/>
        <w:bottom w:val="none" w:sz="0" w:space="0" w:color="auto"/>
        <w:right w:val="none" w:sz="0" w:space="0" w:color="auto"/>
      </w:divBdr>
    </w:div>
    <w:div w:id="2006325434">
      <w:bodyDiv w:val="1"/>
      <w:marLeft w:val="0"/>
      <w:marRight w:val="0"/>
      <w:marTop w:val="0"/>
      <w:marBottom w:val="0"/>
      <w:divBdr>
        <w:top w:val="none" w:sz="0" w:space="0" w:color="auto"/>
        <w:left w:val="none" w:sz="0" w:space="0" w:color="auto"/>
        <w:bottom w:val="none" w:sz="0" w:space="0" w:color="auto"/>
        <w:right w:val="none" w:sz="0" w:space="0" w:color="auto"/>
      </w:divBdr>
    </w:div>
    <w:div w:id="2008556686">
      <w:bodyDiv w:val="1"/>
      <w:marLeft w:val="0"/>
      <w:marRight w:val="0"/>
      <w:marTop w:val="0"/>
      <w:marBottom w:val="0"/>
      <w:divBdr>
        <w:top w:val="none" w:sz="0" w:space="0" w:color="auto"/>
        <w:left w:val="none" w:sz="0" w:space="0" w:color="auto"/>
        <w:bottom w:val="none" w:sz="0" w:space="0" w:color="auto"/>
        <w:right w:val="none" w:sz="0" w:space="0" w:color="auto"/>
      </w:divBdr>
    </w:div>
    <w:div w:id="2013602918">
      <w:bodyDiv w:val="1"/>
      <w:marLeft w:val="0"/>
      <w:marRight w:val="0"/>
      <w:marTop w:val="0"/>
      <w:marBottom w:val="0"/>
      <w:divBdr>
        <w:top w:val="none" w:sz="0" w:space="0" w:color="auto"/>
        <w:left w:val="none" w:sz="0" w:space="0" w:color="auto"/>
        <w:bottom w:val="none" w:sz="0" w:space="0" w:color="auto"/>
        <w:right w:val="none" w:sz="0" w:space="0" w:color="auto"/>
      </w:divBdr>
    </w:div>
    <w:div w:id="2021010305">
      <w:bodyDiv w:val="1"/>
      <w:marLeft w:val="0"/>
      <w:marRight w:val="0"/>
      <w:marTop w:val="0"/>
      <w:marBottom w:val="0"/>
      <w:divBdr>
        <w:top w:val="none" w:sz="0" w:space="0" w:color="auto"/>
        <w:left w:val="none" w:sz="0" w:space="0" w:color="auto"/>
        <w:bottom w:val="none" w:sz="0" w:space="0" w:color="auto"/>
        <w:right w:val="none" w:sz="0" w:space="0" w:color="auto"/>
      </w:divBdr>
    </w:div>
    <w:div w:id="2025592210">
      <w:bodyDiv w:val="1"/>
      <w:marLeft w:val="0"/>
      <w:marRight w:val="0"/>
      <w:marTop w:val="0"/>
      <w:marBottom w:val="0"/>
      <w:divBdr>
        <w:top w:val="none" w:sz="0" w:space="0" w:color="auto"/>
        <w:left w:val="none" w:sz="0" w:space="0" w:color="auto"/>
        <w:bottom w:val="none" w:sz="0" w:space="0" w:color="auto"/>
        <w:right w:val="none" w:sz="0" w:space="0" w:color="auto"/>
      </w:divBdr>
    </w:div>
    <w:div w:id="2025861933">
      <w:bodyDiv w:val="1"/>
      <w:marLeft w:val="0"/>
      <w:marRight w:val="0"/>
      <w:marTop w:val="0"/>
      <w:marBottom w:val="0"/>
      <w:divBdr>
        <w:top w:val="none" w:sz="0" w:space="0" w:color="auto"/>
        <w:left w:val="none" w:sz="0" w:space="0" w:color="auto"/>
        <w:bottom w:val="none" w:sz="0" w:space="0" w:color="auto"/>
        <w:right w:val="none" w:sz="0" w:space="0" w:color="auto"/>
      </w:divBdr>
    </w:div>
    <w:div w:id="2028746920">
      <w:bodyDiv w:val="1"/>
      <w:marLeft w:val="0"/>
      <w:marRight w:val="0"/>
      <w:marTop w:val="0"/>
      <w:marBottom w:val="0"/>
      <w:divBdr>
        <w:top w:val="none" w:sz="0" w:space="0" w:color="auto"/>
        <w:left w:val="none" w:sz="0" w:space="0" w:color="auto"/>
        <w:bottom w:val="none" w:sz="0" w:space="0" w:color="auto"/>
        <w:right w:val="none" w:sz="0" w:space="0" w:color="auto"/>
      </w:divBdr>
    </w:div>
    <w:div w:id="2031909613">
      <w:bodyDiv w:val="1"/>
      <w:marLeft w:val="0"/>
      <w:marRight w:val="0"/>
      <w:marTop w:val="0"/>
      <w:marBottom w:val="0"/>
      <w:divBdr>
        <w:top w:val="none" w:sz="0" w:space="0" w:color="auto"/>
        <w:left w:val="none" w:sz="0" w:space="0" w:color="auto"/>
        <w:bottom w:val="none" w:sz="0" w:space="0" w:color="auto"/>
        <w:right w:val="none" w:sz="0" w:space="0" w:color="auto"/>
      </w:divBdr>
    </w:div>
    <w:div w:id="2033876650">
      <w:bodyDiv w:val="1"/>
      <w:marLeft w:val="0"/>
      <w:marRight w:val="0"/>
      <w:marTop w:val="0"/>
      <w:marBottom w:val="0"/>
      <w:divBdr>
        <w:top w:val="none" w:sz="0" w:space="0" w:color="auto"/>
        <w:left w:val="none" w:sz="0" w:space="0" w:color="auto"/>
        <w:bottom w:val="none" w:sz="0" w:space="0" w:color="auto"/>
        <w:right w:val="none" w:sz="0" w:space="0" w:color="auto"/>
      </w:divBdr>
    </w:div>
    <w:div w:id="2048216720">
      <w:bodyDiv w:val="1"/>
      <w:marLeft w:val="0"/>
      <w:marRight w:val="0"/>
      <w:marTop w:val="0"/>
      <w:marBottom w:val="0"/>
      <w:divBdr>
        <w:top w:val="none" w:sz="0" w:space="0" w:color="auto"/>
        <w:left w:val="none" w:sz="0" w:space="0" w:color="auto"/>
        <w:bottom w:val="none" w:sz="0" w:space="0" w:color="auto"/>
        <w:right w:val="none" w:sz="0" w:space="0" w:color="auto"/>
      </w:divBdr>
    </w:div>
    <w:div w:id="2056154781">
      <w:bodyDiv w:val="1"/>
      <w:marLeft w:val="0"/>
      <w:marRight w:val="0"/>
      <w:marTop w:val="0"/>
      <w:marBottom w:val="0"/>
      <w:divBdr>
        <w:top w:val="none" w:sz="0" w:space="0" w:color="auto"/>
        <w:left w:val="none" w:sz="0" w:space="0" w:color="auto"/>
        <w:bottom w:val="none" w:sz="0" w:space="0" w:color="auto"/>
        <w:right w:val="none" w:sz="0" w:space="0" w:color="auto"/>
      </w:divBdr>
    </w:div>
    <w:div w:id="2056929538">
      <w:bodyDiv w:val="1"/>
      <w:marLeft w:val="0"/>
      <w:marRight w:val="0"/>
      <w:marTop w:val="0"/>
      <w:marBottom w:val="0"/>
      <w:divBdr>
        <w:top w:val="none" w:sz="0" w:space="0" w:color="auto"/>
        <w:left w:val="none" w:sz="0" w:space="0" w:color="auto"/>
        <w:bottom w:val="none" w:sz="0" w:space="0" w:color="auto"/>
        <w:right w:val="none" w:sz="0" w:space="0" w:color="auto"/>
      </w:divBdr>
    </w:div>
    <w:div w:id="2064402657">
      <w:bodyDiv w:val="1"/>
      <w:marLeft w:val="0"/>
      <w:marRight w:val="0"/>
      <w:marTop w:val="0"/>
      <w:marBottom w:val="0"/>
      <w:divBdr>
        <w:top w:val="none" w:sz="0" w:space="0" w:color="auto"/>
        <w:left w:val="none" w:sz="0" w:space="0" w:color="auto"/>
        <w:bottom w:val="none" w:sz="0" w:space="0" w:color="auto"/>
        <w:right w:val="none" w:sz="0" w:space="0" w:color="auto"/>
      </w:divBdr>
    </w:div>
    <w:div w:id="2065712818">
      <w:bodyDiv w:val="1"/>
      <w:marLeft w:val="0"/>
      <w:marRight w:val="0"/>
      <w:marTop w:val="0"/>
      <w:marBottom w:val="0"/>
      <w:divBdr>
        <w:top w:val="none" w:sz="0" w:space="0" w:color="auto"/>
        <w:left w:val="none" w:sz="0" w:space="0" w:color="auto"/>
        <w:bottom w:val="none" w:sz="0" w:space="0" w:color="auto"/>
        <w:right w:val="none" w:sz="0" w:space="0" w:color="auto"/>
      </w:divBdr>
    </w:div>
    <w:div w:id="2085838343">
      <w:bodyDiv w:val="1"/>
      <w:marLeft w:val="0"/>
      <w:marRight w:val="0"/>
      <w:marTop w:val="0"/>
      <w:marBottom w:val="0"/>
      <w:divBdr>
        <w:top w:val="none" w:sz="0" w:space="0" w:color="auto"/>
        <w:left w:val="none" w:sz="0" w:space="0" w:color="auto"/>
        <w:bottom w:val="none" w:sz="0" w:space="0" w:color="auto"/>
        <w:right w:val="none" w:sz="0" w:space="0" w:color="auto"/>
      </w:divBdr>
    </w:div>
    <w:div w:id="2087068174">
      <w:bodyDiv w:val="1"/>
      <w:marLeft w:val="0"/>
      <w:marRight w:val="0"/>
      <w:marTop w:val="0"/>
      <w:marBottom w:val="0"/>
      <w:divBdr>
        <w:top w:val="none" w:sz="0" w:space="0" w:color="auto"/>
        <w:left w:val="none" w:sz="0" w:space="0" w:color="auto"/>
        <w:bottom w:val="none" w:sz="0" w:space="0" w:color="auto"/>
        <w:right w:val="none" w:sz="0" w:space="0" w:color="auto"/>
      </w:divBdr>
    </w:div>
    <w:div w:id="2088840050">
      <w:bodyDiv w:val="1"/>
      <w:marLeft w:val="0"/>
      <w:marRight w:val="0"/>
      <w:marTop w:val="0"/>
      <w:marBottom w:val="0"/>
      <w:divBdr>
        <w:top w:val="none" w:sz="0" w:space="0" w:color="auto"/>
        <w:left w:val="none" w:sz="0" w:space="0" w:color="auto"/>
        <w:bottom w:val="none" w:sz="0" w:space="0" w:color="auto"/>
        <w:right w:val="none" w:sz="0" w:space="0" w:color="auto"/>
      </w:divBdr>
    </w:div>
    <w:div w:id="2089232266">
      <w:bodyDiv w:val="1"/>
      <w:marLeft w:val="0"/>
      <w:marRight w:val="0"/>
      <w:marTop w:val="0"/>
      <w:marBottom w:val="0"/>
      <w:divBdr>
        <w:top w:val="none" w:sz="0" w:space="0" w:color="auto"/>
        <w:left w:val="none" w:sz="0" w:space="0" w:color="auto"/>
        <w:bottom w:val="none" w:sz="0" w:space="0" w:color="auto"/>
        <w:right w:val="none" w:sz="0" w:space="0" w:color="auto"/>
      </w:divBdr>
    </w:div>
    <w:div w:id="2092506085">
      <w:bodyDiv w:val="1"/>
      <w:marLeft w:val="0"/>
      <w:marRight w:val="0"/>
      <w:marTop w:val="0"/>
      <w:marBottom w:val="0"/>
      <w:divBdr>
        <w:top w:val="none" w:sz="0" w:space="0" w:color="auto"/>
        <w:left w:val="none" w:sz="0" w:space="0" w:color="auto"/>
        <w:bottom w:val="none" w:sz="0" w:space="0" w:color="auto"/>
        <w:right w:val="none" w:sz="0" w:space="0" w:color="auto"/>
      </w:divBdr>
    </w:div>
    <w:div w:id="2105875127">
      <w:bodyDiv w:val="1"/>
      <w:marLeft w:val="0"/>
      <w:marRight w:val="0"/>
      <w:marTop w:val="0"/>
      <w:marBottom w:val="0"/>
      <w:divBdr>
        <w:top w:val="none" w:sz="0" w:space="0" w:color="auto"/>
        <w:left w:val="none" w:sz="0" w:space="0" w:color="auto"/>
        <w:bottom w:val="none" w:sz="0" w:space="0" w:color="auto"/>
        <w:right w:val="none" w:sz="0" w:space="0" w:color="auto"/>
      </w:divBdr>
    </w:div>
    <w:div w:id="2119644277">
      <w:bodyDiv w:val="1"/>
      <w:marLeft w:val="0"/>
      <w:marRight w:val="0"/>
      <w:marTop w:val="0"/>
      <w:marBottom w:val="0"/>
      <w:divBdr>
        <w:top w:val="none" w:sz="0" w:space="0" w:color="auto"/>
        <w:left w:val="none" w:sz="0" w:space="0" w:color="auto"/>
        <w:bottom w:val="none" w:sz="0" w:space="0" w:color="auto"/>
        <w:right w:val="none" w:sz="0" w:space="0" w:color="auto"/>
      </w:divBdr>
    </w:div>
    <w:div w:id="2127695583">
      <w:bodyDiv w:val="1"/>
      <w:marLeft w:val="0"/>
      <w:marRight w:val="0"/>
      <w:marTop w:val="0"/>
      <w:marBottom w:val="0"/>
      <w:divBdr>
        <w:top w:val="none" w:sz="0" w:space="0" w:color="auto"/>
        <w:left w:val="none" w:sz="0" w:space="0" w:color="auto"/>
        <w:bottom w:val="none" w:sz="0" w:space="0" w:color="auto"/>
        <w:right w:val="none" w:sz="0" w:space="0" w:color="auto"/>
      </w:divBdr>
    </w:div>
    <w:div w:id="2128886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info.com.cn" TargetMode="External"/><Relationship Id="rId4" Type="http://schemas.openxmlformats.org/officeDocument/2006/relationships/settings" Target="settings.xml"/><Relationship Id="rId9" Type="http://schemas.openxmlformats.org/officeDocument/2006/relationships/hyperlink" Target="http://www.cninfo.com.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232</Pages>
  <Words>30895</Words>
  <Characters>176105</Characters>
  <Application>Microsoft Office Word</Application>
  <DocSecurity>0</DocSecurity>
  <Lines>1467</Lines>
  <Paragraphs>413</Paragraphs>
  <ScaleCrop>false</ScaleCrop>
  <Company>MicroSoft</Company>
  <LinksUpToDate>false</LinksUpToDate>
  <CharactersWithSpaces>206587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2</cp:revision>
  <dcterms:created xsi:type="dcterms:W3CDTF">2024-04-26T09:47:00Z</dcterms:created>
  <dcterms:modified xsi:type="dcterms:W3CDTF">2024-04-26T09:47:00Z</dcterms:modified>
</cp:coreProperties>
</file>