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ascii="黑体" w:hAnsi="黑体" w:eastAsia="黑体" w:cs="宋体"/>
          <w:sz w:val="18"/>
          <w:szCs w:val="18"/>
        </w:rPr>
      </w:pPr>
      <w:r>
        <w:rPr>
          <w:rFonts w:ascii="黑体" w:hAnsi="黑体" w:eastAsia="黑体" w:cs="宋体"/>
          <w:sz w:val="18"/>
          <w:szCs w:val="18"/>
        </w:rPr>
        <w:t xml:space="preserve">证券代码：002042           </w:t>
      </w:r>
      <w:r>
        <w:rPr>
          <w:rFonts w:hint="eastAsia" w:ascii="黑体" w:hAnsi="黑体" w:eastAsia="黑体" w:cs="宋体"/>
          <w:sz w:val="18"/>
          <w:szCs w:val="18"/>
        </w:rPr>
        <w:t xml:space="preserve">        </w:t>
      </w:r>
      <w:r>
        <w:rPr>
          <w:rFonts w:ascii="黑体" w:hAnsi="黑体" w:eastAsia="黑体" w:cs="宋体"/>
          <w:sz w:val="18"/>
          <w:szCs w:val="18"/>
        </w:rPr>
        <w:t xml:space="preserve">     证券简称：华孚时尚        </w:t>
      </w:r>
      <w:r>
        <w:rPr>
          <w:rFonts w:hint="eastAsia" w:ascii="黑体" w:hAnsi="黑体" w:eastAsia="黑体" w:cs="宋体"/>
          <w:sz w:val="18"/>
          <w:szCs w:val="18"/>
        </w:rPr>
        <w:t xml:space="preserve">        </w:t>
      </w:r>
      <w:r>
        <w:rPr>
          <w:rFonts w:ascii="黑体" w:hAnsi="黑体" w:eastAsia="黑体" w:cs="宋体"/>
          <w:sz w:val="18"/>
          <w:szCs w:val="18"/>
        </w:rPr>
        <w:t xml:space="preserve">        公告编号：</w:t>
      </w:r>
      <w:r>
        <w:rPr>
          <w:rFonts w:hint="eastAsia" w:ascii="黑体" w:hAnsi="黑体" w:eastAsia="黑体" w:cs="宋体"/>
          <w:sz w:val="18"/>
          <w:szCs w:val="18"/>
        </w:rPr>
        <w:t>2024-34</w:t>
      </w:r>
    </w:p>
    <w:p>
      <w:pPr>
        <w:spacing w:after="240" w:line="400" w:lineRule="exact"/>
        <w:jc w:val="center"/>
        <w:rPr>
          <w:rFonts w:hint="eastAsia" w:ascii="宋体" w:hAnsi="宋体" w:eastAsia="宋体" w:cs="宋体"/>
          <w:b/>
          <w:bCs/>
          <w:sz w:val="36"/>
          <w:szCs w:val="36"/>
        </w:rPr>
      </w:pPr>
      <w:r>
        <w:rPr>
          <w:rFonts w:ascii="宋体" w:hAnsi="宋体" w:eastAsia="宋体" w:cs="宋体"/>
          <w:b/>
          <w:bCs/>
          <w:sz w:val="36"/>
          <w:szCs w:val="36"/>
        </w:rPr>
        <w:t>华孚时尚股份有限公司</w:t>
      </w:r>
    </w:p>
    <w:p>
      <w:pPr>
        <w:spacing w:after="240" w:line="400" w:lineRule="exact"/>
        <w:jc w:val="center"/>
        <w:rPr>
          <w:rFonts w:ascii="宋体" w:hAnsi="宋体" w:eastAsia="宋体" w:cs="宋体"/>
          <w:b/>
          <w:bCs/>
          <w:sz w:val="36"/>
          <w:szCs w:val="36"/>
        </w:rPr>
      </w:pPr>
      <w:r>
        <w:rPr>
          <w:rFonts w:ascii="宋体" w:hAnsi="宋体" w:eastAsia="宋体" w:cs="宋体"/>
          <w:b/>
          <w:bCs/>
          <w:sz w:val="36"/>
          <w:szCs w:val="36"/>
        </w:rPr>
        <w:t>2023年年度报告摘要</w:t>
      </w:r>
    </w:p>
    <w:p>
      <w:pPr>
        <w:pStyle w:val="2"/>
        <w:spacing w:before="300" w:after="300" w:line="320" w:lineRule="exact"/>
        <w:rPr>
          <w:rFonts w:ascii="宋体" w:hAnsi="宋体" w:eastAsia="宋体" w:cs="宋体"/>
          <w:b/>
          <w:bCs/>
          <w:sz w:val="24"/>
          <w:szCs w:val="24"/>
        </w:rPr>
      </w:pPr>
      <w:bookmarkStart w:id="0" w:name="_Toc988889"/>
      <w:r>
        <w:rPr>
          <w:rFonts w:ascii="宋体" w:hAnsi="宋体" w:eastAsia="宋体" w:cs="宋体"/>
          <w:b/>
          <w:bCs/>
          <w:sz w:val="24"/>
          <w:szCs w:val="24"/>
        </w:rPr>
        <w:t>一、重要提示</w:t>
      </w:r>
      <w:bookmarkEnd w:id="0"/>
    </w:p>
    <w:p>
      <w:pPr>
        <w:spacing w:before="100" w:after="100" w:line="240" w:lineRule="exact"/>
        <w:rPr>
          <w:rFonts w:ascii="宋体" w:hAnsi="宋体" w:eastAsia="宋体" w:cs="宋体"/>
          <w:sz w:val="18"/>
          <w:szCs w:val="18"/>
        </w:rPr>
      </w:pPr>
      <w:r>
        <w:rPr>
          <w:rFonts w:ascii="宋体" w:hAnsi="宋体" w:eastAsia="宋体" w:cs="宋体"/>
          <w:sz w:val="18"/>
          <w:szCs w:val="18"/>
        </w:rPr>
        <w:t>本年度报告摘要来自年度报告全文，为全面了解本公司的经营成果、财务状况及未来发展规划，投资者应当到证监会指定媒体仔细阅读年度报告全文。</w:t>
      </w:r>
    </w:p>
    <w:p>
      <w:pPr>
        <w:spacing w:before="100" w:after="100" w:line="240" w:lineRule="exact"/>
        <w:rPr>
          <w:rFonts w:ascii="宋体" w:hAnsi="宋体" w:eastAsia="宋体" w:cs="宋体"/>
          <w:sz w:val="18"/>
          <w:szCs w:val="18"/>
        </w:rPr>
      </w:pPr>
      <w:r>
        <w:rPr>
          <w:rFonts w:ascii="宋体" w:hAnsi="宋体" w:eastAsia="宋体" w:cs="宋体"/>
          <w:sz w:val="18"/>
          <w:szCs w:val="18"/>
        </w:rPr>
        <w:t>所有董事均已出席了审议本报告的董事会会议。</w:t>
      </w:r>
    </w:p>
    <w:p>
      <w:pPr>
        <w:spacing w:before="100" w:after="100" w:line="240" w:lineRule="exact"/>
        <w:rPr>
          <w:rFonts w:ascii="宋体" w:hAnsi="宋体" w:eastAsia="宋体" w:cs="宋体"/>
          <w:sz w:val="18"/>
          <w:szCs w:val="18"/>
        </w:rPr>
      </w:pPr>
      <w:r>
        <w:rPr>
          <w:rFonts w:ascii="宋体" w:hAnsi="宋体" w:eastAsia="宋体" w:cs="宋体"/>
          <w:sz w:val="18"/>
          <w:szCs w:val="18"/>
        </w:rPr>
        <w:t>非标准审计意见提示</w:t>
      </w:r>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rPr>
          <w:rFonts w:ascii="宋体" w:hAnsi="宋体" w:eastAsia="宋体" w:cs="宋体"/>
          <w:sz w:val="18"/>
          <w:szCs w:val="18"/>
        </w:rPr>
      </w:pPr>
      <w:r>
        <w:rPr>
          <w:rFonts w:ascii="宋体" w:hAnsi="宋体" w:eastAsia="宋体" w:cs="宋体"/>
          <w:sz w:val="18"/>
          <w:szCs w:val="18"/>
        </w:rPr>
        <w:t>董事会审议的报告期利润分配预案或公积金转增股本预案</w:t>
      </w:r>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rPr>
          <w:rFonts w:ascii="宋体" w:hAnsi="宋体" w:eastAsia="宋体" w:cs="宋体"/>
          <w:sz w:val="18"/>
          <w:szCs w:val="18"/>
        </w:rPr>
      </w:pPr>
      <w:r>
        <w:rPr>
          <w:rFonts w:ascii="宋体" w:hAnsi="宋体" w:eastAsia="宋体" w:cs="宋体"/>
          <w:sz w:val="18"/>
          <w:szCs w:val="18"/>
        </w:rPr>
        <w:t>公司计划不派发现金红利，不送红股，不以公积金转增股本。</w:t>
      </w:r>
    </w:p>
    <w:p>
      <w:pPr>
        <w:spacing w:before="100" w:after="100" w:line="240" w:lineRule="exact"/>
        <w:rPr>
          <w:rFonts w:ascii="宋体" w:hAnsi="宋体" w:eastAsia="宋体" w:cs="宋体"/>
          <w:sz w:val="18"/>
          <w:szCs w:val="18"/>
        </w:rPr>
      </w:pPr>
      <w:r>
        <w:rPr>
          <w:rFonts w:ascii="宋体" w:hAnsi="宋体" w:eastAsia="宋体" w:cs="宋体"/>
          <w:sz w:val="18"/>
          <w:szCs w:val="18"/>
        </w:rPr>
        <w:t>董事会决议通过的本报告期优先股利润分配预案</w:t>
      </w:r>
    </w:p>
    <w:p>
      <w:pPr>
        <w:spacing w:before="100" w:after="100" w:line="240" w:lineRule="exact"/>
        <w:rPr>
          <w:rFonts w:ascii="宋体" w:hAnsi="宋体" w:eastAsia="宋体" w:cs="宋体"/>
          <w:sz w:val="18"/>
          <w:szCs w:val="18"/>
        </w:rPr>
      </w:pPr>
      <w:r>
        <w:rPr>
          <w:rFonts w:ascii="宋体" w:hAnsi="宋体" w:eastAsia="宋体" w:cs="宋体"/>
          <w:sz w:val="18"/>
          <w:szCs w:val="18"/>
        </w:rPr>
        <w:t>□适用 □不适用</w:t>
      </w:r>
    </w:p>
    <w:p>
      <w:pPr>
        <w:pStyle w:val="2"/>
        <w:spacing w:before="300" w:after="300" w:line="320" w:lineRule="exact"/>
        <w:rPr>
          <w:rFonts w:ascii="宋体" w:hAnsi="宋体" w:eastAsia="宋体" w:cs="宋体"/>
          <w:b/>
          <w:bCs/>
          <w:sz w:val="24"/>
          <w:szCs w:val="24"/>
        </w:rPr>
      </w:pPr>
      <w:bookmarkStart w:id="1" w:name="_Toc988890"/>
      <w:r>
        <w:rPr>
          <w:rFonts w:ascii="宋体" w:hAnsi="宋体" w:eastAsia="宋体" w:cs="宋体"/>
          <w:b/>
          <w:bCs/>
          <w:sz w:val="24"/>
          <w:szCs w:val="24"/>
        </w:rPr>
        <w:t>二、公司基本情况</w:t>
      </w:r>
      <w:bookmarkEnd w:id="1"/>
    </w:p>
    <w:p>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35"/>
        <w:gridCol w:w="3685"/>
        <w:gridCol w:w="759"/>
        <w:gridCol w:w="1480"/>
        <w:gridCol w:w="14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股票简称</w:t>
            </w:r>
          </w:p>
        </w:tc>
        <w:tc>
          <w:tcPr>
            <w:tcW w:w="444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华孚时尚</w:t>
            </w: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股票代码</w:t>
            </w:r>
          </w:p>
        </w:tc>
        <w:tc>
          <w:tcPr>
            <w:tcW w:w="148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002042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股票上市交易所</w:t>
            </w:r>
          </w:p>
        </w:tc>
        <w:tc>
          <w:tcPr>
            <w:tcW w:w="7404" w:type="dxa"/>
            <w:gridSpan w:val="4"/>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变更前的股票简称（如有）</w:t>
            </w:r>
          </w:p>
        </w:tc>
        <w:tc>
          <w:tcPr>
            <w:tcW w:w="7404" w:type="dxa"/>
            <w:gridSpan w:val="4"/>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联系人和联系方式</w:t>
            </w:r>
          </w:p>
        </w:tc>
        <w:tc>
          <w:tcPr>
            <w:tcW w:w="36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董事会秘书</w:t>
            </w:r>
          </w:p>
        </w:tc>
        <w:tc>
          <w:tcPr>
            <w:tcW w:w="371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姓名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张正</w:t>
            </w:r>
          </w:p>
        </w:tc>
        <w:tc>
          <w:tcPr>
            <w:tcW w:w="371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孙献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办公地址</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广东省深圳市福田区市花路5号长富金茂大厦59楼</w:t>
            </w:r>
          </w:p>
        </w:tc>
        <w:tc>
          <w:tcPr>
            <w:tcW w:w="371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广东省深圳市福田区市花路5号长富金茂大厦59楼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传真</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0755-83735566</w:t>
            </w:r>
          </w:p>
        </w:tc>
        <w:tc>
          <w:tcPr>
            <w:tcW w:w="371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0755-83735566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电话</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0755-83735593</w:t>
            </w:r>
          </w:p>
        </w:tc>
        <w:tc>
          <w:tcPr>
            <w:tcW w:w="371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0755-83735433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电子信箱</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dongban@e-huafu.com</w:t>
            </w:r>
          </w:p>
        </w:tc>
        <w:tc>
          <w:tcPr>
            <w:tcW w:w="371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sunx@e-huafu.com</w:t>
            </w:r>
          </w:p>
        </w:tc>
      </w:tr>
    </w:tbl>
    <w:p>
      <w:pPr>
        <w:pStyle w:val="3"/>
        <w:spacing w:line="280" w:lineRule="exact"/>
        <w:jc w:val="left"/>
        <w:rPr>
          <w:rFonts w:ascii="宋体" w:hAnsi="宋体" w:cs="宋体"/>
          <w:b/>
          <w:bCs/>
        </w:rPr>
      </w:pPr>
      <w:bookmarkStart w:id="3" w:name="_Toc988892"/>
      <w:r>
        <w:rPr>
          <w:rFonts w:ascii="宋体" w:hAnsi="宋体" w:cs="宋体"/>
          <w:b/>
          <w:bCs/>
        </w:rPr>
        <w:t>2、报告期主要业务或产品简介</w:t>
      </w:r>
      <w:bookmarkEnd w:id="3"/>
    </w:p>
    <w:p>
      <w:pPr>
        <w:pStyle w:val="9"/>
        <w:spacing w:before="0" w:beforeAutospacing="0" w:after="0" w:afterAutospacing="0"/>
        <w:ind w:firstLine="420"/>
        <w:jc w:val="both"/>
      </w:pPr>
      <w:r>
        <w:rPr>
          <w:rFonts w:hint="eastAsia"/>
          <w:sz w:val="18"/>
          <w:szCs w:val="18"/>
        </w:rPr>
        <w:t>1、公司的主要业务</w:t>
      </w:r>
    </w:p>
    <w:p>
      <w:pPr>
        <w:pStyle w:val="9"/>
        <w:spacing w:before="0" w:beforeAutospacing="0" w:after="0" w:afterAutospacing="0"/>
        <w:ind w:firstLine="420"/>
        <w:jc w:val="both"/>
        <w:rPr>
          <w:rFonts w:hint="eastAsia"/>
        </w:rPr>
      </w:pPr>
      <w:r>
        <w:rPr>
          <w:rFonts w:hint="eastAsia"/>
          <w:sz w:val="18"/>
          <w:szCs w:val="18"/>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链，实现前后端产业贯通，致力成为全球纺织服装产业时尚营运商。</w:t>
      </w:r>
    </w:p>
    <w:p>
      <w:pPr>
        <w:pStyle w:val="9"/>
        <w:spacing w:before="0" w:beforeAutospacing="0" w:after="0" w:afterAutospacing="0"/>
        <w:ind w:firstLine="420"/>
        <w:jc w:val="both"/>
        <w:rPr>
          <w:rFonts w:hint="eastAsia"/>
        </w:rPr>
      </w:pPr>
      <w:r>
        <w:rPr>
          <w:rFonts w:hint="eastAsia"/>
          <w:sz w:val="18"/>
          <w:szCs w:val="18"/>
        </w:rPr>
        <w:t>2、经营模式</w:t>
      </w:r>
    </w:p>
    <w:p>
      <w:pPr>
        <w:pStyle w:val="9"/>
        <w:spacing w:before="0" w:beforeAutospacing="0" w:after="0" w:afterAutospacing="0"/>
        <w:ind w:firstLine="420"/>
        <w:jc w:val="both"/>
        <w:rPr>
          <w:rFonts w:hint="eastAsia"/>
        </w:rPr>
      </w:pPr>
      <w:r>
        <w:rPr>
          <w:rFonts w:hint="eastAsia"/>
          <w:sz w:val="18"/>
          <w:szCs w:val="18"/>
        </w:rPr>
        <w:t>主营纱线方面，目前纱线产能206万锭，年产29万吨新型纱线，生产基地覆盖中国东部和新疆、越南等地。公司通过产业链协同，统筹市场及订单信息，制定“点（产地）对点（客户）”的供应链计划，分区域、分工厂、分生产线进行规模化定制，公司坚持以客户为本，品质至上，以趋势为方向，通过产品创新提升产品品质及附加值，赢得了客户的信赖。</w:t>
      </w:r>
    </w:p>
    <w:p>
      <w:pPr>
        <w:pStyle w:val="9"/>
        <w:spacing w:before="0" w:beforeAutospacing="0" w:after="0" w:afterAutospacing="0"/>
        <w:ind w:firstLine="420"/>
        <w:jc w:val="both"/>
        <w:rPr>
          <w:rFonts w:hint="eastAsia"/>
        </w:rPr>
      </w:pPr>
      <w:r>
        <w:rPr>
          <w:rFonts w:hint="eastAsia"/>
          <w:sz w:val="18"/>
          <w:szCs w:val="18"/>
        </w:rPr>
        <w:t>前端网链以“棉花加工（含农业、物流）、棉花贸易和棉花金融投资”作为核心业务；后端网链目前已经设立阿大数智互联袜业平台，包括自主品牌经营、品牌授权经营、贴牌业务经营、纱线经营等业务模式。</w:t>
      </w:r>
    </w:p>
    <w:p>
      <w:pPr>
        <w:pStyle w:val="9"/>
        <w:spacing w:before="0" w:beforeAutospacing="0" w:after="0" w:afterAutospacing="0"/>
        <w:ind w:firstLine="420"/>
        <w:jc w:val="both"/>
        <w:rPr>
          <w:rFonts w:hint="eastAsia"/>
        </w:rPr>
      </w:pPr>
      <w:r>
        <w:rPr>
          <w:rFonts w:hint="eastAsia"/>
          <w:sz w:val="18"/>
          <w:szCs w:val="18"/>
        </w:rPr>
        <w:t>3、主营业务分析</w:t>
      </w:r>
    </w:p>
    <w:p>
      <w:pPr>
        <w:pStyle w:val="9"/>
        <w:spacing w:before="0" w:beforeAutospacing="0" w:after="0" w:afterAutospacing="0"/>
        <w:ind w:firstLine="420"/>
        <w:jc w:val="both"/>
        <w:rPr>
          <w:rFonts w:hint="eastAsia"/>
        </w:rPr>
      </w:pPr>
      <w:r>
        <w:rPr>
          <w:rFonts w:hint="eastAsia"/>
          <w:sz w:val="18"/>
          <w:szCs w:val="18"/>
        </w:rPr>
        <w:t>报告期内，公司实现营业收入136.6亿元，同比下降5.51%，归母净利润6678万元，同比由亏转盈。2023年，纺织行业面临的外部环境复杂严峻，国内</w:t>
      </w:r>
      <w:bookmarkStart w:id="13" w:name="_GoBack"/>
      <w:bookmarkEnd w:id="13"/>
      <w:r>
        <w:rPr>
          <w:rFonts w:hint="eastAsia"/>
          <w:sz w:val="18"/>
          <w:szCs w:val="18"/>
        </w:rPr>
        <w:t>消费复苏乏力，地缘政治冲突、大国博弈加剧等导致原料价格波动、海外需求萎缩、内生动力不足、国际订单转移，行业运营质效承压。公司积极攻坚克难，抓住市场结构性增长的机会，创新求变，整体出现边际改善。</w:t>
      </w:r>
    </w:p>
    <w:p>
      <w:pPr>
        <w:pStyle w:val="9"/>
        <w:spacing w:before="0" w:beforeAutospacing="0" w:after="0" w:afterAutospacing="0"/>
        <w:ind w:firstLine="420"/>
        <w:jc w:val="both"/>
        <w:rPr>
          <w:rFonts w:hint="eastAsia"/>
        </w:rPr>
      </w:pPr>
      <w:r>
        <w:rPr>
          <w:rFonts w:hint="eastAsia"/>
          <w:sz w:val="18"/>
          <w:szCs w:val="18"/>
        </w:rPr>
        <w:t xml:space="preserve">公司持续拓展内循环市场空间，深度挖掘国内供应链客户，抓住产业集中度提升机会，围绕功能科技、时尚快反、可持续发展、高质量发展四条主线，多品类拓展市场。 </w:t>
      </w:r>
    </w:p>
    <w:p>
      <w:pPr>
        <w:pStyle w:val="9"/>
        <w:spacing w:before="0" w:beforeAutospacing="0" w:after="0" w:afterAutospacing="0"/>
        <w:ind w:firstLine="420"/>
        <w:jc w:val="both"/>
        <w:rPr>
          <w:rFonts w:hint="eastAsia"/>
        </w:rPr>
      </w:pPr>
      <w:r>
        <w:rPr>
          <w:rFonts w:hint="eastAsia"/>
          <w:sz w:val="18"/>
          <w:szCs w:val="18"/>
        </w:rPr>
        <w:t>积极推进数字化工厂建设，推行生产数智化管理，公司数字化架构100%搭建完成，新要素降本增效效果逐步体现。</w:t>
      </w:r>
    </w:p>
    <w:p>
      <w:pPr>
        <w:pStyle w:val="9"/>
        <w:spacing w:before="0" w:beforeAutospacing="0" w:after="0" w:afterAutospacing="0"/>
        <w:ind w:firstLine="420"/>
        <w:jc w:val="both"/>
        <w:rPr>
          <w:rFonts w:hint="eastAsia"/>
        </w:rPr>
      </w:pPr>
      <w:r>
        <w:rPr>
          <w:rFonts w:hint="eastAsia"/>
          <w:sz w:val="18"/>
          <w:szCs w:val="18"/>
        </w:rPr>
        <w:t>后端网链业务模式进一步成型，产业互联的协同效应逐渐显现。</w:t>
      </w:r>
    </w:p>
    <w:p>
      <w:pPr>
        <w:pStyle w:val="3"/>
        <w:spacing w:line="280" w:lineRule="exact"/>
        <w:jc w:val="left"/>
        <w:rPr>
          <w:rFonts w:ascii="宋体" w:hAnsi="宋体" w:cs="宋体"/>
          <w:b/>
          <w:bCs/>
        </w:rPr>
      </w:pPr>
      <w:bookmarkStart w:id="4" w:name="_Toc988893"/>
      <w:r>
        <w:rPr>
          <w:rFonts w:ascii="宋体" w:hAnsi="宋体" w:cs="宋体"/>
          <w:b/>
          <w:bCs/>
        </w:rPr>
        <w:t>3、主要会计数据和财务指标</w:t>
      </w:r>
      <w:bookmarkEnd w:id="4"/>
    </w:p>
    <w:p>
      <w:pPr>
        <w:keepNext/>
        <w:keepLines/>
        <w:spacing w:before="300" w:after="300" w:line="280" w:lineRule="exact"/>
        <w:outlineLvl w:val="3"/>
        <w:rPr>
          <w:rFonts w:ascii="宋体" w:hAnsi="宋体" w:eastAsia="宋体" w:cs="宋体"/>
          <w:b/>
          <w:bCs/>
          <w:sz w:val="18"/>
          <w:szCs w:val="18"/>
        </w:rPr>
      </w:pPr>
      <w:bookmarkStart w:id="5" w:name="_Toc988894"/>
      <w:r>
        <w:rPr>
          <w:rFonts w:ascii="宋体" w:hAnsi="宋体" w:eastAsia="宋体" w:cs="宋体"/>
          <w:b/>
          <w:bCs/>
          <w:sz w:val="18"/>
          <w:szCs w:val="18"/>
        </w:rPr>
        <w:t>（1） 近三年主要会计数据和财务指标</w:t>
      </w:r>
      <w:bookmarkEnd w:id="5"/>
    </w:p>
    <w:p>
      <w:pPr>
        <w:spacing w:before="100" w:after="100" w:line="240" w:lineRule="exac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本年末比上年末增减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总资产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17,041,273,022.84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18,144,000,776.77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20,138,185,868.88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归属于上市公司股东的净资产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6,156,565,539.90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6,292,682,730.29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-2.16%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7,009,197,204.12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本年比上年增减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营业收入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13,663,469,325.68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14,459,640,227.88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-5.51%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16,708,437,212.10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归属于上市公司股东的净利润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66,782,080.49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-350,313,894.56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119.06%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569,742,293.45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归属于上市公司股东的扣除非经常性损益的净利润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-249,951,638.68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-372,993,668.96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32.99%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352,080,653.04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经营活动产生的现金流量净额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857,773,221.39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892,963,119.78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-3.94%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719,880,146.08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基本每股收益（元/股）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119.05%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稀释每股收益（元/股）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119.05%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加权平均净资产收益率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-5.09%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6.16%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9.24%</w:t>
            </w:r>
          </w:p>
        </w:tc>
      </w:tr>
    </w:tbl>
    <w:p>
      <w:pPr>
        <w:keepNext/>
        <w:keepLines/>
        <w:spacing w:before="300" w:after="300" w:line="280" w:lineRule="exact"/>
        <w:outlineLvl w:val="3"/>
        <w:rPr>
          <w:rFonts w:ascii="宋体" w:hAnsi="宋体" w:eastAsia="宋体" w:cs="宋体"/>
          <w:b/>
          <w:bCs/>
          <w:sz w:val="18"/>
          <w:szCs w:val="18"/>
        </w:rPr>
      </w:pPr>
      <w:bookmarkStart w:id="6" w:name="_Toc988895"/>
      <w:r>
        <w:rPr>
          <w:rFonts w:ascii="宋体" w:hAnsi="宋体" w:eastAsia="宋体" w:cs="宋体"/>
          <w:b/>
          <w:bCs/>
          <w:sz w:val="18"/>
          <w:szCs w:val="18"/>
        </w:rPr>
        <w:t>（2） 分季度主要会计数据</w:t>
      </w:r>
      <w:bookmarkEnd w:id="6"/>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第一季度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第二季度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第三季度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第四季度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营业收入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4,532,846,687.35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3,220,080,025.46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3,299,910,483.59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2,610,632,129.28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归属于上市公司股东的净利润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51,972,113.03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29,430,734.75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3,534,924.94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-18,155,692.22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归属于上市公司股东的扣除非经常性损益的净利润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49,839,611.97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14,826,856.57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-42,680,117.96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-271,937,989.26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经营活动产生的现金流量净额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429,659,649.05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1,095,061,910.07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185,737,965.53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-852,686,303.26</w:t>
            </w:r>
          </w:p>
        </w:tc>
      </w:tr>
    </w:tbl>
    <w:p>
      <w:pPr>
        <w:spacing w:before="100" w:after="100" w:line="240" w:lineRule="exact"/>
        <w:rPr>
          <w:rFonts w:ascii="宋体" w:hAnsi="宋体" w:eastAsia="宋体" w:cs="宋体"/>
          <w:sz w:val="18"/>
          <w:szCs w:val="18"/>
        </w:rPr>
      </w:pPr>
      <w:r>
        <w:rPr>
          <w:rFonts w:ascii="宋体" w:hAnsi="宋体" w:eastAsia="宋体" w:cs="宋体"/>
          <w:sz w:val="18"/>
          <w:szCs w:val="18"/>
        </w:rPr>
        <w:t>上述财务指标或其加总数是否与公司已披露季度报告、半年度报告相关财务指标存在重大差异</w:t>
      </w:r>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pStyle w:val="3"/>
        <w:spacing w:line="280" w:lineRule="exact"/>
        <w:jc w:val="left"/>
        <w:rPr>
          <w:rFonts w:ascii="宋体" w:hAnsi="宋体" w:cs="宋体"/>
          <w:b/>
          <w:bCs/>
        </w:rPr>
      </w:pPr>
      <w:bookmarkStart w:id="7" w:name="_Toc988896"/>
      <w:r>
        <w:rPr>
          <w:rFonts w:ascii="宋体" w:hAnsi="宋体" w:cs="宋体"/>
          <w:b/>
          <w:bCs/>
        </w:rPr>
        <w:t>4、股本及股东情况</w:t>
      </w:r>
      <w:bookmarkEnd w:id="7"/>
    </w:p>
    <w:p>
      <w:pPr>
        <w:keepNext/>
        <w:keepLines/>
        <w:spacing w:before="300" w:after="300" w:line="280" w:lineRule="exact"/>
        <w:outlineLvl w:val="3"/>
        <w:rPr>
          <w:rFonts w:ascii="宋体" w:hAnsi="宋体" w:eastAsia="宋体" w:cs="宋体"/>
          <w:b/>
          <w:bCs/>
          <w:sz w:val="18"/>
          <w:szCs w:val="18"/>
        </w:rPr>
      </w:pPr>
      <w:bookmarkStart w:id="8" w:name="_Toc988897"/>
      <w:r>
        <w:rPr>
          <w:rFonts w:ascii="宋体" w:hAnsi="宋体" w:eastAsia="宋体" w:cs="宋体"/>
          <w:b/>
          <w:bCs/>
          <w:sz w:val="18"/>
          <w:szCs w:val="18"/>
        </w:rPr>
        <w:t>（1） 普通股股东和表决权恢复的优先股股东数量及前10名股东持股情况表</w:t>
      </w:r>
      <w:bookmarkEnd w:id="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报告期末普通股股东总数</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18,869</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年度报告披露日前一个月末普通股股东总数</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38,260</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报告期末表决权恢复的优先股股东总数</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年度报告披露日前一个月末表决权恢复的优先股股东总数</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前10名股东持股情况（不含通过转融通出借股份）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华孚控股有限公司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29.50%</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501,655,862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安徽飞亚纺织有限公司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7.59%</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129,058,312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深圳市华人投资有限公司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4.82%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81,973,588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广西沣盛供应链管理有限公司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2.66%</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45,283,102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质押</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45,166,402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金鹰基金－工商银行－万向信托－万向信托－星辰39号事务管理类单一资金信托</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41,148,461</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金元顺安基金－兴业银行－上海爱建信托－爱建信托欣欣7号定向增发事务管理类单一资金信托</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2.19%</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37,256,004</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香港中央结算有限公司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境外法人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1.93%</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32,833,548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杨三宝</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1.59%</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27,000,000</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安徽省农业产业化发展基金有限公司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1.33%</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22,600,000</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徐国新</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0.82%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13,939,061</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上述股东关联关系或一致行动的说明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r>
              <w:rPr>
                <w:rFonts w:ascii="Times New Roman" w:hAnsi="Times New Roman" w:eastAsia="宋体" w:cs="Times New Roman"/>
                <w:color w:val="F00000"/>
                <w:vertAlign w:val="superscript"/>
              </w:rPr>
              <w:t>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参与融资融券业务股东情况说明（如有）</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不适用。</w:t>
            </w:r>
          </w:p>
        </w:tc>
      </w:tr>
    </w:tbl>
    <w:p>
      <w:pPr>
        <w:rPr>
          <w:rFonts w:hint="eastAsia" w:ascii="宋体" w:hAnsi="宋体" w:eastAsia="仿宋" w:cs="宋体"/>
          <w:sz w:val="18"/>
          <w:szCs w:val="18"/>
          <w:lang w:eastAsia="zh-CN"/>
        </w:rPr>
      </w:pPr>
      <w:r>
        <w:rPr>
          <w:rFonts w:ascii="仿宋" w:hAnsi="仿宋" w:eastAsia="仿宋" w:cs="仿宋"/>
        </w:rPr>
        <w:t>注：1 华孚时尚股份有限公司回购专用证券账户本期位于前十大股东，股数为61,075,314股，占比3.59%</w:t>
      </w:r>
      <w:r>
        <w:rPr>
          <w:rFonts w:hint="eastAsia" w:ascii="仿宋" w:hAnsi="仿宋" w:eastAsia="仿宋" w:cs="仿宋"/>
          <w:lang w:eastAsia="zh-CN"/>
        </w:rPr>
        <w:t>。</w:t>
      </w:r>
    </w:p>
    <w:p>
      <w:pPr>
        <w:spacing w:before="100" w:after="100" w:line="240" w:lineRule="exact"/>
        <w:rPr>
          <w:rFonts w:ascii="宋体" w:hAnsi="宋体" w:eastAsia="宋体" w:cs="宋体"/>
          <w:sz w:val="18"/>
          <w:szCs w:val="18"/>
        </w:rPr>
      </w:pPr>
      <w:r>
        <w:rPr>
          <w:rFonts w:ascii="宋体" w:hAnsi="宋体" w:eastAsia="宋体" w:cs="宋体"/>
          <w:sz w:val="18"/>
          <w:szCs w:val="18"/>
        </w:rPr>
        <w:t>前十名股东参与转融通业务出借股份情况</w:t>
      </w:r>
    </w:p>
    <w:p>
      <w:pPr>
        <w:spacing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rPr>
          <w:rFonts w:ascii="宋体" w:hAnsi="宋体" w:eastAsia="宋体" w:cs="宋体"/>
          <w:sz w:val="18"/>
          <w:szCs w:val="18"/>
        </w:rPr>
      </w:pPr>
      <w:r>
        <w:rPr>
          <w:rFonts w:ascii="宋体" w:hAnsi="宋体" w:eastAsia="宋体" w:cs="宋体"/>
          <w:sz w:val="18"/>
          <w:szCs w:val="18"/>
        </w:rPr>
        <w:t>前十名股东较上期发生变化</w:t>
      </w:r>
    </w:p>
    <w:p>
      <w:pPr>
        <w:spacing w:line="240" w:lineRule="exac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6"/>
        <w:gridCol w:w="16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前十名股东较上期末发生变化情况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股东名称（全称）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本报告期新增/退出</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期末转融通出借股份且尚未归还数量</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期末股东普通账户、信用账户持股及转融通出借股份且尚未归还的股份数量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郭红松</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退出</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8,700,000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徐国新</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新增</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13,939,061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0.82%</w:t>
            </w:r>
          </w:p>
        </w:tc>
      </w:tr>
    </w:tbl>
    <w:p>
      <w:pPr>
        <w:keepNext/>
        <w:keepLines/>
        <w:spacing w:before="300" w:after="300" w:line="280" w:lineRule="exact"/>
        <w:outlineLvl w:val="3"/>
        <w:rPr>
          <w:rFonts w:ascii="宋体" w:hAnsi="宋体" w:eastAsia="宋体" w:cs="宋体"/>
          <w:b/>
          <w:bCs/>
          <w:sz w:val="18"/>
          <w:szCs w:val="18"/>
        </w:rPr>
      </w:pPr>
      <w:bookmarkStart w:id="9" w:name="_Toc988898"/>
      <w:r>
        <w:rPr>
          <w:rFonts w:ascii="宋体" w:hAnsi="宋体" w:eastAsia="宋体" w:cs="宋体"/>
          <w:b/>
          <w:bCs/>
          <w:sz w:val="18"/>
          <w:szCs w:val="18"/>
        </w:rPr>
        <w:t>（2） 公司优先股股东总数及前10名优先股股东持股情况表</w:t>
      </w:r>
      <w:bookmarkEnd w:id="9"/>
    </w:p>
    <w:p>
      <w:pPr>
        <w:spacing w:before="40" w:after="4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rPr>
          <w:rFonts w:ascii="宋体" w:hAnsi="宋体" w:eastAsia="宋体" w:cs="宋体"/>
          <w:sz w:val="18"/>
          <w:szCs w:val="18"/>
        </w:rPr>
      </w:pPr>
      <w:r>
        <w:rPr>
          <w:rFonts w:ascii="宋体" w:hAnsi="宋体" w:eastAsia="宋体" w:cs="宋体"/>
          <w:sz w:val="18"/>
          <w:szCs w:val="18"/>
        </w:rPr>
        <w:t>公司报告期无优先股股东持股情况。</w:t>
      </w:r>
    </w:p>
    <w:p>
      <w:pPr>
        <w:keepNext/>
        <w:keepLines/>
        <w:spacing w:before="300" w:after="300" w:line="280" w:lineRule="exact"/>
        <w:outlineLvl w:val="3"/>
        <w:rPr>
          <w:rFonts w:ascii="宋体" w:hAnsi="宋体" w:eastAsia="宋体" w:cs="宋体"/>
          <w:b/>
          <w:bCs/>
          <w:sz w:val="18"/>
          <w:szCs w:val="18"/>
        </w:rPr>
      </w:pPr>
      <w:bookmarkStart w:id="10" w:name="_Toc988899"/>
      <w:r>
        <w:rPr>
          <w:rFonts w:ascii="宋体" w:hAnsi="宋体" w:eastAsia="宋体" w:cs="宋体"/>
          <w:b/>
          <w:bCs/>
          <w:sz w:val="18"/>
          <w:szCs w:val="18"/>
        </w:rPr>
        <w:t>（3） 以方框图形式披露公司与实际控制人之间的产权及控制关系</w:t>
      </w:r>
      <w:bookmarkEnd w:id="10"/>
    </w:p>
    <w:p>
      <w:pPr>
        <w:spacing w:before="40" w:after="40" w:line="0" w:lineRule="atLeast"/>
        <w:jc w:val="center"/>
        <w:rPr>
          <w:rFonts w:ascii="Times New Roman" w:hAnsi="Times New Roman" w:eastAsia="宋体" w:cs="Times New Roman"/>
        </w:rPr>
      </w:pPr>
      <w:r>
        <w:rPr>
          <w:rFonts w:ascii="Times New Roman" w:hAnsi="Times New Roman" w:eastAsia="宋体" w:cs="Times New Roman"/>
        </w:rPr>
        <w:drawing>
          <wp:inline distT="0" distB="0" distL="0" distR="0">
            <wp:extent cx="4371975" cy="223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4378915" cy="2234565"/>
                    </a:xfrm>
                    <a:prstGeom prst="rect">
                      <a:avLst/>
                    </a:prstGeom>
                  </pic:spPr>
                </pic:pic>
              </a:graphicData>
            </a:graphic>
          </wp:inline>
        </w:drawing>
      </w:r>
    </w:p>
    <w:p>
      <w:pPr>
        <w:pStyle w:val="3"/>
        <w:spacing w:line="280" w:lineRule="exact"/>
        <w:jc w:val="left"/>
        <w:rPr>
          <w:rFonts w:ascii="宋体" w:hAnsi="宋体" w:cs="宋体"/>
          <w:b/>
          <w:bCs/>
        </w:rPr>
      </w:pPr>
      <w:bookmarkStart w:id="11" w:name="_Toc988900"/>
      <w:r>
        <w:rPr>
          <w:rFonts w:ascii="宋体" w:hAnsi="宋体" w:cs="宋体"/>
          <w:b/>
          <w:bCs/>
        </w:rPr>
        <w:t>5、在年度报告批准报出日存续的债券情况</w:t>
      </w:r>
      <w:bookmarkEnd w:id="11"/>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pStyle w:val="2"/>
        <w:spacing w:before="300" w:after="300" w:line="320" w:lineRule="exact"/>
        <w:rPr>
          <w:rFonts w:ascii="宋体" w:hAnsi="宋体" w:eastAsia="宋体" w:cs="宋体"/>
          <w:b/>
          <w:bCs/>
          <w:sz w:val="24"/>
          <w:szCs w:val="24"/>
        </w:rPr>
      </w:pPr>
      <w:bookmarkStart w:id="12" w:name="_Toc988901"/>
      <w:r>
        <w:rPr>
          <w:rFonts w:ascii="宋体" w:hAnsi="宋体" w:eastAsia="宋体" w:cs="宋体"/>
          <w:b/>
          <w:bCs/>
          <w:sz w:val="24"/>
          <w:szCs w:val="24"/>
        </w:rPr>
        <w:t>三、重要事项</w:t>
      </w:r>
      <w:bookmarkEnd w:id="12"/>
    </w:p>
    <w:p>
      <w:pPr>
        <w:pStyle w:val="9"/>
        <w:shd w:val="clear" w:color="auto" w:fill="FFFFFF"/>
        <w:spacing w:before="0" w:beforeAutospacing="0" w:after="0" w:afterAutospacing="0"/>
        <w:ind w:firstLine="420"/>
        <w:jc w:val="both"/>
        <w:rPr>
          <w:b/>
          <w:bCs/>
          <w:sz w:val="18"/>
          <w:szCs w:val="18"/>
        </w:rPr>
      </w:pPr>
      <w:r>
        <w:rPr>
          <w:rFonts w:hint="eastAsia"/>
          <w:sz w:val="18"/>
          <w:szCs w:val="18"/>
        </w:rPr>
        <w:t>一、2022年回购事项</w:t>
      </w:r>
    </w:p>
    <w:p>
      <w:pPr>
        <w:pStyle w:val="9"/>
        <w:shd w:val="clear" w:color="auto" w:fill="FFFFFF"/>
        <w:spacing w:before="0" w:beforeAutospacing="0" w:after="0" w:afterAutospacing="0"/>
        <w:ind w:firstLine="420"/>
        <w:jc w:val="both"/>
        <w:rPr>
          <w:sz w:val="18"/>
          <w:szCs w:val="18"/>
        </w:rPr>
      </w:pPr>
      <w:r>
        <w:rPr>
          <w:rFonts w:hint="eastAsia"/>
          <w:sz w:val="18"/>
          <w:szCs w:val="18"/>
        </w:rPr>
        <w:t>1、公司于2022年3月21日召开第八届董事会2022年第二次临时会议审议通过《关于回购公司股份方案的议案》，公司拟使用自有资金以集中竞价交易方式回购已发行的人民币普通股（A股）股份，回购股份用于公司后续员工持股计划或者股权激励。回购总金额为不低于人民币5,000万元,不超过人民币10,000万元，回购价格不超过6.50元/股，回购股份的实施期限为自董事会审议通过本次回购股份方案之日起不超过十二个月。 详见公司于2022年3月22日刊登在《中国证券报》、《证券时报》及巨潮资讯网（</w:t>
      </w:r>
      <w:r>
        <w:fldChar w:fldCharType="begin"/>
      </w:r>
      <w:r>
        <w:instrText xml:space="preserve"> HYPERLINK "C:/Program%20Files%20(x86)/SZSE-SRFS-LISTED/resources/app/www.cninfo.com.cn" </w:instrText>
      </w:r>
      <w:r>
        <w:fldChar w:fldCharType="separate"/>
      </w:r>
      <w:r>
        <w:rPr>
          <w:rFonts w:hint="eastAsia"/>
          <w:sz w:val="18"/>
          <w:szCs w:val="18"/>
        </w:rPr>
        <w:t>www.cninfo.com.cn</w:t>
      </w:r>
      <w:r>
        <w:rPr>
          <w:rFonts w:hint="eastAsia"/>
          <w:sz w:val="18"/>
          <w:szCs w:val="18"/>
        </w:rPr>
        <w:fldChar w:fldCharType="end"/>
      </w:r>
      <w:r>
        <w:rPr>
          <w:rFonts w:hint="eastAsia"/>
          <w:sz w:val="18"/>
          <w:szCs w:val="18"/>
        </w:rPr>
        <w:t>）上的《关于回购公司股份方案的公告》（2022-13）。</w:t>
      </w:r>
    </w:p>
    <w:p>
      <w:pPr>
        <w:pStyle w:val="9"/>
        <w:shd w:val="clear" w:color="auto" w:fill="FFFFFF"/>
        <w:spacing w:before="0" w:beforeAutospacing="0" w:after="0" w:afterAutospacing="0"/>
        <w:ind w:firstLine="420"/>
        <w:jc w:val="both"/>
        <w:rPr>
          <w:sz w:val="18"/>
          <w:szCs w:val="18"/>
        </w:rPr>
      </w:pPr>
      <w:r>
        <w:rPr>
          <w:rFonts w:hint="eastAsia"/>
          <w:sz w:val="18"/>
          <w:szCs w:val="18"/>
        </w:rPr>
        <w:t>2、2022年4月28日，公司通过股份回购专用证券账户以集中竞价方式实施了首次回购，回购股份数量7,895,300股，占公司目前总股本的0.46%。最高成交价格 3.65元/股，最低成交价格3.52元/股，成交总金额为28,303,349.00元（不含手续费），具体详见2022年4月29日公司于《中国证券报》、《证券时报》及巨潮资讯网（</w:t>
      </w:r>
      <w:r>
        <w:fldChar w:fldCharType="begin"/>
      </w:r>
      <w:r>
        <w:instrText xml:space="preserve"> HYPERLINK "C:/Program%20Files%20(x86)/SZSE-SRFS-LISTED/resources/app/www.cninfo.com.cn" </w:instrText>
      </w:r>
      <w:r>
        <w:fldChar w:fldCharType="separate"/>
      </w:r>
      <w:r>
        <w:rPr>
          <w:rFonts w:hint="eastAsia"/>
          <w:sz w:val="18"/>
          <w:szCs w:val="18"/>
        </w:rPr>
        <w:t>www.cninfo.com.cn</w:t>
      </w:r>
      <w:r>
        <w:rPr>
          <w:rFonts w:hint="eastAsia"/>
          <w:sz w:val="18"/>
          <w:szCs w:val="18"/>
        </w:rPr>
        <w:fldChar w:fldCharType="end"/>
      </w:r>
      <w:r>
        <w:rPr>
          <w:rFonts w:hint="eastAsia"/>
          <w:sz w:val="18"/>
          <w:szCs w:val="18"/>
        </w:rPr>
        <w:t>）披露的《关于首次回购公司股份的公告》（2022-30）。</w:t>
      </w:r>
    </w:p>
    <w:p>
      <w:pPr>
        <w:pStyle w:val="9"/>
        <w:shd w:val="clear" w:color="auto" w:fill="FFFFFF"/>
        <w:spacing w:before="0" w:beforeAutospacing="0" w:after="0" w:afterAutospacing="0"/>
        <w:ind w:firstLine="420"/>
        <w:jc w:val="both"/>
        <w:rPr>
          <w:sz w:val="18"/>
          <w:szCs w:val="18"/>
        </w:rPr>
      </w:pPr>
      <w:r>
        <w:rPr>
          <w:rFonts w:hint="eastAsia"/>
          <w:sz w:val="18"/>
          <w:szCs w:val="18"/>
        </w:rPr>
        <w:t>3、根据《深圳证券交易所上市公司自律监管指引第9号——回购股份》等法律法规、规范性文件的有关规定，公司应当在每个月的前三个交易日内披露截至上月末的回购进展情况，公司回购股份进展具体详见公司分别于2022年4月2日、2022年5月6日、2022年6月2日、2022年7月5日、2022年8月3日、2022年9月3日、2022年10月11日、2022年11月3日、2022年12月3日、2023年1月5日、2023年3月3日披露的《关于回购公司股份进展的公告》。</w:t>
      </w:r>
    </w:p>
    <w:p>
      <w:pPr>
        <w:pStyle w:val="9"/>
        <w:shd w:val="clear" w:color="auto" w:fill="FFFFFF"/>
        <w:spacing w:before="0" w:beforeAutospacing="0" w:after="0" w:afterAutospacing="0"/>
        <w:ind w:firstLine="420"/>
        <w:jc w:val="both"/>
        <w:rPr>
          <w:sz w:val="18"/>
          <w:szCs w:val="18"/>
        </w:rPr>
      </w:pPr>
      <w:r>
        <w:rPr>
          <w:rFonts w:hint="eastAsia"/>
          <w:sz w:val="18"/>
          <w:szCs w:val="18"/>
        </w:rPr>
        <w:t>4、截至2023年1月31日，公司回购股份比例达到公司已发行总股数的1%，根据《深圳证券交易所上市公司自律监管指引第9号——回购股份》等法律法规、规范性文件的有关规定，回购股份占上市公司总股本的比例每增加1%，应当在事实发生之日起3日内予以披露。具体详见公司于2023年2月1日披露的《关于回购公司股份比例达到1%暨回购股份进展公告》（2023-02）。</w:t>
      </w:r>
    </w:p>
    <w:p>
      <w:pPr>
        <w:pStyle w:val="9"/>
        <w:shd w:val="clear" w:color="auto" w:fill="FFFFFF"/>
        <w:spacing w:before="0" w:beforeAutospacing="0" w:after="0" w:afterAutospacing="0"/>
        <w:ind w:firstLine="420"/>
        <w:jc w:val="both"/>
        <w:rPr>
          <w:sz w:val="18"/>
          <w:szCs w:val="18"/>
        </w:rPr>
      </w:pPr>
      <w:r>
        <w:rPr>
          <w:rFonts w:hint="eastAsia"/>
          <w:sz w:val="18"/>
          <w:szCs w:val="18"/>
        </w:rPr>
        <w:t>5、截至2023年3月20日，公司本次股份回购已完成。在回购期间，公司通过股份回购专用证券账户以集中竞价交易方式累计回购公司股票29,800,000股，占公司总股本的1.75%（以公司截止2023年3月20日总股本1,700,681,355股为基准），实际回购期间为2022年4月28日至2023年3月20日，其中最高成交价为3.67元/股，最低成交价为3.04元/股，成交总金额为人民99,916,654.12元（不含交易费用）。本次回购符合相关法律法规的要求，符合公司既定的回购方案，本次回购股份方案已实施完毕。</w:t>
      </w:r>
    </w:p>
    <w:p>
      <w:pPr>
        <w:pStyle w:val="9"/>
        <w:shd w:val="clear" w:color="auto" w:fill="FFFFFF"/>
        <w:spacing w:before="0" w:beforeAutospacing="0" w:after="0" w:afterAutospacing="0"/>
        <w:ind w:firstLine="420"/>
        <w:jc w:val="both"/>
        <w:rPr>
          <w:sz w:val="18"/>
          <w:szCs w:val="18"/>
        </w:rPr>
      </w:pPr>
      <w:r>
        <w:rPr>
          <w:rFonts w:hint="eastAsia"/>
          <w:sz w:val="18"/>
          <w:szCs w:val="18"/>
        </w:rPr>
        <w:t>二、2023年回购事项</w:t>
      </w:r>
    </w:p>
    <w:p>
      <w:pPr>
        <w:pStyle w:val="9"/>
        <w:shd w:val="clear" w:color="auto" w:fill="FFFFFF"/>
        <w:spacing w:before="0" w:beforeAutospacing="0" w:after="0" w:afterAutospacing="0"/>
        <w:ind w:firstLine="420"/>
        <w:jc w:val="both"/>
        <w:rPr>
          <w:sz w:val="18"/>
          <w:szCs w:val="18"/>
        </w:rPr>
      </w:pPr>
      <w:r>
        <w:rPr>
          <w:rFonts w:hint="eastAsia"/>
          <w:sz w:val="18"/>
          <w:szCs w:val="18"/>
        </w:rPr>
        <w:t>1、公司于2023年3月17日召开第八届董事会2023年第一次临时会议，审议通过了《关于2023年回购公司股份方案的议案》，公司拟使用自有资金以集中竞价交易方式回购已发行的人民币普通股（A股）股份，回购股份用于维护公司价值及股东权益，后续将按相关规定予以出售。回购总金额为不低于人民币10,000万元,不超过人民币20,000万元，回购价格不超过4.60元/股，回购股份的实施期限为自董事会审议通过本次回购股份方案之日起不超过三个月。详见公司于2023年3月18日刊登在《中国证券报》、《证券时报》及巨潮资讯网（</w:t>
      </w:r>
      <w:r>
        <w:fldChar w:fldCharType="begin"/>
      </w:r>
      <w:r>
        <w:instrText xml:space="preserve"> HYPERLINK "C:/Program%20Files%20(x86)/SZSE-SRFS-LISTED/resources/app/www.cninfo.com.cn" </w:instrText>
      </w:r>
      <w:r>
        <w:fldChar w:fldCharType="separate"/>
      </w:r>
      <w:r>
        <w:rPr>
          <w:rFonts w:hint="eastAsia"/>
          <w:sz w:val="18"/>
          <w:szCs w:val="18"/>
        </w:rPr>
        <w:t>www.cninfo.com.cn</w:t>
      </w:r>
      <w:r>
        <w:rPr>
          <w:rFonts w:hint="eastAsia"/>
          <w:sz w:val="18"/>
          <w:szCs w:val="18"/>
        </w:rPr>
        <w:fldChar w:fldCharType="end"/>
      </w:r>
      <w:r>
        <w:rPr>
          <w:rFonts w:hint="eastAsia"/>
          <w:sz w:val="18"/>
          <w:szCs w:val="18"/>
        </w:rPr>
        <w:t>）上的《关于2023年回购公司股份方案的公告》（2023-07）。</w:t>
      </w:r>
    </w:p>
    <w:p>
      <w:pPr>
        <w:pStyle w:val="9"/>
        <w:shd w:val="clear" w:color="auto" w:fill="FFFFFF"/>
        <w:spacing w:before="0" w:beforeAutospacing="0" w:after="0" w:afterAutospacing="0"/>
        <w:ind w:firstLine="420"/>
        <w:jc w:val="both"/>
        <w:rPr>
          <w:sz w:val="18"/>
          <w:szCs w:val="18"/>
        </w:rPr>
      </w:pPr>
      <w:r>
        <w:rPr>
          <w:rFonts w:hint="eastAsia"/>
          <w:sz w:val="18"/>
          <w:szCs w:val="18"/>
        </w:rPr>
        <w:t>2、2023年3月20日，公司通过股份回购专用证券账户以集中竞价方式实施了首次回购，回购股份数量38,000股，占公司目前总股本的0.00%。最高成交价格3.15/股，最低成交价格3.13元/股，成交总金额为118,940元（不含手续费）。</w:t>
      </w:r>
    </w:p>
    <w:p>
      <w:pPr>
        <w:pStyle w:val="9"/>
        <w:shd w:val="clear" w:color="auto" w:fill="FFFFFF"/>
        <w:spacing w:before="0" w:beforeAutospacing="0" w:after="0" w:afterAutospacing="0"/>
        <w:ind w:firstLine="420"/>
        <w:jc w:val="both"/>
        <w:rPr>
          <w:sz w:val="18"/>
          <w:szCs w:val="18"/>
        </w:rPr>
      </w:pPr>
      <w:r>
        <w:rPr>
          <w:rFonts w:hint="eastAsia"/>
          <w:sz w:val="18"/>
          <w:szCs w:val="18"/>
        </w:rPr>
        <w:t>具体详见2023年3月21日公司于《中国证券报》、《证券时报》及巨潮资讯网（</w:t>
      </w:r>
      <w:r>
        <w:fldChar w:fldCharType="begin"/>
      </w:r>
      <w:r>
        <w:instrText xml:space="preserve"> HYPERLINK "C:/Program%20Files%20(x86)/SZSE-SRFS-LISTED/resources/app/www.cninfo.com.cn" </w:instrText>
      </w:r>
      <w:r>
        <w:fldChar w:fldCharType="separate"/>
      </w:r>
      <w:r>
        <w:rPr>
          <w:rFonts w:hint="eastAsia"/>
          <w:sz w:val="18"/>
          <w:szCs w:val="18"/>
        </w:rPr>
        <w:t>www.cninfo.com.cn</w:t>
      </w:r>
      <w:r>
        <w:rPr>
          <w:rFonts w:hint="eastAsia"/>
          <w:sz w:val="18"/>
          <w:szCs w:val="18"/>
        </w:rPr>
        <w:fldChar w:fldCharType="end"/>
      </w:r>
      <w:r>
        <w:rPr>
          <w:rFonts w:hint="eastAsia"/>
          <w:sz w:val="18"/>
          <w:szCs w:val="18"/>
        </w:rPr>
        <w:t>）披露的《关于2023年回购公司股份方案首次回购的公告》（2023-11）。</w:t>
      </w:r>
    </w:p>
    <w:p>
      <w:pPr>
        <w:pStyle w:val="9"/>
        <w:shd w:val="clear" w:color="auto" w:fill="FFFFFF"/>
        <w:spacing w:before="0" w:beforeAutospacing="0" w:after="0" w:afterAutospacing="0"/>
        <w:ind w:firstLine="420"/>
        <w:jc w:val="both"/>
        <w:rPr>
          <w:sz w:val="18"/>
          <w:szCs w:val="18"/>
        </w:rPr>
      </w:pPr>
      <w:r>
        <w:rPr>
          <w:rFonts w:hint="eastAsia"/>
          <w:sz w:val="18"/>
          <w:szCs w:val="18"/>
        </w:rPr>
        <w:t>3、根据《深圳证券交易所上市公司自律监管指引第9号——回购股份》等法律法规、规范性文件的有关规定，公司应当在每个月的前三个交易日内披露截至上月末的回购进展情况，公司回购股份进展具体详见公司分别于2023年4月6日、2023年5月6日、2023年6月2日披露的《关于2023年回购公司股份进展的公告》。</w:t>
      </w:r>
    </w:p>
    <w:p>
      <w:pPr>
        <w:pStyle w:val="9"/>
        <w:shd w:val="clear" w:color="auto" w:fill="FFFFFF"/>
        <w:spacing w:before="0" w:beforeAutospacing="0" w:after="0" w:afterAutospacing="0"/>
        <w:ind w:firstLine="420"/>
        <w:jc w:val="both"/>
        <w:rPr>
          <w:sz w:val="18"/>
          <w:szCs w:val="18"/>
        </w:rPr>
      </w:pPr>
      <w:r>
        <w:rPr>
          <w:rFonts w:hint="eastAsia"/>
          <w:sz w:val="18"/>
          <w:szCs w:val="18"/>
        </w:rPr>
        <w:t>4、截至2023年6月6日，公司回购股份比例达到公司已发行总股数的1.04%，根据《深圳证券交易所上市公司自律监管指引第9号——回购股份》等法律法规、规范性文件的有关规定，回购股份占上市公司总股本的比例每增加1%，应当在事实发生之日起3日内予以披露。具体详见公司于2023年6月7日披露的《关于2023年回购公司股份比例达到1%暨回购股份进展公告》（2023-32）。</w:t>
      </w:r>
    </w:p>
    <w:p>
      <w:pPr>
        <w:pStyle w:val="9"/>
        <w:shd w:val="clear" w:color="auto" w:fill="FFFFFF"/>
        <w:spacing w:before="0" w:beforeAutospacing="0" w:after="0" w:afterAutospacing="0"/>
        <w:ind w:firstLine="420"/>
        <w:jc w:val="both"/>
        <w:rPr>
          <w:rFonts w:hint="eastAsia"/>
          <w:sz w:val="18"/>
          <w:szCs w:val="18"/>
        </w:rPr>
      </w:pPr>
      <w:r>
        <w:rPr>
          <w:rFonts w:hint="eastAsia"/>
          <w:sz w:val="18"/>
          <w:szCs w:val="18"/>
        </w:rPr>
        <w:t>5、截至2023年6月16日，公司本次股份回购已完成。在回购期间，公司通过股份回购专用证券账户以集中竞价交易方式累计回购公司股票31,275,314股，占公司总股本的1.84%（以公司截止2023年6月16日总股本1,700,681,355股为基准），实际回购期间为2023年3月20日至2023年6月16日，其中最高成交价为3.28元/股，最低成交价为3.12元/股，成交总金额为人民100,128,238.70元（不含交易费用）。本次回购符合相关法律法规的要求，符合公司既定的回购方案，本次回购股份方案已实施完毕。</w:t>
      </w:r>
    </w:p>
    <w:p>
      <w:pPr>
        <w:pStyle w:val="9"/>
        <w:shd w:val="clear" w:color="auto" w:fill="FFFFFF"/>
        <w:spacing w:before="0" w:beforeAutospacing="0" w:after="0" w:afterAutospacing="0"/>
        <w:ind w:firstLine="420"/>
        <w:jc w:val="right"/>
        <w:rPr>
          <w:rFonts w:hint="eastAsia"/>
          <w:sz w:val="18"/>
          <w:szCs w:val="18"/>
        </w:rPr>
      </w:pPr>
    </w:p>
    <w:p>
      <w:pPr>
        <w:pStyle w:val="9"/>
        <w:shd w:val="clear" w:color="auto" w:fill="FFFFFF"/>
        <w:spacing w:before="0" w:beforeAutospacing="0" w:after="0" w:afterAutospacing="0"/>
        <w:ind w:firstLine="420"/>
        <w:jc w:val="right"/>
        <w:rPr>
          <w:rFonts w:hint="eastAsia"/>
          <w:sz w:val="18"/>
          <w:szCs w:val="18"/>
        </w:rPr>
      </w:pPr>
      <w:r>
        <w:rPr>
          <w:rFonts w:hint="eastAsia"/>
          <w:sz w:val="18"/>
          <w:szCs w:val="18"/>
        </w:rPr>
        <w:t>华孚时尚股份有限公司董事会</w:t>
      </w:r>
    </w:p>
    <w:p>
      <w:pPr>
        <w:pStyle w:val="9"/>
        <w:shd w:val="clear" w:color="auto" w:fill="FFFFFF"/>
        <w:spacing w:before="0" w:beforeAutospacing="0" w:after="0" w:afterAutospacing="0"/>
        <w:ind w:firstLine="420"/>
        <w:jc w:val="right"/>
        <w:rPr>
          <w:sz w:val="18"/>
          <w:szCs w:val="18"/>
        </w:rPr>
      </w:pPr>
      <w:r>
        <w:rPr>
          <w:rFonts w:hint="eastAsia"/>
          <w:sz w:val="18"/>
          <w:szCs w:val="18"/>
        </w:rPr>
        <w:t>2024年4月27日</w:t>
      </w:r>
    </w:p>
    <w:p>
      <w:pPr>
        <w:pStyle w:val="9"/>
        <w:spacing w:before="0" w:beforeAutospacing="0" w:after="0" w:afterAutospacing="0"/>
        <w:ind w:firstLine="420"/>
        <w:jc w:val="both"/>
        <w:rPr>
          <w:rFonts w:ascii="Calibri" w:hAnsi="Calibri" w:cs="Calibri"/>
          <w:sz w:val="21"/>
          <w:szCs w:val="21"/>
        </w:rPr>
      </w:pPr>
      <w:r>
        <w:rPr>
          <w:rFonts w:hint="eastAsia" w:cs="Calibri"/>
          <w:sz w:val="21"/>
          <w:szCs w:val="21"/>
        </w:rPr>
        <w:t> </w:t>
      </w:r>
    </w:p>
    <w:p>
      <w:pPr>
        <w:pStyle w:val="9"/>
        <w:spacing w:before="0" w:beforeAutospacing="0" w:after="0" w:afterAutospacing="0"/>
        <w:ind w:firstLine="420"/>
        <w:jc w:val="both"/>
        <w:rPr>
          <w:rFonts w:ascii="Calibri" w:hAnsi="Calibri" w:cs="Calibri"/>
          <w:sz w:val="21"/>
          <w:szCs w:val="21"/>
        </w:rPr>
      </w:pPr>
      <w:r>
        <w:rPr>
          <w:rFonts w:hint="eastAsia" w:cs="Calibri"/>
          <w:sz w:val="21"/>
          <w:szCs w:val="21"/>
        </w:rPr>
        <w:t> </w:t>
      </w:r>
    </w:p>
    <w:sectPr>
      <w:headerReference r:id="rId3" w:type="default"/>
      <w:footerReference r:id="rId4" w:type="default"/>
      <w:pgSz w:w="11905" w:h="16840"/>
      <w:pgMar w:top="850" w:right="1134" w:bottom="85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1"/>
      </w:pBdr>
    </w:pPr>
    <w:r>
      <w:t>华孚时尚股份有限公司2023年年度报告摘要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
  <w:docVars>
    <w:docVar w:name="commondata" w:val="eyJoZGlkIjoiNzVlODY1MzA0YjNiZDMyMmRlYTlhMDJhYzZhZDQ5ODgifQ=="/>
  </w:docVars>
  <w:rsids>
    <w:rsidRoot w:val="00EE6178"/>
    <w:rsid w:val="00370233"/>
    <w:rsid w:val="006A11B4"/>
    <w:rsid w:val="00EE6178"/>
    <w:rsid w:val="165533A3"/>
    <w:rsid w:val="4295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56" w:after="156"/>
      <w:outlineLvl w:val="1"/>
    </w:pPr>
    <w:rPr>
      <w:szCs w:val="21"/>
    </w:rPr>
  </w:style>
  <w:style w:type="paragraph" w:styleId="3">
    <w:name w:val="heading 3"/>
    <w:basedOn w:val="1"/>
    <w:next w:val="1"/>
    <w:autoRedefine/>
    <w:qFormat/>
    <w:uiPriority w:val="99"/>
    <w:pPr>
      <w:keepNext/>
      <w:keepLines/>
      <w:spacing w:before="300" w:after="300" w:line="241" w:lineRule="auto"/>
      <w:jc w:val="both"/>
      <w:outlineLvl w:val="2"/>
    </w:pPr>
    <w:rPr>
      <w:rFonts w:eastAsia="宋体"/>
      <w:szCs w:val="21"/>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autoRedefine/>
    <w:semiHidden/>
    <w:unhideWhenUsed/>
    <w:uiPriority w:val="99"/>
    <w:rPr>
      <w:sz w:val="18"/>
      <w:szCs w:val="18"/>
    </w:rPr>
  </w:style>
  <w:style w:type="paragraph" w:styleId="5">
    <w:name w:val="footer"/>
    <w:basedOn w:val="1"/>
    <w:link w:val="18"/>
    <w:unhideWhenUsed/>
    <w:qFormat/>
    <w:uiPriority w:val="99"/>
    <w:pPr>
      <w:tabs>
        <w:tab w:val="center" w:pos="4153"/>
        <w:tab w:val="right" w:pos="8306"/>
      </w:tabs>
      <w:snapToGrid w:val="0"/>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iPriority w:val="39"/>
  </w:style>
  <w:style w:type="paragraph" w:styleId="8">
    <w:name w:val="toc 2"/>
    <w:basedOn w:val="1"/>
    <w:next w:val="1"/>
    <w:autoRedefine/>
    <w:unhideWhenUsed/>
    <w:uiPriority w:val="39"/>
    <w:pPr>
      <w:ind w:left="420" w:leftChars="200"/>
    </w:pPr>
  </w:style>
  <w:style w:type="paragraph" w:styleId="9">
    <w:name w:val="Normal (Web)"/>
    <w:basedOn w:val="1"/>
    <w:autoRedefine/>
    <w:semiHidden/>
    <w:unhideWhenUsed/>
    <w:uiPriority w:val="99"/>
    <w:pPr>
      <w:widowControl/>
      <w:spacing w:before="100" w:beforeAutospacing="1" w:after="100" w:afterAutospacing="1"/>
    </w:pPr>
    <w:rPr>
      <w:rFonts w:ascii="宋体" w:hAnsi="宋体" w:eastAsia="宋体" w:cs="宋体"/>
      <w:kern w:val="0"/>
      <w:sz w:val="24"/>
      <w:szCs w:val="24"/>
    </w:rPr>
  </w:style>
  <w:style w:type="character" w:styleId="12">
    <w:name w:val="Strong"/>
    <w:basedOn w:val="11"/>
    <w:qFormat/>
    <w:uiPriority w:val="22"/>
    <w:rPr>
      <w:b/>
      <w:bCs/>
    </w:rPr>
  </w:style>
  <w:style w:type="paragraph" w:customStyle="1" w:styleId="13">
    <w:name w:val="Header 1"/>
    <w:uiPriority w:val="0"/>
    <w:pPr>
      <w:jc w:val="right"/>
    </w:pPr>
    <w:rPr>
      <w:rFonts w:ascii="宋体" w:eastAsia="宋体" w:hAnsiTheme="minorHAnsi" w:cstheme="minorBidi"/>
      <w:kern w:val="2"/>
      <w:sz w:val="18"/>
      <w:szCs w:val="18"/>
      <w:lang w:val="en-US" w:eastAsia="zh-CN" w:bidi="ar-SA"/>
    </w:rPr>
  </w:style>
  <w:style w:type="paragraph" w:customStyle="1" w:styleId="14">
    <w:name w:val="heading h1"/>
    <w:basedOn w:val="1"/>
    <w:next w:val="1"/>
    <w:autoRedefine/>
    <w:qFormat/>
    <w:uiPriority w:val="9"/>
    <w:pPr>
      <w:keepNext/>
      <w:keepLines/>
      <w:spacing w:before="240" w:after="240" w:line="578" w:lineRule="auto"/>
      <w:outlineLvl w:val="0"/>
    </w:pPr>
    <w:rPr>
      <w:kern w:val="44"/>
      <w:sz w:val="44"/>
      <w:szCs w:val="44"/>
    </w:rPr>
  </w:style>
  <w:style w:type="paragraph" w:customStyle="1" w:styleId="15">
    <w:name w:val="fotter 1"/>
    <w:uiPriority w:val="0"/>
    <w:pPr>
      <w:jc w:val="center"/>
    </w:pPr>
    <w:rPr>
      <w:rFonts w:ascii="仿宋" w:eastAsia="仿宋" w:hAnsiTheme="minorHAnsi" w:cstheme="minorBidi"/>
      <w:kern w:val="2"/>
      <w:sz w:val="21"/>
      <w:szCs w:val="21"/>
      <w:lang w:val="en-US" w:eastAsia="zh-CN" w:bidi="ar-SA"/>
    </w:rPr>
  </w:style>
  <w:style w:type="character" w:customStyle="1" w:styleId="16">
    <w:name w:val="15"/>
    <w:basedOn w:val="11"/>
    <w:uiPriority w:val="0"/>
  </w:style>
  <w:style w:type="character" w:customStyle="1" w:styleId="17">
    <w:name w:val="页眉 Char"/>
    <w:basedOn w:val="11"/>
    <w:link w:val="6"/>
    <w:uiPriority w:val="99"/>
    <w:rPr>
      <w:sz w:val="18"/>
      <w:szCs w:val="18"/>
    </w:rPr>
  </w:style>
  <w:style w:type="character" w:customStyle="1" w:styleId="18">
    <w:name w:val="页脚 Char"/>
    <w:basedOn w:val="11"/>
    <w:link w:val="5"/>
    <w:uiPriority w:val="99"/>
    <w:rPr>
      <w:sz w:val="18"/>
      <w:szCs w:val="18"/>
    </w:rPr>
  </w:style>
  <w:style w:type="character" w:customStyle="1" w:styleId="19">
    <w:name w:val="批注框文本 Char"/>
    <w:basedOn w:val="11"/>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954</Words>
  <Characters>5443</Characters>
  <Lines>45</Lines>
  <Paragraphs>12</Paragraphs>
  <TotalTime>0</TotalTime>
  <ScaleCrop>false</ScaleCrop>
  <LinksUpToDate>false</LinksUpToDate>
  <CharactersWithSpaces>6385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2024-04-26T09:27:00Z</dcterms:created>
  <dc:creator>wangshuying</dc:creator>
  <cp:lastModifiedBy>WSY</cp:lastModifiedBy>
  <dcterms:modified xsi:type="dcterms:W3CDTF">2024-04-26T10:02:08Z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CFEA4756ABC7437FBB29F8A6F04669E7_12</vt:lpwstr>
  </property>
</Properties>
</file>