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ascii="黑体" w:hAnsi="黑体" w:eastAsia="黑体" w:cs="宋体"/>
          <w:sz w:val="18"/>
          <w:szCs w:val="18"/>
        </w:rPr>
      </w:pPr>
      <w:r>
        <w:rPr>
          <w:rFonts w:ascii="黑体" w:hAnsi="黑体" w:eastAsia="黑体" w:cs="宋体"/>
          <w:sz w:val="18"/>
          <w:szCs w:val="18"/>
        </w:rPr>
        <w:t xml:space="preserve">证券代码：002042        </w:t>
      </w:r>
      <w:r>
        <w:rPr>
          <w:rFonts w:hint="eastAsia" w:ascii="黑体" w:hAnsi="黑体" w:eastAsia="黑体" w:cs="宋体"/>
          <w:sz w:val="18"/>
          <w:szCs w:val="18"/>
        </w:rPr>
        <w:t xml:space="preserve">           </w:t>
      </w:r>
      <w:r>
        <w:rPr>
          <w:rFonts w:ascii="黑体" w:hAnsi="黑体" w:eastAsia="黑体" w:cs="宋体"/>
          <w:sz w:val="18"/>
          <w:szCs w:val="18"/>
        </w:rPr>
        <w:t xml:space="preserve">        证券简称：华孚时尚        </w:t>
      </w:r>
      <w:r>
        <w:rPr>
          <w:rFonts w:hint="eastAsia" w:ascii="黑体" w:hAnsi="黑体" w:eastAsia="黑体" w:cs="宋体"/>
          <w:sz w:val="18"/>
          <w:szCs w:val="18"/>
        </w:rPr>
        <w:t xml:space="preserve">          </w:t>
      </w:r>
      <w:r>
        <w:rPr>
          <w:rFonts w:ascii="黑体" w:hAnsi="黑体" w:eastAsia="黑体" w:cs="宋体"/>
          <w:sz w:val="18"/>
          <w:szCs w:val="18"/>
        </w:rPr>
        <w:t xml:space="preserve">        公告编号：</w:t>
      </w:r>
      <w:r>
        <w:rPr>
          <w:rFonts w:hint="eastAsia" w:ascii="黑体" w:hAnsi="黑体" w:eastAsia="黑体" w:cs="宋体"/>
          <w:sz w:val="18"/>
          <w:szCs w:val="18"/>
        </w:rPr>
        <w:t>2024-33</w:t>
      </w:r>
    </w:p>
    <w:p>
      <w:pPr>
        <w:spacing w:before="200" w:after="200" w:line="400" w:lineRule="exact"/>
        <w:jc w:val="center"/>
        <w:rPr>
          <w:rFonts w:cs="宋体" w:asciiTheme="majorEastAsia" w:hAnsiTheme="majorEastAsia" w:eastAsiaTheme="majorEastAsia"/>
          <w:b/>
          <w:bCs/>
          <w:sz w:val="36"/>
          <w:szCs w:val="36"/>
        </w:rPr>
      </w:pPr>
      <w:r>
        <w:rPr>
          <w:rFonts w:cs="宋体" w:asciiTheme="majorEastAsia" w:hAnsiTheme="majorEastAsia" w:eastAsiaTheme="majorEastAsia"/>
          <w:b/>
          <w:bCs/>
          <w:sz w:val="36"/>
          <w:szCs w:val="36"/>
        </w:rPr>
        <w:t>华孚时尚股份有限公司</w:t>
      </w:r>
    </w:p>
    <w:p>
      <w:pPr>
        <w:spacing w:before="200" w:after="200" w:line="400" w:lineRule="exact"/>
        <w:jc w:val="center"/>
        <w:rPr>
          <w:rFonts w:cs="宋体" w:asciiTheme="majorEastAsia" w:hAnsiTheme="majorEastAsia" w:eastAsiaTheme="majorEastAsia"/>
          <w:b/>
          <w:bCs/>
          <w:sz w:val="36"/>
          <w:szCs w:val="36"/>
        </w:rPr>
      </w:pPr>
      <w:r>
        <w:rPr>
          <w:rFonts w:cs="宋体" w:asciiTheme="majorEastAsia" w:hAnsiTheme="majorEastAsia" w:eastAsiaTheme="majorEastAsia"/>
          <w:b/>
          <w:bCs/>
          <w:sz w:val="36"/>
          <w:szCs w:val="36"/>
        </w:rPr>
        <w:t>2024年第一季度报告</w:t>
      </w:r>
    </w:p>
    <w:p>
      <w:pPr>
        <w:pBdr>
          <w:top w:val="single" w:color="auto" w:sz="4" w:space="1"/>
          <w:left w:val="single" w:color="auto" w:sz="4" w:space="4"/>
          <w:bottom w:val="single" w:color="auto" w:sz="4" w:space="1"/>
          <w:right w:val="single" w:color="auto" w:sz="4" w:space="4"/>
        </w:pBdr>
        <w:spacing w:before="100" w:after="100" w:line="400" w:lineRule="exact"/>
        <w:ind w:firstLine="360" w:firstLineChars="200"/>
        <w:rPr>
          <w:rFonts w:ascii="宋体" w:hAnsi="宋体" w:eastAsia="宋体" w:cs="宋体"/>
          <w:sz w:val="18"/>
          <w:szCs w:val="18"/>
        </w:rPr>
      </w:pPr>
      <w:r>
        <w:rPr>
          <w:rFonts w:ascii="宋体" w:hAnsi="宋体" w:eastAsia="宋体" w:cs="宋体"/>
          <w:sz w:val="18"/>
          <w:szCs w:val="18"/>
        </w:rPr>
        <w:t>本公司及董事会全体成员保证信息披露的内容真实、准确、完整，没有虚假记载、误导性陈述或重大遗漏。</w:t>
      </w:r>
    </w:p>
    <w:p>
      <w:pPr>
        <w:spacing w:before="40" w:after="40" w:line="420" w:lineRule="exact"/>
        <w:rPr>
          <w:rFonts w:ascii="宋体" w:hAnsi="宋体" w:eastAsia="宋体" w:cs="宋体"/>
          <w:b/>
          <w:bCs/>
          <w:sz w:val="24"/>
          <w:szCs w:val="24"/>
        </w:rPr>
      </w:pPr>
      <w:r>
        <w:rPr>
          <w:rFonts w:ascii="宋体" w:hAnsi="宋体" w:eastAsia="宋体" w:cs="宋体"/>
          <w:b/>
          <w:bCs/>
          <w:sz w:val="24"/>
          <w:szCs w:val="24"/>
        </w:rPr>
        <w:t>重要内容提示：</w:t>
      </w:r>
    </w:p>
    <w:p>
      <w:pPr>
        <w:spacing w:before="100" w:after="100" w:line="400" w:lineRule="exact"/>
        <w:rPr>
          <w:rFonts w:ascii="宋体" w:hAnsi="宋体" w:eastAsia="宋体" w:cs="宋体"/>
          <w:sz w:val="18"/>
          <w:szCs w:val="18"/>
        </w:rPr>
      </w:pPr>
      <w:r>
        <w:rPr>
          <w:rFonts w:ascii="宋体" w:hAnsi="宋体" w:eastAsia="宋体" w:cs="宋体"/>
          <w:sz w:val="18"/>
          <w:szCs w:val="18"/>
        </w:rPr>
        <w:t>1.董事会、监事会及董事、监事、高级管理人员保证季度报告的真实、准确、完整，不存在虚假记载、误导性陈述或重大遗漏，并承担个别和连带的法律责任。</w:t>
      </w:r>
    </w:p>
    <w:p>
      <w:pPr>
        <w:spacing w:before="100" w:after="100" w:line="400" w:lineRule="exact"/>
        <w:rPr>
          <w:rFonts w:ascii="宋体" w:hAnsi="宋体" w:eastAsia="宋体" w:cs="宋体"/>
          <w:sz w:val="18"/>
          <w:szCs w:val="18"/>
        </w:rPr>
      </w:pPr>
      <w:r>
        <w:rPr>
          <w:rFonts w:ascii="宋体" w:hAnsi="宋体" w:eastAsia="宋体" w:cs="宋体"/>
          <w:sz w:val="18"/>
          <w:szCs w:val="18"/>
        </w:rPr>
        <w:t>2.公司负责人、主管会计工作负责人及会计机构负责人(会计主管人员)声明：保证季度报告中财务信息的真实、准确、完整。</w:t>
      </w:r>
    </w:p>
    <w:p>
      <w:pPr>
        <w:spacing w:before="100" w:after="100" w:line="400" w:lineRule="exact"/>
        <w:rPr>
          <w:rFonts w:ascii="宋体" w:hAnsi="宋体" w:eastAsia="宋体" w:cs="宋体"/>
          <w:sz w:val="18"/>
          <w:szCs w:val="18"/>
        </w:rPr>
      </w:pPr>
      <w:r>
        <w:rPr>
          <w:rFonts w:ascii="宋体" w:hAnsi="宋体" w:eastAsia="宋体" w:cs="宋体"/>
          <w:sz w:val="18"/>
          <w:szCs w:val="18"/>
        </w:rPr>
        <w:t>3.第一季度报告是否经审计</w:t>
      </w:r>
    </w:p>
    <w:p>
      <w:pPr>
        <w:spacing w:before="100" w:after="100" w:line="400" w:lineRule="exac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r>
        <w:br w:type="page"/>
      </w:r>
    </w:p>
    <w:p>
      <w:pPr>
        <w:pStyle w:val="12"/>
        <w:spacing w:before="300" w:after="300" w:line="320" w:lineRule="exact"/>
        <w:rPr>
          <w:rFonts w:ascii="宋体" w:hAnsi="宋体" w:eastAsia="宋体" w:cs="宋体"/>
          <w:b/>
          <w:bCs/>
          <w:sz w:val="24"/>
          <w:szCs w:val="24"/>
        </w:rPr>
      </w:pPr>
      <w:bookmarkStart w:id="0" w:name="_Toc988889"/>
      <w:r>
        <w:rPr>
          <w:rFonts w:ascii="宋体" w:hAnsi="宋体" w:eastAsia="宋体" w:cs="宋体"/>
          <w:b/>
          <w:bCs/>
          <w:sz w:val="24"/>
          <w:szCs w:val="24"/>
        </w:rPr>
        <w:t>一、主要财务数据</w:t>
      </w:r>
      <w:bookmarkEnd w:id="0"/>
    </w:p>
    <w:p>
      <w:pPr>
        <w:pStyle w:val="2"/>
        <w:spacing w:before="300" w:after="300" w:line="280" w:lineRule="exact"/>
        <w:rPr>
          <w:rFonts w:ascii="宋体" w:hAnsi="宋体" w:eastAsia="宋体" w:cs="宋体"/>
          <w:b/>
          <w:bCs/>
        </w:rPr>
      </w:pPr>
      <w:bookmarkStart w:id="1" w:name="_Toc988890"/>
      <w:r>
        <w:rPr>
          <w:rFonts w:ascii="宋体" w:hAnsi="宋体" w:eastAsia="宋体" w:cs="宋体"/>
          <w:b/>
          <w:bCs/>
        </w:rPr>
        <w:t>（一） 主要会计数据和财务指标</w:t>
      </w:r>
      <w:bookmarkEnd w:id="1"/>
    </w:p>
    <w:p>
      <w:pPr>
        <w:spacing w:before="40" w:after="40" w:line="240" w:lineRule="exac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line="240" w:lineRule="exac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52"/>
        <w:gridCol w:w="1995"/>
        <w:gridCol w:w="1996"/>
        <w:gridCol w:w="19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19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上年同期</w:t>
            </w:r>
          </w:p>
        </w:tc>
        <w:tc>
          <w:tcPr>
            <w:tcW w:w="19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营业收入（元）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3,924,089,988.79</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4,532,846,687.35</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归属于上市公司股东的净利润（元）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13,494,498.49</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51,972,113.03</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-74.04%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9,357,306.36</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49,839,611.97</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经营活动产生的现金流量净额（元）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77,586,657.20</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429,659,649.05</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基本每股收益（元/股）</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0.01</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0.03</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稀释每股收益（元/股）</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0.01</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0.03</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加权平均净资产收益率</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0.22%</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0.82%</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19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上年度末</w:t>
            </w:r>
          </w:p>
        </w:tc>
        <w:tc>
          <w:tcPr>
            <w:tcW w:w="19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总资产（元）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17,676,951,199.64</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17,041,273,022.84</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归属于上市公司股东的所有者权益（元）</w:t>
            </w:r>
          </w:p>
        </w:tc>
        <w:tc>
          <w:tcPr>
            <w:tcW w:w="199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6,043,337,726.03</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6,156,565,539.90</w:t>
            </w:r>
          </w:p>
        </w:tc>
        <w:tc>
          <w:tcPr>
            <w:tcW w:w="199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-1.84%</w:t>
            </w:r>
          </w:p>
        </w:tc>
      </w:tr>
    </w:tbl>
    <w:p>
      <w:pPr>
        <w:pStyle w:val="2"/>
        <w:spacing w:before="300" w:after="300" w:line="280" w:lineRule="exact"/>
        <w:rPr>
          <w:rFonts w:ascii="宋体" w:hAnsi="宋体" w:eastAsia="宋体" w:cs="宋体"/>
          <w:b/>
          <w:bCs/>
        </w:rPr>
      </w:pPr>
      <w:bookmarkStart w:id="2" w:name="_Toc988891"/>
      <w:r>
        <w:rPr>
          <w:rFonts w:ascii="宋体" w:hAnsi="宋体" w:eastAsia="宋体" w:cs="宋体"/>
          <w:b/>
          <w:bCs/>
        </w:rPr>
        <w:t>（二） 非经常性损益项目和金额</w:t>
      </w:r>
      <w:bookmarkEnd w:id="2"/>
    </w:p>
    <w:p>
      <w:pPr>
        <w:spacing w:line="240" w:lineRule="exac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54"/>
        <w:gridCol w:w="1701"/>
        <w:gridCol w:w="8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本报告期金额</w:t>
            </w:r>
          </w:p>
        </w:tc>
        <w:tc>
          <w:tcPr>
            <w:tcW w:w="8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非流动性资产处置损益（包括已计提资产减值准备的冲销部分）</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126,556.32</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计入当期损益的政府补助（与公司正常经营业务密切相关、符合国家政策规定、按照确定的标准享有、对公司损益产生持续影响的政府补助除外）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6,648,124.70</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-876,612.73</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-193,510.99</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减：所得税影响额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1,408,899.34</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宋体" w:hAnsi="宋体" w:eastAsia="宋体" w:cs="宋体"/>
                <w:sz w:val="18"/>
                <w:szCs w:val="18"/>
              </w:rPr>
            </w:pPr>
            <w:r>
              <w:rPr>
                <w:rFonts w:ascii="宋体" w:hAnsi="宋体" w:eastAsia="宋体" w:cs="宋体"/>
                <w:sz w:val="18"/>
                <w:szCs w:val="18"/>
              </w:rPr>
              <w:t>少数股东权益影响额（税后）</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158,465.83</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4,137,192.13</w:t>
            </w:r>
          </w:p>
        </w:tc>
        <w:tc>
          <w:tcPr>
            <w:tcW w:w="8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line="240" w:lineRule="exac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40" w:after="40" w:line="240" w:lineRule="exac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line="240" w:lineRule="exac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pPr>
        <w:pStyle w:val="2"/>
        <w:spacing w:before="300" w:after="300" w:line="280" w:lineRule="exact"/>
        <w:rPr>
          <w:rFonts w:ascii="宋体" w:hAnsi="宋体" w:eastAsia="宋体" w:cs="宋体"/>
          <w:b/>
          <w:bCs/>
        </w:rPr>
      </w:pPr>
      <w:bookmarkStart w:id="3" w:name="_Toc988892"/>
      <w:r>
        <w:rPr>
          <w:rFonts w:ascii="宋体" w:hAnsi="宋体" w:eastAsia="宋体" w:cs="宋体"/>
          <w:b/>
          <w:bCs/>
        </w:rPr>
        <w:t>（三） 主要会计数据和财务指标发生变动的情况及原因</w:t>
      </w:r>
      <w:bookmarkEnd w:id="3"/>
    </w:p>
    <w:p>
      <w:pPr>
        <w:spacing w:line="240" w:lineRule="exac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08" w:type="dxa"/>
        <w:jc w:val="center"/>
        <w:tblLayout w:type="autofit"/>
        <w:tblCellMar>
          <w:top w:w="0" w:type="dxa"/>
          <w:left w:w="0" w:type="dxa"/>
          <w:bottom w:w="0" w:type="dxa"/>
          <w:right w:w="0" w:type="dxa"/>
        </w:tblCellMar>
      </w:tblPr>
      <w:tblGrid>
        <w:gridCol w:w="1995"/>
        <w:gridCol w:w="1843"/>
        <w:gridCol w:w="1559"/>
        <w:gridCol w:w="2410"/>
        <w:gridCol w:w="1801"/>
      </w:tblGrid>
      <w:tr>
        <w:tblPrEx>
          <w:tblCellMar>
            <w:top w:w="0" w:type="dxa"/>
            <w:left w:w="0" w:type="dxa"/>
            <w:bottom w:w="0" w:type="dxa"/>
            <w:right w:w="0" w:type="dxa"/>
          </w:tblCellMar>
        </w:tblPrEx>
        <w:trPr>
          <w:cantSplit/>
          <w:trHeight w:val="300" w:hRule="atLeast"/>
          <w:jc w:val="center"/>
        </w:trPr>
        <w:tc>
          <w:tcPr>
            <w:tcW w:w="199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　</w:t>
            </w:r>
          </w:p>
        </w:tc>
        <w:tc>
          <w:tcPr>
            <w:tcW w:w="1843" w:type="dxa"/>
            <w:tcBorders>
              <w:top w:val="single" w:color="auto" w:sz="8" w:space="0"/>
              <w:left w:val="nil"/>
              <w:bottom w:val="single" w:color="auto" w:sz="8" w:space="0"/>
              <w:right w:val="single" w:color="auto" w:sz="8" w:space="0"/>
            </w:tcBorders>
            <w:vAlign w:val="center"/>
          </w:tcPr>
          <w:p>
            <w:pPr>
              <w:jc w:val="center"/>
              <w:rPr>
                <w:rFonts w:ascii="宋体" w:hAnsi="宋体" w:eastAsia="宋体" w:cs="宋体"/>
                <w:sz w:val="18"/>
                <w:szCs w:val="18"/>
              </w:rPr>
            </w:pPr>
            <w:r>
              <w:rPr>
                <w:rFonts w:hint="eastAsia"/>
                <w:sz w:val="18"/>
                <w:szCs w:val="18"/>
              </w:rPr>
              <w:t>本报告期</w:t>
            </w:r>
          </w:p>
        </w:tc>
        <w:tc>
          <w:tcPr>
            <w:tcW w:w="1559" w:type="dxa"/>
            <w:tcBorders>
              <w:top w:val="single" w:color="auto" w:sz="8" w:space="0"/>
              <w:left w:val="nil"/>
              <w:bottom w:val="single" w:color="auto" w:sz="8" w:space="0"/>
              <w:right w:val="single" w:color="auto" w:sz="8" w:space="0"/>
            </w:tcBorders>
            <w:vAlign w:val="center"/>
          </w:tcPr>
          <w:p>
            <w:pPr>
              <w:jc w:val="center"/>
              <w:rPr>
                <w:rFonts w:ascii="宋体" w:hAnsi="宋体" w:eastAsia="宋体" w:cs="宋体"/>
                <w:sz w:val="18"/>
                <w:szCs w:val="18"/>
              </w:rPr>
            </w:pPr>
            <w:r>
              <w:rPr>
                <w:rFonts w:hint="eastAsia"/>
                <w:sz w:val="18"/>
                <w:szCs w:val="18"/>
              </w:rPr>
              <w:t>上年同期</w:t>
            </w:r>
          </w:p>
        </w:tc>
        <w:tc>
          <w:tcPr>
            <w:tcW w:w="2410" w:type="dxa"/>
            <w:tcBorders>
              <w:top w:val="single" w:color="auto" w:sz="8" w:space="0"/>
              <w:left w:val="nil"/>
              <w:bottom w:val="single" w:color="auto" w:sz="8" w:space="0"/>
              <w:right w:val="single" w:color="auto" w:sz="8" w:space="0"/>
            </w:tcBorders>
            <w:vAlign w:val="center"/>
          </w:tcPr>
          <w:p>
            <w:pPr>
              <w:jc w:val="center"/>
              <w:rPr>
                <w:rFonts w:ascii="宋体" w:hAnsi="宋体" w:eastAsia="宋体" w:cs="宋体"/>
                <w:sz w:val="18"/>
                <w:szCs w:val="18"/>
              </w:rPr>
            </w:pPr>
            <w:r>
              <w:rPr>
                <w:rFonts w:hint="eastAsia"/>
                <w:sz w:val="18"/>
                <w:szCs w:val="18"/>
              </w:rPr>
              <w:t>本报告期比上年同期增减</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变动原因</w:t>
            </w:r>
          </w:p>
        </w:tc>
      </w:tr>
      <w:tr>
        <w:tblPrEx>
          <w:tblCellMar>
            <w:top w:w="0" w:type="dxa"/>
            <w:left w:w="0" w:type="dxa"/>
            <w:bottom w:w="0" w:type="dxa"/>
            <w:right w:w="0" w:type="dxa"/>
          </w:tblCellMar>
        </w:tblPrEx>
        <w:trPr>
          <w:cantSplit/>
          <w:trHeight w:val="300" w:hRule="atLeast"/>
          <w:jc w:val="center"/>
        </w:trPr>
        <w:tc>
          <w:tcPr>
            <w:tcW w:w="1995" w:type="dxa"/>
            <w:tcBorders>
              <w:top w:val="nil"/>
              <w:left w:val="single" w:color="auto" w:sz="8" w:space="0"/>
              <w:bottom w:val="single" w:color="auto" w:sz="8" w:space="0"/>
              <w:right w:val="single" w:color="auto" w:sz="8" w:space="0"/>
            </w:tcBorders>
            <w:vAlign w:val="center"/>
          </w:tcPr>
          <w:p>
            <w:pPr>
              <w:rPr>
                <w:rFonts w:ascii="宋体" w:hAnsi="宋体" w:eastAsia="宋体" w:cs="宋体"/>
                <w:sz w:val="18"/>
                <w:szCs w:val="18"/>
              </w:rPr>
            </w:pPr>
            <w:r>
              <w:rPr>
                <w:rFonts w:hint="eastAsia"/>
                <w:sz w:val="18"/>
                <w:szCs w:val="18"/>
              </w:rPr>
              <w:t>归属于上市公司股东的净利润（元）</w:t>
            </w:r>
          </w:p>
        </w:tc>
        <w:tc>
          <w:tcPr>
            <w:tcW w:w="1843"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13,494,498.49</w:t>
            </w:r>
          </w:p>
        </w:tc>
        <w:tc>
          <w:tcPr>
            <w:tcW w:w="1559"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51,972,113.03</w:t>
            </w:r>
          </w:p>
        </w:tc>
        <w:tc>
          <w:tcPr>
            <w:tcW w:w="2410"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-74.04%</w:t>
            </w:r>
          </w:p>
        </w:tc>
        <w:tc>
          <w:tcPr>
            <w:tcW w:w="1801" w:type="dxa"/>
            <w:tcBorders>
              <w:top w:val="nil"/>
              <w:left w:val="nil"/>
              <w:bottom w:val="single" w:color="auto" w:sz="8" w:space="0"/>
              <w:right w:val="single" w:color="auto" w:sz="8" w:space="0"/>
            </w:tcBorders>
            <w:noWrap/>
            <w:vAlign w:val="center"/>
          </w:tcPr>
          <w:p>
            <w:pPr>
              <w:rPr>
                <w:rFonts w:ascii="宋体" w:hAnsi="宋体" w:eastAsia="宋体" w:cs="宋体"/>
                <w:sz w:val="20"/>
                <w:szCs w:val="20"/>
              </w:rPr>
            </w:pPr>
            <w:r>
              <w:rPr>
                <w:rFonts w:hint="eastAsia"/>
                <w:sz w:val="20"/>
                <w:szCs w:val="20"/>
              </w:rPr>
              <w:t>主要系订单影响导致毛利减少</w:t>
            </w:r>
          </w:p>
        </w:tc>
      </w:tr>
      <w:tr>
        <w:tblPrEx>
          <w:tblCellMar>
            <w:top w:w="0" w:type="dxa"/>
            <w:left w:w="0" w:type="dxa"/>
            <w:bottom w:w="0" w:type="dxa"/>
            <w:right w:w="0" w:type="dxa"/>
          </w:tblCellMar>
        </w:tblPrEx>
        <w:trPr>
          <w:cantSplit/>
          <w:trHeight w:val="300" w:hRule="atLeast"/>
          <w:jc w:val="center"/>
        </w:trPr>
        <w:tc>
          <w:tcPr>
            <w:tcW w:w="1995" w:type="dxa"/>
            <w:tcBorders>
              <w:top w:val="nil"/>
              <w:left w:val="single" w:color="auto" w:sz="8" w:space="0"/>
              <w:bottom w:val="single" w:color="auto" w:sz="8" w:space="0"/>
              <w:right w:val="single" w:color="auto" w:sz="8" w:space="0"/>
            </w:tcBorders>
            <w:vAlign w:val="center"/>
          </w:tcPr>
          <w:p>
            <w:pPr>
              <w:rPr>
                <w:rFonts w:ascii="宋体" w:hAnsi="宋体" w:eastAsia="宋体" w:cs="宋体"/>
                <w:sz w:val="18"/>
                <w:szCs w:val="18"/>
              </w:rPr>
            </w:pPr>
            <w:r>
              <w:rPr>
                <w:rFonts w:hint="eastAsia"/>
                <w:sz w:val="18"/>
                <w:szCs w:val="18"/>
              </w:rPr>
              <w:t>归属于上市公司股东的扣除非经常性损益的净利润（元）</w:t>
            </w:r>
          </w:p>
        </w:tc>
        <w:tc>
          <w:tcPr>
            <w:tcW w:w="1843"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9,357,306.36</w:t>
            </w:r>
          </w:p>
        </w:tc>
        <w:tc>
          <w:tcPr>
            <w:tcW w:w="1559"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49,839,611.97</w:t>
            </w:r>
          </w:p>
        </w:tc>
        <w:tc>
          <w:tcPr>
            <w:tcW w:w="2410"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-81.23%</w:t>
            </w:r>
          </w:p>
        </w:tc>
        <w:tc>
          <w:tcPr>
            <w:tcW w:w="1801" w:type="dxa"/>
            <w:tcBorders>
              <w:top w:val="nil"/>
              <w:left w:val="nil"/>
              <w:bottom w:val="single" w:color="auto" w:sz="8" w:space="0"/>
              <w:right w:val="single" w:color="auto" w:sz="8" w:space="0"/>
            </w:tcBorders>
            <w:noWrap/>
            <w:vAlign w:val="center"/>
          </w:tcPr>
          <w:p>
            <w:pPr>
              <w:rPr>
                <w:rFonts w:ascii="宋体" w:hAnsi="宋体" w:eastAsia="宋体" w:cs="宋体"/>
                <w:sz w:val="20"/>
                <w:szCs w:val="20"/>
              </w:rPr>
            </w:pPr>
            <w:r>
              <w:rPr>
                <w:rFonts w:hint="eastAsia"/>
                <w:sz w:val="20"/>
                <w:szCs w:val="20"/>
              </w:rPr>
              <w:t>主要系订单影响导致毛利减少</w:t>
            </w:r>
          </w:p>
        </w:tc>
      </w:tr>
      <w:tr>
        <w:tblPrEx>
          <w:tblCellMar>
            <w:top w:w="0" w:type="dxa"/>
            <w:left w:w="0" w:type="dxa"/>
            <w:bottom w:w="0" w:type="dxa"/>
            <w:right w:w="0" w:type="dxa"/>
          </w:tblCellMar>
        </w:tblPrEx>
        <w:trPr>
          <w:cantSplit/>
          <w:trHeight w:val="300" w:hRule="atLeast"/>
          <w:jc w:val="center"/>
        </w:trPr>
        <w:tc>
          <w:tcPr>
            <w:tcW w:w="1995" w:type="dxa"/>
            <w:tcBorders>
              <w:top w:val="nil"/>
              <w:left w:val="single" w:color="auto" w:sz="8" w:space="0"/>
              <w:bottom w:val="single" w:color="auto" w:sz="8" w:space="0"/>
              <w:right w:val="single" w:color="auto" w:sz="8" w:space="0"/>
            </w:tcBorders>
            <w:vAlign w:val="center"/>
          </w:tcPr>
          <w:p>
            <w:pPr>
              <w:rPr>
                <w:rFonts w:ascii="宋体" w:hAnsi="宋体" w:eastAsia="宋体" w:cs="宋体"/>
                <w:sz w:val="18"/>
                <w:szCs w:val="18"/>
              </w:rPr>
            </w:pPr>
            <w:r>
              <w:rPr>
                <w:rFonts w:hint="eastAsia"/>
                <w:sz w:val="18"/>
                <w:szCs w:val="18"/>
              </w:rPr>
              <w:t>经营活动产生的现金流量净额（元）</w:t>
            </w:r>
          </w:p>
        </w:tc>
        <w:tc>
          <w:tcPr>
            <w:tcW w:w="1843"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77,586,657.20</w:t>
            </w:r>
          </w:p>
        </w:tc>
        <w:tc>
          <w:tcPr>
            <w:tcW w:w="1559"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429,659,649.05</w:t>
            </w:r>
          </w:p>
        </w:tc>
        <w:tc>
          <w:tcPr>
            <w:tcW w:w="2410" w:type="dxa"/>
            <w:tcBorders>
              <w:top w:val="nil"/>
              <w:left w:val="nil"/>
              <w:bottom w:val="single" w:color="auto" w:sz="8" w:space="0"/>
              <w:right w:val="single" w:color="auto" w:sz="8" w:space="0"/>
            </w:tcBorders>
            <w:vAlign w:val="center"/>
          </w:tcPr>
          <w:p>
            <w:pPr>
              <w:jc w:val="right"/>
              <w:rPr>
                <w:rFonts w:ascii="Times New Roman" w:hAnsi="Times New Roman" w:eastAsia="宋体" w:cs="Times New Roman"/>
                <w:sz w:val="18"/>
                <w:szCs w:val="18"/>
              </w:rPr>
            </w:pPr>
            <w:r>
              <w:rPr>
                <w:rFonts w:ascii="Times New Roman" w:hAnsi="Times New Roman" w:cs="Times New Roman"/>
                <w:sz w:val="18"/>
                <w:szCs w:val="18"/>
              </w:rPr>
              <w:t>-81.94%</w:t>
            </w:r>
          </w:p>
        </w:tc>
        <w:tc>
          <w:tcPr>
            <w:tcW w:w="1801" w:type="dxa"/>
            <w:tcBorders>
              <w:top w:val="nil"/>
              <w:left w:val="nil"/>
              <w:bottom w:val="single" w:color="auto" w:sz="8" w:space="0"/>
              <w:right w:val="single" w:color="auto" w:sz="8" w:space="0"/>
            </w:tcBorders>
            <w:noWrap/>
            <w:vAlign w:val="center"/>
          </w:tcPr>
          <w:p>
            <w:pPr>
              <w:rPr>
                <w:rFonts w:ascii="宋体" w:hAnsi="宋体" w:eastAsia="宋体" w:cs="宋体"/>
                <w:sz w:val="20"/>
                <w:szCs w:val="20"/>
              </w:rPr>
            </w:pPr>
            <w:r>
              <w:rPr>
                <w:rFonts w:hint="eastAsia"/>
                <w:sz w:val="20"/>
                <w:szCs w:val="20"/>
              </w:rPr>
              <w:t>主要系棉花采购增加</w:t>
            </w:r>
          </w:p>
        </w:tc>
      </w:tr>
    </w:tbl>
    <w:p>
      <w:pPr>
        <w:pStyle w:val="12"/>
        <w:spacing w:before="300" w:after="300" w:line="320" w:lineRule="exact"/>
        <w:rPr>
          <w:rFonts w:ascii="宋体" w:hAnsi="宋体" w:eastAsia="宋体" w:cs="宋体"/>
          <w:b/>
          <w:bCs/>
          <w:sz w:val="24"/>
          <w:szCs w:val="24"/>
        </w:rPr>
      </w:pPr>
      <w:bookmarkStart w:id="4" w:name="_Toc988893"/>
      <w:r>
        <w:rPr>
          <w:rFonts w:ascii="宋体" w:hAnsi="宋体" w:eastAsia="宋体" w:cs="宋体"/>
          <w:b/>
          <w:bCs/>
          <w:sz w:val="24"/>
          <w:szCs w:val="24"/>
        </w:rPr>
        <w:t xml:space="preserve">二、股东信息 </w:t>
      </w:r>
      <w:bookmarkEnd w:id="4"/>
    </w:p>
    <w:p>
      <w:pPr>
        <w:pStyle w:val="2"/>
        <w:spacing w:before="300" w:after="300" w:line="280" w:lineRule="exact"/>
        <w:rPr>
          <w:rFonts w:ascii="宋体" w:hAnsi="宋体" w:eastAsia="宋体" w:cs="宋体"/>
          <w:b/>
          <w:bCs/>
        </w:rPr>
      </w:pPr>
      <w:bookmarkStart w:id="5" w:name="_Toc988894"/>
      <w:r>
        <w:rPr>
          <w:rFonts w:ascii="宋体" w:hAnsi="宋体" w:eastAsia="宋体" w:cs="宋体"/>
          <w:b/>
          <w:bCs/>
        </w:rPr>
        <w:t>（一） 普通股股东总数和表决权恢复的优先股股东数量及前十名股东持股情况表</w:t>
      </w:r>
      <w:bookmarkEnd w:id="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38,260</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前10名股东持股情况（不含通过转融通出借股份）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华孚控股有限公司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501,655,862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安徽飞亚纺织有限公司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129,058,312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深圳市华人投资有限公司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81,973,588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广西沣盛供应链管理有限公司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45,283,102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45,166,402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金元顺安基金－兴业银行－上海爱建信托－爱建信托欣欣7号定向增发事务管理类单一资金信托</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28,136,006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金鹰基金－工商银行－万向信托－万向信托－星辰39号事务管理类单一资金信托</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24,145,662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23,626,212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杨三宝</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中航鑫港担保有限公司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10,594,150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王芳</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10,226,800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4131"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持有无限售条件股份数量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continue"/>
            <w:tcBorders>
              <w:top w:val="single" w:color="auto" w:sz="2" w:space="0"/>
              <w:left w:val="single" w:color="auto" w:sz="2" w:space="0"/>
              <w:bottom w:val="single" w:color="auto" w:sz="2" w:space="0"/>
              <w:right w:val="single" w:color="auto" w:sz="2" w:space="0"/>
            </w:tcBorders>
            <w:vAlign w:val="center"/>
          </w:tcPr>
          <w:p/>
        </w:tc>
        <w:tc>
          <w:tcPr>
            <w:tcW w:w="4131" w:type="dxa"/>
            <w:gridSpan w:val="3"/>
            <w:vMerge w:val="continue"/>
            <w:tcBorders>
              <w:top w:val="single" w:color="auto" w:sz="2" w:space="0"/>
              <w:left w:val="single" w:color="auto" w:sz="2" w:space="0"/>
              <w:bottom w:val="single" w:color="auto" w:sz="2" w:space="0"/>
              <w:right w:val="single" w:color="auto" w:sz="2" w:space="0"/>
            </w:tcBorders>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华孚控股有限公司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501,655,862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501,655,862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安徽飞亚纺织有限公司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129,058,312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129,058,312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深圳市华人投资有限公司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81,973,588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81,973,588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广西沣盛供应链管理有限公司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45,283,102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45,283,102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金元顺安基金－兴业银行－上海爱建信托－爱建信托欣欣7号定向增发事务管理类单一资金信托</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28,136,006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28,136,006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金鹰基金－工商银行－万向信托－万向信托－星辰39号事务管理类单一资金信托</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24,145,662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24,145,662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23,626,212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23,626,212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杨三宝</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中航鑫港担保有限公司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10,594,150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10,594,150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王芳</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10,226,800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10,226,800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无限售流通股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前10名股东参与融资融券业务情况说明（如有）</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r>
              <w:rPr>
                <w:rFonts w:ascii="Times New Roman" w:hAnsi="Times New Roman" w:eastAsia="宋体" w:cs="Times New Roman"/>
                <w:color w:val="F00000"/>
                <w:vertAlign w:val="superscript"/>
              </w:rPr>
              <w:t>1</w:t>
            </w:r>
          </w:p>
        </w:tc>
      </w:tr>
    </w:tbl>
    <w:p>
      <w:pPr>
        <w:rPr>
          <w:rFonts w:ascii="宋体" w:hAnsi="宋体" w:eastAsia="宋体" w:cs="宋体"/>
          <w:sz w:val="18"/>
          <w:szCs w:val="18"/>
        </w:rPr>
      </w:pPr>
      <w:r>
        <w:rPr>
          <w:rFonts w:ascii="仿宋" w:hAnsi="仿宋" w:eastAsia="仿宋" w:cs="仿宋"/>
        </w:rPr>
        <w:t>注：1 华孚时尚股份有限公司回购专用证券账户本期位于前十大股东，持有股份95,324,485股，占公司总股本5.61%</w:t>
      </w:r>
    </w:p>
    <w:p>
      <w:pPr>
        <w:spacing w:before="100" w:after="100" w:line="240" w:lineRule="exact"/>
        <w:rPr>
          <w:rFonts w:ascii="宋体" w:hAnsi="宋体" w:eastAsia="宋体" w:cs="宋体"/>
          <w:sz w:val="18"/>
          <w:szCs w:val="18"/>
        </w:rPr>
      </w:pPr>
      <w:r>
        <w:rPr>
          <w:rFonts w:ascii="宋体" w:hAnsi="宋体" w:eastAsia="宋体" w:cs="宋体"/>
          <w:sz w:val="18"/>
          <w:szCs w:val="18"/>
        </w:rPr>
        <w:t>持股5%以上股东、前10名股东及前10名无限售流通股股东参与转融通业务出借股份情况</w:t>
      </w:r>
    </w:p>
    <w:p>
      <w:pPr>
        <w:spacing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rPr>
          <w:rFonts w:ascii="宋体" w:hAnsi="宋体" w:eastAsia="宋体" w:cs="宋体"/>
          <w:sz w:val="18"/>
          <w:szCs w:val="18"/>
        </w:rPr>
      </w:pPr>
      <w:r>
        <w:rPr>
          <w:rFonts w:ascii="宋体" w:hAnsi="宋体" w:eastAsia="宋体" w:cs="宋体"/>
          <w:sz w:val="18"/>
          <w:szCs w:val="18"/>
        </w:rPr>
        <w:t>前10名股东及前10名无限售流通股股东因转融通出借/归还原因导致较上期发生变化</w:t>
      </w:r>
    </w:p>
    <w:p>
      <w:pPr>
        <w:spacing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pStyle w:val="2"/>
        <w:spacing w:before="300" w:after="300" w:line="280" w:lineRule="exact"/>
        <w:rPr>
          <w:rFonts w:ascii="宋体" w:hAnsi="宋体" w:eastAsia="宋体" w:cs="宋体"/>
          <w:b/>
          <w:bCs/>
        </w:rPr>
      </w:pPr>
      <w:bookmarkStart w:id="6" w:name="_Toc988895"/>
      <w:r>
        <w:rPr>
          <w:rFonts w:ascii="宋体" w:hAnsi="宋体" w:eastAsia="宋体" w:cs="宋体"/>
          <w:b/>
          <w:bCs/>
        </w:rPr>
        <w:t>（二） 公司优先股股东总数及前10名优先股股东持股情况表</w:t>
      </w:r>
      <w:bookmarkEnd w:id="6"/>
    </w:p>
    <w:p>
      <w:pPr>
        <w:spacing w:before="40" w:after="4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pStyle w:val="12"/>
        <w:spacing w:before="300" w:after="300" w:line="320" w:lineRule="exact"/>
        <w:rPr>
          <w:rFonts w:ascii="宋体" w:hAnsi="宋体" w:eastAsia="宋体" w:cs="宋体"/>
          <w:b/>
          <w:bCs/>
          <w:sz w:val="24"/>
          <w:szCs w:val="24"/>
        </w:rPr>
      </w:pPr>
      <w:bookmarkStart w:id="7" w:name="_Toc988896"/>
      <w:r>
        <w:rPr>
          <w:rFonts w:ascii="宋体" w:hAnsi="宋体" w:eastAsia="宋体" w:cs="宋体"/>
          <w:b/>
          <w:bCs/>
          <w:sz w:val="24"/>
          <w:szCs w:val="24"/>
        </w:rPr>
        <w:t>三、其他重要事项</w:t>
      </w:r>
      <w:bookmarkEnd w:id="7"/>
    </w:p>
    <w:p>
      <w:pPr>
        <w:spacing w:line="240" w:lineRule="exac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Calibri" w:hAnsi="Calibri" w:cs="Calibri"/>
          <w:sz w:val="18"/>
          <w:szCs w:val="18"/>
        </w:rPr>
      </w:pPr>
      <w:bookmarkStart w:id="8" w:name="_Toc988897"/>
      <w:r>
        <w:rPr>
          <w:rFonts w:hint="eastAsia" w:ascii="宋体" w:hAnsi="宋体" w:eastAsia="宋体" w:cs="宋体"/>
          <w:i w:val="0"/>
          <w:iCs w:val="0"/>
          <w:caps w:val="0"/>
          <w:color w:val="000000"/>
          <w:spacing w:val="0"/>
          <w:sz w:val="18"/>
          <w:szCs w:val="18"/>
        </w:rPr>
        <w:t>（一）2024年回购事项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1、公司于2024年1月31日召开第八届董事会2024年第二次临时会议，审议通过了《关于2024年回购公司股份方案的议案》，公司拟使用自有资金以集中竞价交易方式回购已发行的人民币普通股（A股）股份，回购股份用于维护公司价值及股东权益，后续将按相关规定予以出售。回购总金额为不低于人民币10,000万元,不超过人民币20,000万元，回购价格不超过5.5元/股，回购股份的实施期限为自董事会审议通过本次回购股份方案之日起不超过三个月。详见公司于2024年2月1日刊登在《中国证券报》、《证券时报》及巨潮资讯网（www.cninfo.com.cn）上的《关于2024年回购公司股份方案的公告》（2024-09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2、2024年2月1日，公司通过股份回购专用证券账户以集中竞价方式实施了首次回购，回购股份数量2,706,100股，占公司目前总股本的0.16%。最高成交价格3.11元/股，最低成交价格2.99元/股，成交总金额为828.63万元（不含手续费）。具体详见2024年2月2日公司于《中国证券报》、《证券时报》及巨潮资讯网（www.cninfo.com.cn）披露的《关于2024年回购公司股份方案首次回购暨回购进展的公告》（2024-11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3、公司自2024年2月1日首次回购之日起至2024年2月2日，通过股份回购专用证券账户以集中竞价方式回购股份数量19,445,300股，占公司目前总股本的1.14%。最高成交价格3.11元/股，最低成交价格2.80元/股，成交总金额为57,789,928.00元（不含手续费）。具体详见2024年2月6日公司于《中国证券报》、《证券时报》及巨潮资讯网（www.cninfo.com.cn）披露的《关于2024年回购公司股份比例达到1%暨回购股份进展公告》（2024-12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4、公司自2024年2月1日首次回购之日起至2024年2月7日，通过股份回购专用证券账户以集中竞价方式回购股份数量33,999,171股，占公司目前总股本的2.00%。最高成交价格3.11元/股，最低成交价格2.51元/股，成交总金额为98,343,553.86元（不含手续费）。具体详见2024年2月8日公司于《中国证券报》、《证券时报》及巨潮资讯网（www.cninfo.com.cn）披露的《关于2024年回购公司股份比例达到2%暨回购股份进展公告》（2024-13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5、公司自2024年2月1日首次回购之日起至2024年2月29日，通过股份回购专用证券账户以集中竞价方式回购股份数量34,249,171股，占公司目前总股本的2.01%。最高成交价格3.90元/股，最低成交价格2.51元/股，成交总金额为99,318,553.86元（不含手续费）。具体详见2024年3月5日公司于《中国证券报》、《证券时报》及巨潮资讯网（www.cninfo.com.cn）披露的《关于2024年回购公司股份进展的公告》（2024-15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18"/>
          <w:szCs w:val="18"/>
        </w:rPr>
      </w:pPr>
      <w:r>
        <w:rPr>
          <w:rFonts w:hint="eastAsia" w:ascii="宋体" w:hAnsi="宋体" w:eastAsia="宋体" w:cs="宋体"/>
          <w:i w:val="0"/>
          <w:iCs w:val="0"/>
          <w:caps w:val="0"/>
          <w:color w:val="000000"/>
          <w:spacing w:val="0"/>
          <w:sz w:val="18"/>
          <w:szCs w:val="18"/>
        </w:rPr>
        <w:t>6、公司自2024年2月1日首次回购之日起至2024年3月31日，通过股份回购专用证券账户以集中竞价方式回购股份数量34,249,171股，占公司目前总股本的2.01%。最高成交价格3.90元/股，最低成交价格2.51元/股，成交总金额为99,318,553.86元（不含手续费）。具体详见2024年4月2日公司于《中国证券报》、《证券时报》及巨潮资讯网（www.cninfo.com.cn）披露的《关于2024年回购公司股份进展的公告》（2024-16）。</w:t>
      </w:r>
    </w:p>
    <w:p>
      <w:pPr>
        <w:pStyle w:val="12"/>
        <w:spacing w:before="300" w:after="300" w:line="320" w:lineRule="exact"/>
        <w:rPr>
          <w:rFonts w:ascii="宋体" w:hAnsi="宋体" w:eastAsia="宋体" w:cs="宋体"/>
          <w:b/>
          <w:bCs/>
          <w:sz w:val="24"/>
          <w:szCs w:val="24"/>
        </w:rPr>
      </w:pPr>
      <w:r>
        <w:rPr>
          <w:rFonts w:ascii="宋体" w:hAnsi="宋体" w:eastAsia="宋体" w:cs="宋体"/>
          <w:b/>
          <w:bCs/>
          <w:sz w:val="24"/>
          <w:szCs w:val="24"/>
        </w:rPr>
        <w:t>四、季度财务报表</w:t>
      </w:r>
      <w:bookmarkEnd w:id="8"/>
    </w:p>
    <w:p>
      <w:pPr>
        <w:pStyle w:val="2"/>
        <w:spacing w:before="300" w:after="300" w:line="280" w:lineRule="exact"/>
        <w:rPr>
          <w:rFonts w:ascii="宋体" w:hAnsi="宋体" w:eastAsia="宋体" w:cs="宋体"/>
          <w:b/>
          <w:bCs/>
        </w:rPr>
      </w:pPr>
      <w:bookmarkStart w:id="9" w:name="_Toc988898"/>
      <w:r>
        <w:rPr>
          <w:rFonts w:ascii="宋体" w:hAnsi="宋体" w:eastAsia="宋体" w:cs="宋体"/>
          <w:b/>
          <w:bCs/>
        </w:rPr>
        <w:t>（一） 财务报表</w:t>
      </w:r>
      <w:bookmarkEnd w:id="9"/>
    </w:p>
    <w:p>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pPr>
        <w:spacing w:line="240" w:lineRule="exact"/>
        <w:rPr>
          <w:rFonts w:ascii="宋体" w:hAnsi="宋体" w:eastAsia="宋体" w:cs="宋体"/>
          <w:sz w:val="18"/>
          <w:szCs w:val="18"/>
        </w:rPr>
      </w:pPr>
      <w:r>
        <w:rPr>
          <w:rFonts w:ascii="宋体" w:hAnsi="宋体" w:eastAsia="宋体" w:cs="宋体"/>
          <w:sz w:val="18"/>
          <w:szCs w:val="18"/>
        </w:rPr>
        <w:t>编制单位：华孚时尚股份有限公司</w:t>
      </w:r>
    </w:p>
    <w:p>
      <w:pPr>
        <w:spacing w:line="240" w:lineRule="exact"/>
        <w:jc w:val="center"/>
        <w:rPr>
          <w:rFonts w:ascii="宋体" w:hAnsi="宋体" w:eastAsia="宋体" w:cs="宋体"/>
          <w:sz w:val="18"/>
          <w:szCs w:val="18"/>
        </w:rPr>
      </w:pPr>
      <w:r>
        <w:rPr>
          <w:rFonts w:ascii="宋体" w:hAnsi="宋体" w:eastAsia="宋体" w:cs="宋体"/>
          <w:sz w:val="18"/>
          <w:szCs w:val="18"/>
        </w:rPr>
        <w:t>2024年04月27日</w:t>
      </w:r>
    </w:p>
    <w:p>
      <w:pPr>
        <w:spacing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2,650,410,905.37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2,636,623,050.27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154,812,604.99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231,633,768.94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35,603,286.36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57,901,832.23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1,225,597,584.99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1,004,058,465.64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871,326,457.73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613,362,244.00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337,752,790.97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231,214,898.67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5,034,780,491.37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5,007,466,587.13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2,971,087.09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2,931,142.48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144,607,991.88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125,091,080.55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10,457,863,200.75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9,910,283,069.91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326,671,950.43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326,084,172.45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77,505,514.93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77,716,692.81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127,026,378.59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132,702,829.02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4,556,318,199.67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4,675,835,696.14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487,508,248.01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475,059,478.07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24,988,185.69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27,243,799.27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843,441,874.92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848,651,533.13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151,761,841.47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151,761,841.47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15,507,603.30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18,209,091.31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169,822,635.37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184,114,307.76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438,535,566.51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213,610,511.50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7,219,087,998.89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7,130,989,952.93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17,676,951,199.64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17,041,273,022.84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7,462,673,851.79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7,083,948,407.58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188,228,274.25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32,923,985.70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959,420,876.47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924,554,728.71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10,542,150.48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7,293,483.28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737,665,220.04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715,430,170.40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72,676,973.05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69,900,895.46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56,316,970.56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82,862,010.47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217,628,958.35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158,535,963.00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417,116,743.96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415,830,327.16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82,773,234.40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65,480,068.80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10,205,043,253.35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9,556,760,040.56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821,824,920.60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726,461,232.31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18,279,705.61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15,991,096.53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244,367,138.45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244,367,138.45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7,610.61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7,610.61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35,734,201.06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35,626,316.46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13,508,944.43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13,544,492.46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1,133,722,520.76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1,035,997,886.82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11,338,765,774.11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10,592,757,927.38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1,700,681,355.00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1,700,681,355.00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2,738,348,953.80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2,738,348,953.80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299,401,680.53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200,071,093.36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-123,545,231.19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-96,153,506.00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339,467,737.72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339,467,737.72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1,687,786,591.23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1,674,292,092.74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6,043,337,726.03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6,156,565,539.90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294,847,699.50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291,949,555.56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6,338,185,425.53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6,448,515,095.46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17,676,951,199.64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17,041,273,022.84</w:t>
            </w:r>
          </w:p>
        </w:tc>
      </w:tr>
    </w:tbl>
    <w:p>
      <w:pPr>
        <w:spacing w:line="240" w:lineRule="exact"/>
        <w:rPr>
          <w:rFonts w:ascii="宋体" w:hAnsi="宋体" w:eastAsia="宋体" w:cs="宋体"/>
          <w:sz w:val="18"/>
          <w:szCs w:val="18"/>
        </w:rPr>
      </w:pPr>
      <w:r>
        <w:rPr>
          <w:rFonts w:ascii="宋体" w:hAnsi="宋体" w:eastAsia="宋体" w:cs="宋体"/>
          <w:sz w:val="18"/>
          <w:szCs w:val="18"/>
        </w:rPr>
        <w:t xml:space="preserve">法定代表人：孙伟挺  </w:t>
      </w:r>
      <w:r>
        <w:rPr>
          <w:rFonts w:hint="eastAsia" w:ascii="宋体" w:hAnsi="宋体" w:eastAsia="宋体" w:cs="宋体"/>
          <w:sz w:val="18"/>
          <w:szCs w:val="18"/>
        </w:rPr>
        <w:t xml:space="preserve">                  </w:t>
      </w:r>
      <w:r>
        <w:rPr>
          <w:rFonts w:ascii="宋体" w:hAnsi="宋体" w:eastAsia="宋体" w:cs="宋体"/>
          <w:sz w:val="18"/>
          <w:szCs w:val="18"/>
        </w:rPr>
        <w:t xml:space="preserve">  主管会计工作负责人：陈玲芬 </w:t>
      </w:r>
      <w:r>
        <w:rPr>
          <w:rFonts w:hint="eastAsia" w:ascii="宋体" w:hAnsi="宋体" w:eastAsia="宋体" w:cs="宋体"/>
          <w:sz w:val="18"/>
          <w:szCs w:val="18"/>
        </w:rPr>
        <w:t xml:space="preserve">           </w:t>
      </w:r>
      <w:r>
        <w:rPr>
          <w:rFonts w:ascii="宋体" w:hAnsi="宋体" w:eastAsia="宋体" w:cs="宋体"/>
          <w:sz w:val="18"/>
          <w:szCs w:val="18"/>
        </w:rPr>
        <w:t xml:space="preserve">     会计机构负责人：王国友</w:t>
      </w:r>
    </w:p>
    <w:p>
      <w:pPr>
        <w:pStyle w:val="3"/>
        <w:spacing w:line="280" w:lineRule="exact"/>
        <w:jc w:val="left"/>
        <w:rPr>
          <w:rFonts w:ascii="宋体" w:hAnsi="宋体" w:cs="宋体"/>
          <w:b/>
          <w:bCs/>
        </w:rPr>
      </w:pPr>
      <w:bookmarkStart w:id="11" w:name="_Toc988900"/>
      <w:r>
        <w:rPr>
          <w:rFonts w:ascii="宋体" w:hAnsi="宋体" w:cs="宋体"/>
          <w:b/>
          <w:bCs/>
        </w:rPr>
        <w:t>2、合并利润表</w:t>
      </w:r>
      <w:bookmarkEnd w:id="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3,924,089,988.79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4,532,846,687.35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3,924,089,988.79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4,532,846,687.35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720" w:firstLineChars="400"/>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720" w:firstLineChars="400"/>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720" w:firstLineChars="400"/>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3,906,107,281.26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4,511,887,570.13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3,717,062,027.24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4,274,561,989.50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720" w:firstLineChars="400"/>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18,435,386.16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19,487,100.88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23,452,880.40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25,249,962.18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69,235,879.73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82,378,137.89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29,106,451.66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37,878,963.85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48,814,656.07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72,331,415.83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49,692,691.22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57,987,609.46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-7,076,143.87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-3,571,832.18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7,763,772.54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9,047,475.83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-10,428,483.12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-40,005,733.40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9,551,870.39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30,809,038.72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2,514,947.82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7,069,883.05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-3,154,525.50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17,967,261.13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689,551.70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1,948,465.44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24,919,841.36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47,795,507.99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883,704.59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677,472.42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1,776,946.28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2,034,001.53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24,026,599.67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46,438,978.88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7,578,085.57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-7,353,721.84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16,448,514.10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53,792,700.72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16,448,514.10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53,792,700.72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1.归属于母公司所有者的净利润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13,494,498.49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51,972,113.03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2,954,015.61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1,820,587.69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-27,391,725.19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-56,107,959.09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-27,391,725.19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-56,107,959.09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-179,501.20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-770,123.28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-179,501.20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-770,123.28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-27,212,223.99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-55,337,835.81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-27,212,223.99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-55,337,835.81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-10,943,211.09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-2,315,258.37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-13,897,226.70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-4,135,846.06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2,954,015.61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1,820,587.69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0.03</w:t>
            </w:r>
          </w:p>
        </w:tc>
      </w:tr>
    </w:tbl>
    <w:p>
      <w:pPr>
        <w:spacing w:line="240" w:lineRule="exac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本期发生同一控制下企业合并的，被合并方在合并前实现的净利润为：0.00元，上期被合并方实现的净利润为：0.00元。</w:t>
      </w:r>
    </w:p>
    <w:p>
      <w:pPr>
        <w:spacing w:line="240" w:lineRule="exact"/>
        <w:rPr>
          <w:rFonts w:ascii="宋体" w:hAnsi="宋体" w:eastAsia="宋体" w:cs="宋体"/>
          <w:sz w:val="18"/>
          <w:szCs w:val="18"/>
        </w:rPr>
      </w:pPr>
      <w:r>
        <w:rPr>
          <w:rFonts w:ascii="宋体" w:hAnsi="宋体" w:eastAsia="宋体" w:cs="宋体"/>
          <w:sz w:val="18"/>
          <w:szCs w:val="18"/>
        </w:rPr>
        <w:t xml:space="preserve">法定代表人：孙伟挺    </w:t>
      </w:r>
      <w:r>
        <w:rPr>
          <w:rFonts w:hint="eastAsia" w:ascii="宋体" w:hAnsi="宋体" w:eastAsia="宋体" w:cs="宋体"/>
          <w:sz w:val="18"/>
          <w:szCs w:val="18"/>
        </w:rPr>
        <w:t xml:space="preserve">                 </w:t>
      </w:r>
      <w:r>
        <w:rPr>
          <w:rFonts w:ascii="宋体" w:hAnsi="宋体" w:eastAsia="宋体" w:cs="宋体"/>
          <w:sz w:val="18"/>
          <w:szCs w:val="18"/>
        </w:rPr>
        <w:t xml:space="preserve">主管会计工作负责人：陈玲芬    </w:t>
      </w:r>
      <w:r>
        <w:rPr>
          <w:rFonts w:hint="eastAsia" w:ascii="宋体" w:hAnsi="宋体" w:eastAsia="宋体" w:cs="宋体"/>
          <w:sz w:val="18"/>
          <w:szCs w:val="18"/>
        </w:rPr>
        <w:t xml:space="preserve">              </w:t>
      </w:r>
      <w:r>
        <w:rPr>
          <w:rFonts w:ascii="宋体" w:hAnsi="宋体" w:eastAsia="宋体" w:cs="宋体"/>
          <w:sz w:val="18"/>
          <w:szCs w:val="18"/>
        </w:rPr>
        <w:t>会计机构负责人：王国友</w:t>
      </w:r>
    </w:p>
    <w:p>
      <w:pPr>
        <w:pStyle w:val="3"/>
        <w:spacing w:line="280" w:lineRule="exact"/>
        <w:jc w:val="left"/>
        <w:rPr>
          <w:rFonts w:ascii="宋体" w:hAnsi="宋体" w:cs="宋体"/>
          <w:b/>
          <w:bCs/>
        </w:rPr>
      </w:pPr>
      <w:bookmarkStart w:id="12" w:name="_Toc988901"/>
      <w:r>
        <w:rPr>
          <w:rFonts w:ascii="宋体" w:hAnsi="宋体" w:cs="宋体"/>
          <w:b/>
          <w:bCs/>
        </w:rPr>
        <w:t>3、合并现金流量表</w:t>
      </w:r>
      <w:bookmarkEnd w:id="12"/>
    </w:p>
    <w:p>
      <w:pPr>
        <w:spacing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4,260,336,047.13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5,146,197,264.14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1,268,999.58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17,670,025.46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291,817,749.37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232,176,309.02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4,553,422,796.08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5,396,043,598.62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4,070,794,713.32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4,592,585,651.35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191,001,574.60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192,206,647.84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92,386,727.37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70,269,553.49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121,653,123.59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111,322,096.89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4,475,836,138.88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4,966,383,949.57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77,586,657.20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429,659,649.05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294,425.00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809,500.00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10,053,154.16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6,227,553.71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21,607,129.12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188,839,148.25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586,352,231.23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199,186,727.41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614,996,414.06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312,308,156.38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75,479,818.94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130,131,385.19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424,073,409.85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442,939,541.57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499,553,228.79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-243,752,814.16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115,443,185.27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1,963,175,373.28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2,813,050,206.75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82,584,035.30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273,410,405.62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2,045,759,408.58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3,086,460,612.37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1,611,377,408.60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3,031,021,524.08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55,591,105.17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120,677,743.37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675,745,537.14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453,386,008.28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2,342,714,050.91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3,605,085,275.73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-296,954,642.33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-518,624,663.36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10,602,807.07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-2,466,821.13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-452,517,992.22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24,011,349.83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2,183,880,557.50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1,841,818,553.58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1,731,362,565.28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eastAsia="宋体" w:cs="宋体"/>
                <w:sz w:val="18"/>
                <w:szCs w:val="18"/>
              </w:rPr>
            </w:pPr>
            <w:r>
              <w:rPr>
                <w:rFonts w:ascii="宋体" w:hAnsi="宋体" w:eastAsia="宋体" w:cs="宋体"/>
                <w:sz w:val="18"/>
                <w:szCs w:val="18"/>
              </w:rPr>
              <w:t>1,865,829,903.41</w:t>
            </w:r>
          </w:p>
        </w:tc>
      </w:tr>
    </w:tbl>
    <w:p>
      <w:pPr>
        <w:pStyle w:val="2"/>
        <w:spacing w:before="300" w:after="300" w:line="280" w:lineRule="exact"/>
        <w:rPr>
          <w:rFonts w:ascii="宋体" w:hAnsi="宋体" w:eastAsia="宋体" w:cs="宋体"/>
          <w:b/>
          <w:bCs/>
          <w:sz w:val="25"/>
          <w:szCs w:val="25"/>
        </w:rPr>
      </w:pPr>
      <w:bookmarkStart w:id="13" w:name="_Toc988902"/>
      <w:r>
        <w:rPr>
          <w:rFonts w:ascii="宋体" w:hAnsi="宋体" w:eastAsia="宋体" w:cs="宋体"/>
          <w:b/>
          <w:bCs/>
          <w:sz w:val="25"/>
          <w:szCs w:val="25"/>
        </w:rPr>
        <w:t>（二） 2024年起首次执行新会计准则调整首次执行当年年初财务报表相关项目情况</w:t>
      </w:r>
      <w:bookmarkEnd w:id="13"/>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pStyle w:val="2"/>
        <w:spacing w:before="300" w:after="300" w:line="280" w:lineRule="exact"/>
        <w:rPr>
          <w:rFonts w:ascii="宋体" w:hAnsi="宋体" w:eastAsia="宋体" w:cs="宋体"/>
          <w:b/>
          <w:bCs/>
          <w:sz w:val="25"/>
          <w:szCs w:val="25"/>
        </w:rPr>
      </w:pPr>
      <w:bookmarkStart w:id="14" w:name="_Toc988903"/>
      <w:r>
        <w:rPr>
          <w:rFonts w:ascii="宋体" w:hAnsi="宋体" w:eastAsia="宋体" w:cs="宋体"/>
          <w:b/>
          <w:bCs/>
          <w:sz w:val="25"/>
          <w:szCs w:val="25"/>
        </w:rPr>
        <w:t>（三） 审计报告</w:t>
      </w:r>
      <w:bookmarkEnd w:id="14"/>
    </w:p>
    <w:p>
      <w:pPr>
        <w:spacing w:before="40" w:after="40" w:line="240" w:lineRule="exact"/>
        <w:rPr>
          <w:rFonts w:ascii="宋体" w:hAnsi="宋体" w:eastAsia="宋体" w:cs="宋体"/>
          <w:sz w:val="18"/>
          <w:szCs w:val="18"/>
        </w:rPr>
      </w:pPr>
      <w:r>
        <w:rPr>
          <w:rFonts w:ascii="宋体" w:hAnsi="宋体" w:eastAsia="宋体" w:cs="宋体"/>
          <w:sz w:val="18"/>
          <w:szCs w:val="18"/>
        </w:rPr>
        <w:t>第一季度报告是否经过审计</w:t>
      </w:r>
    </w:p>
    <w:p>
      <w:pPr>
        <w:spacing w:before="40" w:after="40" w:line="240" w:lineRule="exac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rPr>
          <w:rFonts w:ascii="宋体" w:hAnsi="宋体" w:eastAsia="宋体" w:cs="宋体"/>
          <w:sz w:val="18"/>
          <w:szCs w:val="18"/>
        </w:rPr>
      </w:pPr>
      <w:r>
        <w:rPr>
          <w:rFonts w:ascii="宋体" w:hAnsi="宋体" w:eastAsia="宋体" w:cs="宋体"/>
          <w:sz w:val="18"/>
          <w:szCs w:val="18"/>
        </w:rPr>
        <w:t>公司第一季度报告未经审计。</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华孚时尚股份有限公司董事会</w:t>
      </w:r>
    </w:p>
    <w:p>
      <w:pPr>
        <w:spacing w:line="240" w:lineRule="exact"/>
        <w:jc w:val="right"/>
        <w:rPr>
          <w:rFonts w:ascii="宋体" w:hAnsi="宋体" w:eastAsia="宋体" w:cs="宋体"/>
          <w:sz w:val="18"/>
          <w:szCs w:val="18"/>
        </w:rPr>
      </w:pPr>
      <w:r>
        <w:rPr>
          <w:rFonts w:ascii="宋体" w:hAnsi="宋体" w:eastAsia="宋体" w:cs="宋体"/>
          <w:sz w:val="18"/>
          <w:szCs w:val="18"/>
        </w:rPr>
        <w:t>2024年04月27日</w:t>
      </w: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instrText xml:space="preserve">PAGE   \* MERGEFORMAT</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1"/>
      </w:pBdr>
    </w:pPr>
    <w:r>
      <w:t>华孚时尚股份有限公司2024年第一季度报告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
  <w:docVars>
    <w:docVar w:name="commondata" w:val="eyJoZGlkIjoiNzVlODY1MzA0YjNiZDMyMmRlYTlhMDJhYzZhZDQ5ODgifQ=="/>
  </w:docVars>
  <w:rsids>
    <w:rsidRoot w:val="003C474C"/>
    <w:rsid w:val="003C474C"/>
    <w:rsid w:val="003C66A8"/>
    <w:rsid w:val="004939AE"/>
    <w:rsid w:val="004954F3"/>
    <w:rsid w:val="005514D1"/>
    <w:rsid w:val="006D08C2"/>
    <w:rsid w:val="00D64527"/>
    <w:rsid w:val="1B40434B"/>
    <w:rsid w:val="408C390F"/>
    <w:rsid w:val="4BA12BC2"/>
    <w:rsid w:val="623E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56" w:after="156"/>
      <w:outlineLvl w:val="1"/>
    </w:pPr>
    <w:rPr>
      <w:szCs w:val="21"/>
    </w:rPr>
  </w:style>
  <w:style w:type="paragraph" w:styleId="3">
    <w:name w:val="heading 3"/>
    <w:basedOn w:val="1"/>
    <w:next w:val="1"/>
    <w:autoRedefine/>
    <w:qFormat/>
    <w:uiPriority w:val="99"/>
    <w:pPr>
      <w:keepNext/>
      <w:keepLines/>
      <w:spacing w:before="300" w:after="300" w:line="241" w:lineRule="auto"/>
      <w:jc w:val="both"/>
      <w:outlineLvl w:val="2"/>
    </w:pPr>
    <w:rPr>
      <w:rFonts w:eastAsia="宋体"/>
      <w:szCs w:val="21"/>
    </w:rPr>
  </w:style>
  <w:style w:type="character" w:default="1" w:styleId="10">
    <w:name w:val="Default Paragraph Font"/>
    <w:autoRedefine/>
    <w:semiHidden/>
    <w:unhideWhenUsed/>
    <w:qFormat/>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4">
    <w:name w:val="footer"/>
    <w:basedOn w:val="1"/>
    <w:link w:val="16"/>
    <w:autoRedefine/>
    <w:unhideWhenUsed/>
    <w:qFormat/>
    <w:uiPriority w:val="99"/>
    <w:pPr>
      <w:tabs>
        <w:tab w:val="center" w:pos="4153"/>
        <w:tab w:val="right" w:pos="8306"/>
      </w:tabs>
      <w:snapToGrid w:val="0"/>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39"/>
  </w:style>
  <w:style w:type="paragraph" w:styleId="7">
    <w:name w:val="toc 2"/>
    <w:basedOn w:val="1"/>
    <w:next w:val="1"/>
    <w:autoRedefine/>
    <w:unhideWhenUsed/>
    <w:qFormat/>
    <w:uiPriority w:val="39"/>
    <w:pPr>
      <w:ind w:left="420" w:leftChars="200"/>
    </w:pPr>
  </w:style>
  <w:style w:type="paragraph" w:styleId="8">
    <w:name w:val="Normal (Web)"/>
    <w:basedOn w:val="1"/>
    <w:autoRedefine/>
    <w:semiHidden/>
    <w:unhideWhenUsed/>
    <w:qFormat/>
    <w:uiPriority w:val="99"/>
    <w:pPr>
      <w:widowControl/>
      <w:spacing w:before="100" w:beforeAutospacing="1" w:after="100" w:afterAutospacing="1"/>
    </w:pPr>
    <w:rPr>
      <w:rFonts w:ascii="宋体" w:hAnsi="宋体" w:eastAsia="宋体" w:cs="宋体"/>
      <w:kern w:val="0"/>
      <w:sz w:val="24"/>
      <w:szCs w:val="24"/>
    </w:rPr>
  </w:style>
  <w:style w:type="paragraph" w:customStyle="1" w:styleId="11">
    <w:name w:val="Header 1"/>
    <w:autoRedefine/>
    <w:qFormat/>
    <w:uiPriority w:val="0"/>
    <w:pPr>
      <w:jc w:val="right"/>
    </w:pPr>
    <w:rPr>
      <w:rFonts w:ascii="宋体" w:eastAsia="宋体" w:hAnsiTheme="minorHAnsi" w:cstheme="minorBidi"/>
      <w:kern w:val="2"/>
      <w:sz w:val="18"/>
      <w:szCs w:val="18"/>
      <w:lang w:val="en-US" w:eastAsia="zh-CN" w:bidi="ar-SA"/>
    </w:rPr>
  </w:style>
  <w:style w:type="paragraph" w:customStyle="1" w:styleId="12">
    <w:name w:val="heading h1"/>
    <w:basedOn w:val="1"/>
    <w:next w:val="1"/>
    <w:autoRedefine/>
    <w:qFormat/>
    <w:uiPriority w:val="9"/>
    <w:pPr>
      <w:keepNext/>
      <w:keepLines/>
      <w:spacing w:before="240" w:after="240" w:line="578" w:lineRule="auto"/>
      <w:outlineLvl w:val="0"/>
    </w:pPr>
    <w:rPr>
      <w:kern w:val="44"/>
      <w:sz w:val="44"/>
      <w:szCs w:val="44"/>
    </w:rPr>
  </w:style>
  <w:style w:type="paragraph" w:customStyle="1" w:styleId="13">
    <w:name w:val="fotter 1"/>
    <w:autoRedefine/>
    <w:qFormat/>
    <w:uiPriority w:val="0"/>
    <w:pPr>
      <w:jc w:val="right"/>
    </w:pPr>
    <w:rPr>
      <w:rFonts w:ascii="宋体" w:eastAsia="宋体" w:hAnsiTheme="minorHAnsi" w:cstheme="minorBidi"/>
      <w:kern w:val="2"/>
      <w:sz w:val="18"/>
      <w:szCs w:val="18"/>
      <w:lang w:val="en-US" w:eastAsia="zh-CN" w:bidi="ar-SA"/>
    </w:rPr>
  </w:style>
  <w:style w:type="paragraph" w:customStyle="1" w:styleId="14">
    <w:name w:val="15"/>
    <w:basedOn w:val="1"/>
    <w:autoRedefine/>
    <w:uiPriority w:val="0"/>
    <w:pPr>
      <w:widowControl/>
      <w:spacing w:before="100" w:beforeAutospacing="1" w:after="100" w:afterAutospacing="1"/>
    </w:pPr>
    <w:rPr>
      <w:rFonts w:ascii="宋体" w:hAnsi="宋体" w:eastAsia="宋体" w:cs="宋体"/>
      <w:kern w:val="0"/>
      <w:sz w:val="24"/>
      <w:szCs w:val="24"/>
    </w:rPr>
  </w:style>
  <w:style w:type="character" w:customStyle="1" w:styleId="15">
    <w:name w:val="页眉 Char"/>
    <w:basedOn w:val="10"/>
    <w:link w:val="5"/>
    <w:autoRedefine/>
    <w:qFormat/>
    <w:uiPriority w:val="99"/>
    <w:rPr>
      <w:sz w:val="18"/>
      <w:szCs w:val="18"/>
    </w:rPr>
  </w:style>
  <w:style w:type="character" w:customStyle="1" w:styleId="16">
    <w:name w:val="页脚 Char"/>
    <w:basedOn w:val="10"/>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1658</Words>
  <Characters>9456</Characters>
  <Lines>78</Lines>
  <Paragraphs>22</Paragraphs>
  <TotalTime>9</TotalTime>
  <ScaleCrop>false</ScaleCrop>
  <LinksUpToDate>false</LinksUpToDate>
  <CharactersWithSpaces>11092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2024-04-26T06:10:00Z</dcterms:created>
  <dc:creator>孙献</dc:creator>
  <cp:lastModifiedBy>WSY</cp:lastModifiedBy>
  <dcterms:modified xsi:type="dcterms:W3CDTF">2024-04-26T09:26:53Z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958BD046A7C049AD82A8A43FC8CCA5E2_12</vt:lpwstr>
  </property>
</Properties>
</file>