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72" w:rsidRPr="00FC6687" w:rsidRDefault="00DA3772">
      <w:pPr>
        <w:spacing w:before="300"/>
        <w:rPr>
          <w:rFonts w:ascii="黑体" w:eastAsia="黑体" w:hAnsi="黑体"/>
          <w:sz w:val="21"/>
          <w:szCs w:val="21"/>
        </w:rPr>
      </w:pPr>
      <w:bookmarkStart w:id="0" w:name="_GoBack"/>
      <w:bookmarkEnd w:id="0"/>
      <w:r w:rsidRPr="00FC6687">
        <w:rPr>
          <w:rFonts w:ascii="黑体" w:eastAsia="黑体" w:hAnsi="黑体" w:hint="eastAsia"/>
          <w:sz w:val="21"/>
          <w:szCs w:val="21"/>
        </w:rPr>
        <w:t>证券代码：</w:t>
      </w:r>
      <w:r w:rsidRPr="00FC6687">
        <w:rPr>
          <w:rFonts w:ascii="黑体" w:eastAsia="黑体" w:hAnsi="黑体"/>
          <w:sz w:val="21"/>
          <w:szCs w:val="21"/>
        </w:rPr>
        <w:t xml:space="preserve">002042                  </w:t>
      </w:r>
      <w:r w:rsidRPr="00FC6687">
        <w:rPr>
          <w:rFonts w:ascii="黑体" w:eastAsia="黑体" w:hAnsi="黑体" w:hint="eastAsia"/>
          <w:sz w:val="21"/>
          <w:szCs w:val="21"/>
        </w:rPr>
        <w:t>证券简称：华孚时尚</w:t>
      </w:r>
      <w:r w:rsidRPr="00FC6687">
        <w:rPr>
          <w:rFonts w:ascii="黑体" w:eastAsia="黑体" w:hAnsi="黑体"/>
          <w:sz w:val="21"/>
          <w:szCs w:val="21"/>
        </w:rPr>
        <w:t xml:space="preserve">               </w:t>
      </w:r>
      <w:r w:rsidR="00FC6687" w:rsidRPr="00FC6687">
        <w:rPr>
          <w:rFonts w:ascii="黑体" w:eastAsia="黑体" w:hAnsi="黑体"/>
          <w:sz w:val="21"/>
          <w:szCs w:val="21"/>
        </w:rPr>
        <w:t xml:space="preserve">    </w:t>
      </w:r>
      <w:r w:rsidRPr="00FC6687">
        <w:rPr>
          <w:rFonts w:ascii="黑体" w:eastAsia="黑体" w:hAnsi="黑体" w:hint="eastAsia"/>
          <w:sz w:val="21"/>
          <w:szCs w:val="21"/>
        </w:rPr>
        <w:t>公告编号：</w:t>
      </w:r>
      <w:r w:rsidR="00FC6687" w:rsidRPr="00FC6687">
        <w:rPr>
          <w:rFonts w:ascii="黑体" w:eastAsia="黑体" w:hAnsi="黑体"/>
          <w:sz w:val="21"/>
          <w:szCs w:val="21"/>
        </w:rPr>
        <w:t>2022-29</w:t>
      </w:r>
    </w:p>
    <w:p w:rsidR="00FC6687" w:rsidRDefault="00DA3772">
      <w:pPr>
        <w:spacing w:before="700" w:after="700"/>
        <w:jc w:val="center"/>
        <w:rPr>
          <w:b/>
          <w:bCs/>
          <w:sz w:val="36"/>
          <w:szCs w:val="36"/>
        </w:rPr>
      </w:pPr>
      <w:r>
        <w:rPr>
          <w:rFonts w:hint="eastAsia"/>
          <w:b/>
          <w:bCs/>
          <w:sz w:val="36"/>
          <w:szCs w:val="36"/>
        </w:rPr>
        <w:t>华孚时尚股份有限公司</w:t>
      </w:r>
    </w:p>
    <w:p w:rsidR="00DA3772" w:rsidRDefault="00DA3772">
      <w:pPr>
        <w:spacing w:before="700" w:after="700"/>
        <w:jc w:val="center"/>
        <w:rPr>
          <w:b/>
          <w:bCs/>
          <w:sz w:val="36"/>
          <w:szCs w:val="36"/>
        </w:rPr>
      </w:pPr>
      <w:r>
        <w:rPr>
          <w:b/>
          <w:bCs/>
          <w:sz w:val="36"/>
          <w:szCs w:val="36"/>
        </w:rPr>
        <w:t>2021</w:t>
      </w:r>
      <w:r>
        <w:rPr>
          <w:rFonts w:hint="eastAsia"/>
          <w:b/>
          <w:bCs/>
          <w:sz w:val="36"/>
          <w:szCs w:val="36"/>
        </w:rPr>
        <w:t>年年度报告摘要</w:t>
      </w:r>
    </w:p>
    <w:p w:rsidR="00DA3772" w:rsidRDefault="00DA3772">
      <w:pPr>
        <w:pStyle w:val="Chapter"/>
        <w:outlineLvl w:val="1"/>
      </w:pPr>
      <w:r>
        <w:rPr>
          <w:rFonts w:hint="eastAsia"/>
        </w:rPr>
        <w:t>一、重要提示</w:t>
      </w:r>
    </w:p>
    <w:p w:rsidR="00DA3772" w:rsidRDefault="00DA3772">
      <w:pPr>
        <w:jc w:val="left"/>
      </w:pPr>
      <w:r>
        <w:rPr>
          <w:rFonts w:hint="eastAsia"/>
        </w:rPr>
        <w:t>本年度报告摘要来自年度报告全文，为全面了解本公司的经营成果、财务状况及未来发展规划，投资者应当到证监会指定媒体仔细阅读年度报告全文。</w:t>
      </w:r>
    </w:p>
    <w:p w:rsidR="00DA3772" w:rsidRDefault="00DA3772">
      <w:pPr>
        <w:jc w:val="left"/>
      </w:pPr>
      <w:r>
        <w:rPr>
          <w:rFonts w:hint="eastAsia"/>
        </w:rPr>
        <w:t>除下列董事外，其他董事亲自出席了审议本次年报的董事会会议</w:t>
      </w:r>
    </w:p>
    <w:p w:rsidR="00DA3772" w:rsidRDefault="00DA3772">
      <w:pPr>
        <w:jc w:val="left"/>
      </w:pPr>
      <w:r>
        <w:rPr>
          <w:rFonts w:hint="eastAsia"/>
        </w:rPr>
        <w:t>非标准审计意见提示</w:t>
      </w:r>
    </w:p>
    <w:p w:rsidR="00DA3772" w:rsidRDefault="00DA3772">
      <w:pPr>
        <w:jc w:val="left"/>
      </w:pPr>
      <w:r>
        <w:t xml:space="preserve">□ </w:t>
      </w:r>
      <w:r>
        <w:rPr>
          <w:rFonts w:hint="eastAsia"/>
        </w:rPr>
        <w:t>适用</w:t>
      </w:r>
      <w:r>
        <w:t xml:space="preserve"> √ </w:t>
      </w:r>
      <w:r>
        <w:rPr>
          <w:rFonts w:hint="eastAsia"/>
        </w:rPr>
        <w:t>不适用</w:t>
      </w:r>
      <w:r>
        <w:t xml:space="preserve"> </w:t>
      </w:r>
    </w:p>
    <w:p w:rsidR="00DA3772" w:rsidRDefault="00DA3772">
      <w:pPr>
        <w:jc w:val="left"/>
      </w:pPr>
      <w:r>
        <w:rPr>
          <w:rFonts w:hint="eastAsia"/>
        </w:rPr>
        <w:t>董事会审议的报告期普通股利润分配预案或公积金转增股本预案</w:t>
      </w:r>
    </w:p>
    <w:p w:rsidR="00DA3772" w:rsidRDefault="00DA3772">
      <w:pPr>
        <w:jc w:val="left"/>
      </w:pPr>
      <w:r>
        <w:t xml:space="preserve">□ </w:t>
      </w:r>
      <w:r>
        <w:rPr>
          <w:rFonts w:hint="eastAsia"/>
        </w:rPr>
        <w:t>适用</w:t>
      </w:r>
      <w:r>
        <w:t xml:space="preserve"> √ </w:t>
      </w:r>
      <w:r>
        <w:rPr>
          <w:rFonts w:hint="eastAsia"/>
        </w:rPr>
        <w:t>不适用</w:t>
      </w:r>
      <w:r>
        <w:t xml:space="preserve"> </w:t>
      </w:r>
    </w:p>
    <w:p w:rsidR="00DA3772" w:rsidRDefault="00DA3772">
      <w:pPr>
        <w:jc w:val="left"/>
      </w:pPr>
      <w:r>
        <w:rPr>
          <w:rFonts w:hint="eastAsia"/>
        </w:rPr>
        <w:t>公司计划不派发现金红利，不送红股，不以公积金转增股本。</w:t>
      </w:r>
    </w:p>
    <w:p w:rsidR="00DA3772" w:rsidRDefault="00DA3772">
      <w:pPr>
        <w:jc w:val="left"/>
      </w:pPr>
      <w:r>
        <w:rPr>
          <w:rFonts w:hint="eastAsia"/>
        </w:rPr>
        <w:t>董事会决议通过的本报告期优先股利润分配预案</w:t>
      </w:r>
    </w:p>
    <w:p w:rsidR="00DA3772" w:rsidRDefault="00DA3772">
      <w:pPr>
        <w:jc w:val="left"/>
      </w:pPr>
      <w:r>
        <w:t xml:space="preserve">□ </w:t>
      </w:r>
      <w:r>
        <w:rPr>
          <w:rFonts w:hint="eastAsia"/>
        </w:rPr>
        <w:t>适用</w:t>
      </w:r>
      <w:r>
        <w:t xml:space="preserve"> □ </w:t>
      </w:r>
      <w:r>
        <w:rPr>
          <w:rFonts w:hint="eastAsia"/>
        </w:rPr>
        <w:t>不适用</w:t>
      </w:r>
      <w:r>
        <w:t xml:space="preserve"> </w:t>
      </w:r>
    </w:p>
    <w:p w:rsidR="00DA3772" w:rsidRDefault="00DA3772">
      <w:pPr>
        <w:pStyle w:val="Chapter"/>
        <w:outlineLvl w:val="1"/>
      </w:pPr>
      <w:r>
        <w:rPr>
          <w:rFonts w:hint="eastAsia"/>
        </w:rPr>
        <w:t>二、公司基本情况</w:t>
      </w:r>
    </w:p>
    <w:p w:rsidR="00DA3772" w:rsidRDefault="00DA3772">
      <w:pPr>
        <w:pStyle w:val="Section"/>
        <w:outlineLvl w:val="2"/>
      </w:pPr>
      <w:r>
        <w:t>1</w:t>
      </w:r>
      <w:r>
        <w:rPr>
          <w:rFonts w:hint="eastAsia"/>
        </w:rPr>
        <w:t>、公司简介</w:t>
      </w:r>
    </w:p>
    <w:tbl>
      <w:tblPr>
        <w:tblW w:w="0" w:type="auto"/>
        <w:tblInd w:w="28" w:type="dxa"/>
        <w:tblLayout w:type="fixed"/>
        <w:tblCellMar>
          <w:left w:w="28" w:type="dxa"/>
          <w:right w:w="28" w:type="dxa"/>
        </w:tblCellMar>
        <w:tblLook w:val="0000" w:firstRow="0" w:lastRow="0" w:firstColumn="0" w:lastColumn="0" w:noHBand="0" w:noVBand="0"/>
      </w:tblPr>
      <w:tblGrid>
        <w:gridCol w:w="2896"/>
        <w:gridCol w:w="2195"/>
        <w:gridCol w:w="1135"/>
        <w:gridCol w:w="1042"/>
        <w:gridCol w:w="2299"/>
      </w:tblGrid>
      <w:tr w:rsidR="00DA3772">
        <w:tblPrEx>
          <w:tblCellMar>
            <w:top w:w="0" w:type="dxa"/>
            <w:bottom w:w="0" w:type="dxa"/>
          </w:tblCellMar>
        </w:tblPrEx>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pPr>
            <w:r>
              <w:rPr>
                <w:rFonts w:hint="eastAsia"/>
              </w:rPr>
              <w:t>股票简称</w:t>
            </w:r>
          </w:p>
        </w:tc>
        <w:tc>
          <w:tcPr>
            <w:tcW w:w="2195" w:type="dxa"/>
            <w:tcBorders>
              <w:top w:val="single" w:sz="4" w:space="0" w:color="auto"/>
              <w:left w:val="single" w:sz="4" w:space="0" w:color="auto"/>
              <w:bottom w:val="single" w:sz="4" w:space="0" w:color="auto"/>
              <w:right w:val="single" w:sz="4" w:space="0" w:color="auto"/>
            </w:tcBorders>
            <w:vAlign w:val="center"/>
          </w:tcPr>
          <w:p w:rsidR="00DA3772" w:rsidRDefault="00DA3772">
            <w:pPr>
              <w:jc w:val="left"/>
            </w:pPr>
            <w:r>
              <w:rPr>
                <w:rFonts w:hint="eastAsia"/>
              </w:rPr>
              <w:t>华孚时尚</w:t>
            </w:r>
          </w:p>
        </w:tc>
        <w:tc>
          <w:tcPr>
            <w:tcW w:w="217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pPr>
            <w:r>
              <w:rPr>
                <w:rFonts w:hint="eastAsia"/>
              </w:rPr>
              <w:t>股票代码</w:t>
            </w:r>
          </w:p>
        </w:tc>
        <w:tc>
          <w:tcPr>
            <w:tcW w:w="2299" w:type="dxa"/>
            <w:tcBorders>
              <w:top w:val="single" w:sz="4" w:space="0" w:color="auto"/>
              <w:left w:val="single" w:sz="4" w:space="0" w:color="auto"/>
              <w:bottom w:val="single" w:sz="4" w:space="0" w:color="auto"/>
              <w:right w:val="single" w:sz="4" w:space="0" w:color="auto"/>
            </w:tcBorders>
            <w:vAlign w:val="center"/>
          </w:tcPr>
          <w:p w:rsidR="00DA3772" w:rsidRDefault="00DA3772">
            <w:pPr>
              <w:jc w:val="left"/>
            </w:pPr>
            <w:r>
              <w:t>002042</w:t>
            </w:r>
          </w:p>
        </w:tc>
      </w:tr>
      <w:tr w:rsidR="00DA3772">
        <w:tblPrEx>
          <w:tblCellMar>
            <w:top w:w="0" w:type="dxa"/>
            <w:bottom w:w="0" w:type="dxa"/>
          </w:tblCellMar>
        </w:tblPrEx>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pPr>
            <w:r>
              <w:rPr>
                <w:rFonts w:hint="eastAsia"/>
              </w:rPr>
              <w:t>股票上市交易所</w:t>
            </w:r>
          </w:p>
        </w:tc>
        <w:tc>
          <w:tcPr>
            <w:tcW w:w="6671" w:type="dxa"/>
            <w:gridSpan w:val="4"/>
            <w:tcBorders>
              <w:top w:val="single" w:sz="4" w:space="0" w:color="auto"/>
              <w:left w:val="single" w:sz="4" w:space="0" w:color="auto"/>
              <w:bottom w:val="single" w:sz="4" w:space="0" w:color="auto"/>
              <w:right w:val="single" w:sz="4" w:space="0" w:color="auto"/>
            </w:tcBorders>
            <w:vAlign w:val="center"/>
          </w:tcPr>
          <w:p w:rsidR="00DA3772" w:rsidRDefault="00DA3772">
            <w:pPr>
              <w:jc w:val="left"/>
            </w:pPr>
            <w:r>
              <w:rPr>
                <w:rFonts w:hint="eastAsia"/>
              </w:rPr>
              <w:t>深圳证券交易所</w:t>
            </w:r>
          </w:p>
        </w:tc>
      </w:tr>
      <w:tr w:rsidR="00DA3772">
        <w:tblPrEx>
          <w:tblCellMar>
            <w:top w:w="0" w:type="dxa"/>
            <w:bottom w:w="0" w:type="dxa"/>
          </w:tblCellMar>
        </w:tblPrEx>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pPr>
            <w:r>
              <w:rPr>
                <w:rFonts w:hint="eastAsia"/>
              </w:rPr>
              <w:t>联系人和联系方式</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pPr>
            <w:r>
              <w:rPr>
                <w:rFonts w:hint="eastAsia"/>
              </w:rPr>
              <w:t>董事会秘书</w:t>
            </w:r>
          </w:p>
        </w:tc>
        <w:tc>
          <w:tcPr>
            <w:tcW w:w="33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pPr>
            <w:r>
              <w:rPr>
                <w:rFonts w:hint="eastAsia"/>
              </w:rPr>
              <w:t>证券事务代表</w:t>
            </w:r>
          </w:p>
        </w:tc>
      </w:tr>
      <w:tr w:rsidR="00DA3772">
        <w:tblPrEx>
          <w:tblCellMar>
            <w:top w:w="0" w:type="dxa"/>
            <w:bottom w:w="0" w:type="dxa"/>
          </w:tblCellMar>
        </w:tblPrEx>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pPr>
            <w:r>
              <w:rPr>
                <w:rFonts w:hint="eastAsia"/>
              </w:rPr>
              <w:t>姓名</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pPr>
            <w:r>
              <w:rPr>
                <w:rFonts w:hint="eastAsia"/>
              </w:rPr>
              <w:t>张正</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pPr>
            <w:r>
              <w:rPr>
                <w:rFonts w:hint="eastAsia"/>
              </w:rPr>
              <w:t>孙献</w:t>
            </w:r>
          </w:p>
        </w:tc>
      </w:tr>
      <w:tr w:rsidR="00DA3772">
        <w:tblPrEx>
          <w:tblCellMar>
            <w:top w:w="0" w:type="dxa"/>
            <w:bottom w:w="0" w:type="dxa"/>
          </w:tblCellMar>
        </w:tblPrEx>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pPr>
            <w:r>
              <w:rPr>
                <w:rFonts w:hint="eastAsia"/>
              </w:rPr>
              <w:t>办公地址</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pPr>
            <w:r>
              <w:rPr>
                <w:rFonts w:hint="eastAsia"/>
              </w:rPr>
              <w:t>广东省深圳市福田区市花路</w:t>
            </w:r>
            <w:r>
              <w:t>5</w:t>
            </w:r>
            <w:r>
              <w:rPr>
                <w:rFonts w:hint="eastAsia"/>
              </w:rPr>
              <w:t>号长富金茂大厦</w:t>
            </w:r>
            <w:r>
              <w:t>59</w:t>
            </w:r>
            <w:r>
              <w:rPr>
                <w:rFonts w:hint="eastAsia"/>
              </w:rPr>
              <w:t>楼</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pPr>
            <w:r>
              <w:rPr>
                <w:rFonts w:hint="eastAsia"/>
              </w:rPr>
              <w:t>广东省深圳市福田区市花路</w:t>
            </w:r>
            <w:r>
              <w:t>5</w:t>
            </w:r>
            <w:r>
              <w:rPr>
                <w:rFonts w:hint="eastAsia"/>
              </w:rPr>
              <w:t>号长富金茂大厦</w:t>
            </w:r>
            <w:r>
              <w:t>59</w:t>
            </w:r>
            <w:r>
              <w:rPr>
                <w:rFonts w:hint="eastAsia"/>
              </w:rPr>
              <w:t>楼</w:t>
            </w:r>
          </w:p>
        </w:tc>
      </w:tr>
      <w:tr w:rsidR="00DA3772">
        <w:tblPrEx>
          <w:tblCellMar>
            <w:top w:w="0" w:type="dxa"/>
            <w:bottom w:w="0" w:type="dxa"/>
          </w:tblCellMar>
        </w:tblPrEx>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pPr>
            <w:r>
              <w:rPr>
                <w:rFonts w:hint="eastAsia"/>
              </w:rPr>
              <w:t>传真</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pPr>
            <w:r>
              <w:t>0755-83735566</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pPr>
            <w:r>
              <w:t>0755-83735566</w:t>
            </w:r>
          </w:p>
        </w:tc>
      </w:tr>
      <w:tr w:rsidR="00DA3772">
        <w:tblPrEx>
          <w:tblCellMar>
            <w:top w:w="0" w:type="dxa"/>
            <w:bottom w:w="0" w:type="dxa"/>
          </w:tblCellMar>
        </w:tblPrEx>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pPr>
            <w:r>
              <w:rPr>
                <w:rFonts w:hint="eastAsia"/>
              </w:rPr>
              <w:t>电话</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pPr>
            <w:r>
              <w:t>0755-83735593</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pPr>
            <w:r>
              <w:t>0755-83735433</w:t>
            </w:r>
          </w:p>
        </w:tc>
      </w:tr>
      <w:tr w:rsidR="00DA3772">
        <w:tblPrEx>
          <w:tblCellMar>
            <w:top w:w="0" w:type="dxa"/>
            <w:bottom w:w="0" w:type="dxa"/>
          </w:tblCellMar>
        </w:tblPrEx>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pPr>
            <w:r>
              <w:rPr>
                <w:rFonts w:hint="eastAsia"/>
              </w:rPr>
              <w:t>电子信箱</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pPr>
            <w:r>
              <w:t>dongban@e-huafu.com</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pPr>
            <w:r>
              <w:t>sunx@e-huafu.com</w:t>
            </w:r>
          </w:p>
        </w:tc>
      </w:tr>
    </w:tbl>
    <w:p w:rsidR="00DA3772" w:rsidRDefault="00DA3772">
      <w:pPr>
        <w:pStyle w:val="Section"/>
        <w:outlineLvl w:val="2"/>
      </w:pPr>
      <w:r>
        <w:t>2</w:t>
      </w:r>
      <w:r>
        <w:rPr>
          <w:rFonts w:hint="eastAsia"/>
        </w:rPr>
        <w:t>、报告期主要业务或产品简介</w:t>
      </w:r>
    </w:p>
    <w:p w:rsidR="00DA3772" w:rsidRPr="00FC6687" w:rsidRDefault="00DA3772" w:rsidP="00FC6687">
      <w:pPr>
        <w:autoSpaceDE w:val="0"/>
        <w:autoSpaceDN w:val="0"/>
        <w:adjustRightInd w:val="0"/>
        <w:spacing w:before="0" w:after="0" w:line="400" w:lineRule="exact"/>
        <w:ind w:firstLineChars="200" w:firstLine="360"/>
        <w:jc w:val="left"/>
        <w:rPr>
          <w:rFonts w:asciiTheme="minorEastAsia" w:eastAsiaTheme="minorEastAsia" w:hAnsiTheme="minorEastAsia"/>
          <w:kern w:val="0"/>
          <w:lang w:val="zh-CN"/>
        </w:rPr>
      </w:pPr>
      <w:r w:rsidRPr="00FC6687">
        <w:rPr>
          <w:rFonts w:asciiTheme="minorEastAsia" w:eastAsiaTheme="minorEastAsia" w:hAnsiTheme="minorEastAsia"/>
          <w:kern w:val="0"/>
          <w:lang w:val="zh-CN"/>
        </w:rPr>
        <w:t>1</w:t>
      </w:r>
      <w:r w:rsidRPr="00FC6687">
        <w:rPr>
          <w:rFonts w:asciiTheme="minorEastAsia" w:eastAsiaTheme="minorEastAsia" w:hAnsiTheme="minorEastAsia" w:cs="宋体" w:hint="eastAsia"/>
          <w:kern w:val="0"/>
          <w:lang w:val="zh-CN"/>
        </w:rPr>
        <w:t>、公司的主要业务</w:t>
      </w:r>
    </w:p>
    <w:p w:rsidR="00DA3772" w:rsidRPr="00FC6687" w:rsidRDefault="00DA3772" w:rsidP="00FC6687">
      <w:pPr>
        <w:autoSpaceDE w:val="0"/>
        <w:autoSpaceDN w:val="0"/>
        <w:adjustRightInd w:val="0"/>
        <w:spacing w:before="0" w:after="0" w:line="400" w:lineRule="exact"/>
        <w:ind w:firstLineChars="200" w:firstLine="360"/>
        <w:jc w:val="left"/>
        <w:rPr>
          <w:rFonts w:asciiTheme="minorEastAsia" w:eastAsiaTheme="minorEastAsia" w:hAnsiTheme="minorEastAsia"/>
          <w:kern w:val="0"/>
          <w:lang w:val="zh-CN"/>
        </w:rPr>
      </w:pPr>
      <w:r w:rsidRPr="00FC6687">
        <w:rPr>
          <w:rFonts w:asciiTheme="minorEastAsia" w:eastAsiaTheme="minorEastAsia" w:hAnsiTheme="minorEastAsia" w:cs="宋体" w:hint="eastAsia"/>
          <w:kern w:val="0"/>
          <w:lang w:val="zh-CN"/>
        </w:rPr>
        <w:t>公司作为全球最大的色纺纱制造商和供应商之一，主营中高档色纺纱线，配套提供高档新型的坯纱、染色纱，同时提供流行趋势、原料与产品认证、技术咨询等增值服务。通过色彩、材质、工艺技术的集成创新，为客户提供优质的产品和服务。公司在坚持主业的同时，共享产业，以纱线贯通纺织服装产业，整合棉花种植、棉花加工、仓储物流、花纱交易、纺服供应</w:t>
      </w:r>
      <w:r w:rsidRPr="00FC6687">
        <w:rPr>
          <w:rFonts w:asciiTheme="minorEastAsia" w:eastAsiaTheme="minorEastAsia" w:hAnsiTheme="minorEastAsia" w:cs="宋体" w:hint="eastAsia"/>
          <w:kern w:val="0"/>
          <w:lang w:val="zh-CN"/>
        </w:rPr>
        <w:lastRenderedPageBreak/>
        <w:t>链，实现前后端产业贯通，致力成为全球纺织服装产业时尚营运商。</w:t>
      </w:r>
    </w:p>
    <w:p w:rsidR="00DA3772" w:rsidRPr="00FC6687" w:rsidRDefault="00DA3772" w:rsidP="00FC6687">
      <w:pPr>
        <w:autoSpaceDE w:val="0"/>
        <w:autoSpaceDN w:val="0"/>
        <w:adjustRightInd w:val="0"/>
        <w:spacing w:before="0" w:after="0" w:line="400" w:lineRule="exact"/>
        <w:ind w:firstLineChars="200" w:firstLine="360"/>
        <w:jc w:val="left"/>
        <w:rPr>
          <w:rFonts w:asciiTheme="minorEastAsia" w:eastAsiaTheme="minorEastAsia" w:hAnsiTheme="minorEastAsia"/>
          <w:kern w:val="0"/>
          <w:lang w:val="zh-CN"/>
        </w:rPr>
      </w:pPr>
      <w:r w:rsidRPr="00FC6687">
        <w:rPr>
          <w:rFonts w:asciiTheme="minorEastAsia" w:eastAsiaTheme="minorEastAsia" w:hAnsiTheme="minorEastAsia"/>
          <w:kern w:val="0"/>
          <w:lang w:val="zh-CN"/>
        </w:rPr>
        <w:t>2</w:t>
      </w:r>
      <w:r w:rsidRPr="00FC6687">
        <w:rPr>
          <w:rFonts w:asciiTheme="minorEastAsia" w:eastAsiaTheme="minorEastAsia" w:hAnsiTheme="minorEastAsia" w:cs="宋体" w:hint="eastAsia"/>
          <w:kern w:val="0"/>
          <w:lang w:val="zh-CN"/>
        </w:rPr>
        <w:t>、经营模式</w:t>
      </w:r>
    </w:p>
    <w:p w:rsidR="00DA3772" w:rsidRPr="00FC6687" w:rsidRDefault="00DA3772" w:rsidP="00FC6687">
      <w:pPr>
        <w:autoSpaceDE w:val="0"/>
        <w:autoSpaceDN w:val="0"/>
        <w:adjustRightInd w:val="0"/>
        <w:spacing w:before="0" w:after="0" w:line="400" w:lineRule="exact"/>
        <w:ind w:firstLineChars="200" w:firstLine="360"/>
        <w:jc w:val="left"/>
        <w:rPr>
          <w:rFonts w:asciiTheme="minorEastAsia" w:eastAsiaTheme="minorEastAsia" w:hAnsiTheme="minorEastAsia"/>
          <w:kern w:val="0"/>
          <w:lang w:val="zh-CN"/>
        </w:rPr>
      </w:pPr>
      <w:r w:rsidRPr="00FC6687">
        <w:rPr>
          <w:rFonts w:asciiTheme="minorEastAsia" w:eastAsiaTheme="minorEastAsia" w:hAnsiTheme="minorEastAsia" w:cs="宋体" w:hint="eastAsia"/>
          <w:kern w:val="0"/>
          <w:lang w:val="zh-CN"/>
        </w:rPr>
        <w:t>主营纱线方面，公司依托国家一带一路战略，实行国内外平衡的产能布局，目前纱线产能</w:t>
      </w:r>
      <w:r w:rsidRPr="00FC6687">
        <w:rPr>
          <w:rFonts w:asciiTheme="minorEastAsia" w:eastAsiaTheme="minorEastAsia" w:hAnsiTheme="minorEastAsia"/>
          <w:kern w:val="0"/>
          <w:lang w:val="zh-CN"/>
        </w:rPr>
        <w:t>206</w:t>
      </w:r>
      <w:r w:rsidRPr="00FC6687">
        <w:rPr>
          <w:rFonts w:asciiTheme="minorEastAsia" w:eastAsiaTheme="minorEastAsia" w:hAnsiTheme="minorEastAsia" w:cs="宋体" w:hint="eastAsia"/>
          <w:kern w:val="0"/>
          <w:lang w:val="zh-CN"/>
        </w:rPr>
        <w:t>万锭，年产</w:t>
      </w:r>
      <w:r w:rsidRPr="00FC6687">
        <w:rPr>
          <w:rFonts w:asciiTheme="minorEastAsia" w:eastAsiaTheme="minorEastAsia" w:hAnsiTheme="minorEastAsia"/>
          <w:kern w:val="0"/>
          <w:lang w:val="zh-CN"/>
        </w:rPr>
        <w:t>29</w:t>
      </w:r>
      <w:r w:rsidRPr="00FC6687">
        <w:rPr>
          <w:rFonts w:asciiTheme="minorEastAsia" w:eastAsiaTheme="minorEastAsia" w:hAnsiTheme="minorEastAsia" w:cs="宋体" w:hint="eastAsia"/>
          <w:kern w:val="0"/>
          <w:lang w:val="zh-CN"/>
        </w:rPr>
        <w:t>万吨新型纱线，生产基地覆盖中国东部和新疆、越南等地。公司通过产业链协同，统筹市场及订单信息，制定</w:t>
      </w:r>
      <w:r w:rsidRPr="00FC6687">
        <w:rPr>
          <w:rFonts w:asciiTheme="minorEastAsia" w:eastAsiaTheme="minorEastAsia" w:hAnsiTheme="minorEastAsia"/>
          <w:kern w:val="0"/>
          <w:lang w:val="zh-CN"/>
        </w:rPr>
        <w:t>“</w:t>
      </w:r>
      <w:r w:rsidRPr="00FC6687">
        <w:rPr>
          <w:rFonts w:asciiTheme="minorEastAsia" w:eastAsiaTheme="minorEastAsia" w:hAnsiTheme="minorEastAsia" w:cs="宋体" w:hint="eastAsia"/>
          <w:kern w:val="0"/>
          <w:lang w:val="zh-CN"/>
        </w:rPr>
        <w:t>点（产地）对点（客户）</w:t>
      </w:r>
      <w:r w:rsidRPr="00FC6687">
        <w:rPr>
          <w:rFonts w:asciiTheme="minorEastAsia" w:eastAsiaTheme="minorEastAsia" w:hAnsiTheme="minorEastAsia"/>
          <w:kern w:val="0"/>
          <w:lang w:val="zh-CN"/>
        </w:rPr>
        <w:t>”</w:t>
      </w:r>
      <w:r w:rsidRPr="00FC6687">
        <w:rPr>
          <w:rFonts w:asciiTheme="minorEastAsia" w:eastAsiaTheme="minorEastAsia" w:hAnsiTheme="minorEastAsia" w:cs="宋体" w:hint="eastAsia"/>
          <w:kern w:val="0"/>
          <w:lang w:val="zh-CN"/>
        </w:rPr>
        <w:t>的供应链计划，分区域、分工厂、分生产线进行规模化定制，公司坚持以客户为本，品质至上，以趋势为方向，通过产品创新提升产品品质及附加值，赢得了客户的信赖。</w:t>
      </w:r>
    </w:p>
    <w:p w:rsidR="00DA3772" w:rsidRPr="00FC6687" w:rsidRDefault="00DA3772" w:rsidP="00FC6687">
      <w:pPr>
        <w:autoSpaceDE w:val="0"/>
        <w:autoSpaceDN w:val="0"/>
        <w:adjustRightInd w:val="0"/>
        <w:spacing w:before="0" w:after="0" w:line="400" w:lineRule="exact"/>
        <w:ind w:firstLineChars="200" w:firstLine="360"/>
        <w:jc w:val="left"/>
        <w:rPr>
          <w:rFonts w:asciiTheme="minorEastAsia" w:eastAsiaTheme="minorEastAsia" w:hAnsiTheme="minorEastAsia"/>
          <w:kern w:val="0"/>
          <w:lang w:val="zh-CN"/>
        </w:rPr>
      </w:pPr>
      <w:r w:rsidRPr="00FC6687">
        <w:rPr>
          <w:rFonts w:asciiTheme="minorEastAsia" w:eastAsiaTheme="minorEastAsia" w:hAnsiTheme="minorEastAsia" w:cs="宋体" w:hint="eastAsia"/>
          <w:kern w:val="0"/>
          <w:lang w:val="zh-CN"/>
        </w:rPr>
        <w:t>公司实行网链战略，打造产业互联网平台，发展柔性供应链，通过价值服务，逐步实现产业转型升级。</w:t>
      </w:r>
    </w:p>
    <w:p w:rsidR="00DA3772" w:rsidRPr="00FC6687" w:rsidRDefault="00DA3772" w:rsidP="00FC6687">
      <w:pPr>
        <w:autoSpaceDE w:val="0"/>
        <w:autoSpaceDN w:val="0"/>
        <w:adjustRightInd w:val="0"/>
        <w:spacing w:before="0" w:after="0" w:line="400" w:lineRule="exact"/>
        <w:ind w:firstLineChars="200" w:firstLine="360"/>
        <w:jc w:val="left"/>
        <w:rPr>
          <w:rFonts w:asciiTheme="minorEastAsia" w:eastAsiaTheme="minorEastAsia" w:hAnsiTheme="minorEastAsia"/>
          <w:kern w:val="0"/>
          <w:lang w:val="zh-CN"/>
        </w:rPr>
      </w:pPr>
      <w:r w:rsidRPr="00FC6687">
        <w:rPr>
          <w:rFonts w:asciiTheme="minorEastAsia" w:eastAsiaTheme="minorEastAsia" w:hAnsiTheme="minorEastAsia"/>
          <w:kern w:val="0"/>
          <w:lang w:val="zh-CN"/>
        </w:rPr>
        <w:t>3</w:t>
      </w:r>
      <w:r w:rsidRPr="00FC6687">
        <w:rPr>
          <w:rFonts w:asciiTheme="minorEastAsia" w:eastAsiaTheme="minorEastAsia" w:hAnsiTheme="minorEastAsia" w:cs="宋体" w:hint="eastAsia"/>
          <w:kern w:val="0"/>
          <w:lang w:val="zh-CN"/>
        </w:rPr>
        <w:t>、主营业务分析</w:t>
      </w:r>
    </w:p>
    <w:p w:rsidR="00DA3772" w:rsidRPr="00FC6687" w:rsidRDefault="00DA3772" w:rsidP="00FC6687">
      <w:pPr>
        <w:autoSpaceDE w:val="0"/>
        <w:autoSpaceDN w:val="0"/>
        <w:adjustRightInd w:val="0"/>
        <w:spacing w:before="0" w:after="0" w:line="400" w:lineRule="exact"/>
        <w:ind w:firstLineChars="200" w:firstLine="360"/>
        <w:jc w:val="left"/>
        <w:rPr>
          <w:rFonts w:asciiTheme="minorEastAsia" w:eastAsiaTheme="minorEastAsia" w:hAnsiTheme="minorEastAsia"/>
          <w:kern w:val="0"/>
          <w:lang w:val="zh-CN"/>
        </w:rPr>
      </w:pPr>
      <w:r w:rsidRPr="00FC6687">
        <w:rPr>
          <w:rFonts w:asciiTheme="minorEastAsia" w:eastAsiaTheme="minorEastAsia" w:hAnsiTheme="minorEastAsia" w:cs="宋体" w:hint="eastAsia"/>
          <w:kern w:val="0"/>
          <w:lang w:val="zh-CN"/>
        </w:rPr>
        <w:t>报告期内，公司实现营业收入</w:t>
      </w:r>
      <w:r w:rsidRPr="00FC6687">
        <w:rPr>
          <w:rFonts w:asciiTheme="minorEastAsia" w:eastAsiaTheme="minorEastAsia" w:hAnsiTheme="minorEastAsia"/>
          <w:kern w:val="0"/>
          <w:lang w:val="zh-CN"/>
        </w:rPr>
        <w:t>167.1</w:t>
      </w:r>
      <w:r w:rsidRPr="00FC6687">
        <w:rPr>
          <w:rFonts w:asciiTheme="minorEastAsia" w:eastAsiaTheme="minorEastAsia" w:hAnsiTheme="minorEastAsia" w:cs="宋体" w:hint="eastAsia"/>
          <w:kern w:val="0"/>
          <w:lang w:val="zh-CN"/>
        </w:rPr>
        <w:t>亿元，同比增长</w:t>
      </w:r>
      <w:r w:rsidRPr="00FC6687">
        <w:rPr>
          <w:rFonts w:asciiTheme="minorEastAsia" w:eastAsiaTheme="minorEastAsia" w:hAnsiTheme="minorEastAsia"/>
          <w:kern w:val="0"/>
          <w:lang w:val="zh-CN"/>
        </w:rPr>
        <w:t>17.4%</w:t>
      </w:r>
      <w:r w:rsidRPr="00FC6687">
        <w:rPr>
          <w:rFonts w:asciiTheme="minorEastAsia" w:eastAsiaTheme="minorEastAsia" w:hAnsiTheme="minorEastAsia" w:cs="宋体" w:hint="eastAsia"/>
          <w:kern w:val="0"/>
          <w:lang w:val="zh-CN"/>
        </w:rPr>
        <w:t>，归母净利润</w:t>
      </w:r>
      <w:r w:rsidRPr="00FC6687">
        <w:rPr>
          <w:rFonts w:asciiTheme="minorEastAsia" w:eastAsiaTheme="minorEastAsia" w:hAnsiTheme="minorEastAsia"/>
          <w:kern w:val="0"/>
          <w:lang w:val="zh-CN"/>
        </w:rPr>
        <w:t>5.7</w:t>
      </w:r>
      <w:r w:rsidRPr="00FC6687">
        <w:rPr>
          <w:rFonts w:asciiTheme="minorEastAsia" w:eastAsiaTheme="minorEastAsia" w:hAnsiTheme="minorEastAsia" w:cs="宋体" w:hint="eastAsia"/>
          <w:kern w:val="0"/>
          <w:lang w:val="zh-CN"/>
        </w:rPr>
        <w:t>亿元，扭亏为盈。</w:t>
      </w:r>
    </w:p>
    <w:p w:rsidR="00DA3772" w:rsidRPr="00FC6687" w:rsidRDefault="00DA3772" w:rsidP="00FC6687">
      <w:pPr>
        <w:autoSpaceDE w:val="0"/>
        <w:autoSpaceDN w:val="0"/>
        <w:adjustRightInd w:val="0"/>
        <w:spacing w:before="0" w:after="0" w:line="400" w:lineRule="exact"/>
        <w:ind w:firstLineChars="200" w:firstLine="360"/>
        <w:jc w:val="left"/>
        <w:rPr>
          <w:rFonts w:asciiTheme="minorEastAsia" w:eastAsiaTheme="minorEastAsia" w:hAnsiTheme="minorEastAsia"/>
          <w:kern w:val="0"/>
          <w:lang w:val="zh-CN"/>
        </w:rPr>
      </w:pPr>
      <w:r w:rsidRPr="00FC6687">
        <w:rPr>
          <w:rFonts w:asciiTheme="minorEastAsia" w:eastAsiaTheme="minorEastAsia" w:hAnsiTheme="minorEastAsia" w:cs="宋体" w:hint="eastAsia"/>
          <w:kern w:val="0"/>
          <w:lang w:val="zh-CN"/>
        </w:rPr>
        <w:t>报告期内，全球服饰消费呈恢复增长态势，前期去库存后补库的结构性需求增加，因疫情原因导致东南亚、南亚等地供应链受到影响，部分海外订单阶段性回流中国，原料价格在美国带头量化宽松的政策推动下震荡上行。</w:t>
      </w:r>
    </w:p>
    <w:p w:rsidR="00DA3772" w:rsidRPr="00FC6687" w:rsidRDefault="00DA3772" w:rsidP="00FC6687">
      <w:pPr>
        <w:autoSpaceDE w:val="0"/>
        <w:autoSpaceDN w:val="0"/>
        <w:adjustRightInd w:val="0"/>
        <w:spacing w:before="0" w:after="0" w:line="400" w:lineRule="exact"/>
        <w:ind w:firstLineChars="200" w:firstLine="360"/>
        <w:jc w:val="left"/>
        <w:rPr>
          <w:rFonts w:asciiTheme="minorEastAsia" w:eastAsiaTheme="minorEastAsia" w:hAnsiTheme="minorEastAsia"/>
          <w:kern w:val="0"/>
          <w:lang w:val="zh-CN"/>
        </w:rPr>
      </w:pPr>
      <w:r w:rsidRPr="00FC6687">
        <w:rPr>
          <w:rFonts w:asciiTheme="minorEastAsia" w:eastAsiaTheme="minorEastAsia" w:hAnsiTheme="minorEastAsia" w:cs="宋体" w:hint="eastAsia"/>
          <w:kern w:val="0"/>
          <w:lang w:val="zh-CN"/>
        </w:rPr>
        <w:t>在部分海外品牌限制新疆棉的背景下，公司利用品牌与产品优势，调整市场与客户结构，调整优化纱线主业，大力发展网链业务，积极推进数智化升级。纱线主业方面，公司积极拓展国内市场、非美国际市场，与国内多家品牌建立战略合作关系，国内品牌的市场增量弥补了海外订单的缺口，公司采取有效措施把控产销平衡的节奏，根据订单价值配置公司资源，通过订单集聚提升产能效率，通过数智化提升纱线生产提效降本，克服了局部区域阶段性疫情影响的考验，多项举措使得毛利率明显提升；与此同时，公司积极发展网链业务，前端把握住市场行情实现了量利齐增，后端网链在袜业品类实现了突破。</w:t>
      </w:r>
    </w:p>
    <w:p w:rsidR="00DA3772" w:rsidRPr="00FC6687" w:rsidRDefault="00DA3772" w:rsidP="00FC6687">
      <w:pPr>
        <w:autoSpaceDE w:val="0"/>
        <w:autoSpaceDN w:val="0"/>
        <w:adjustRightInd w:val="0"/>
        <w:spacing w:before="0" w:after="0" w:line="400" w:lineRule="exact"/>
        <w:ind w:firstLineChars="200" w:firstLine="360"/>
        <w:jc w:val="left"/>
        <w:rPr>
          <w:rFonts w:asciiTheme="minorEastAsia" w:eastAsiaTheme="minorEastAsia" w:hAnsiTheme="minorEastAsia"/>
          <w:kern w:val="0"/>
          <w:lang w:val="zh-CN"/>
        </w:rPr>
      </w:pPr>
      <w:r w:rsidRPr="00FC6687">
        <w:rPr>
          <w:rFonts w:asciiTheme="minorEastAsia" w:eastAsiaTheme="minorEastAsia" w:hAnsiTheme="minorEastAsia" w:cs="宋体" w:hint="eastAsia"/>
          <w:kern w:val="0"/>
          <w:lang w:val="zh-CN"/>
        </w:rPr>
        <w:t>展望未来，公司将：</w:t>
      </w:r>
      <w:r w:rsidRPr="00FC6687">
        <w:rPr>
          <w:rFonts w:asciiTheme="minorEastAsia" w:eastAsiaTheme="minorEastAsia" w:hAnsiTheme="minorEastAsia"/>
          <w:kern w:val="0"/>
          <w:lang w:val="zh-CN"/>
        </w:rPr>
        <w:t>1</w:t>
      </w:r>
      <w:r w:rsidRPr="00FC6687">
        <w:rPr>
          <w:rFonts w:asciiTheme="minorEastAsia" w:eastAsiaTheme="minorEastAsia" w:hAnsiTheme="minorEastAsia" w:cs="宋体" w:hint="eastAsia"/>
          <w:kern w:val="0"/>
          <w:lang w:val="zh-CN"/>
        </w:rPr>
        <w:t>、积极构建基于内循环的国内市场供应链。中国市场作为全球最大的服装市场，增长和升级潜力大，国潮品牌强势崛起，挖掘价值客户，持续拓展国内市场空间。</w:t>
      </w:r>
      <w:r w:rsidRPr="00FC6687">
        <w:rPr>
          <w:rFonts w:asciiTheme="minorEastAsia" w:eastAsiaTheme="minorEastAsia" w:hAnsiTheme="minorEastAsia"/>
          <w:kern w:val="0"/>
          <w:lang w:val="zh-CN"/>
        </w:rPr>
        <w:t>2</w:t>
      </w:r>
      <w:r w:rsidRPr="00FC6687">
        <w:rPr>
          <w:rFonts w:asciiTheme="minorEastAsia" w:eastAsiaTheme="minorEastAsia" w:hAnsiTheme="minorEastAsia" w:cs="宋体" w:hint="eastAsia"/>
          <w:kern w:val="0"/>
          <w:lang w:val="zh-CN"/>
        </w:rPr>
        <w:t>、坚持主业，做大做强。数智化投入、产融结合，抓住产业集中度提升机会，围绕功能科技、时尚快反、可持续发展、高质量发展四条主线，做全品类的供应商。</w:t>
      </w:r>
      <w:r w:rsidRPr="00FC6687">
        <w:rPr>
          <w:rFonts w:asciiTheme="minorEastAsia" w:eastAsiaTheme="minorEastAsia" w:hAnsiTheme="minorEastAsia"/>
          <w:kern w:val="0"/>
          <w:lang w:val="zh-CN"/>
        </w:rPr>
        <w:t>3</w:t>
      </w:r>
      <w:r w:rsidRPr="00FC6687">
        <w:rPr>
          <w:rFonts w:asciiTheme="minorEastAsia" w:eastAsiaTheme="minorEastAsia" w:hAnsiTheme="minorEastAsia" w:cs="宋体" w:hint="eastAsia"/>
          <w:kern w:val="0"/>
          <w:lang w:val="zh-CN"/>
        </w:rPr>
        <w:t>、共享产业，专业垂直培育新业务。拥抱产业互联网历史机遇，打造专业品类的纺织供应链平台。</w:t>
      </w:r>
    </w:p>
    <w:p w:rsidR="00DA3772" w:rsidRDefault="00DA3772">
      <w:pPr>
        <w:pStyle w:val="Section"/>
        <w:outlineLvl w:val="2"/>
        <w:rPr>
          <w:bCs w:val="0"/>
          <w:szCs w:val="24"/>
        </w:rPr>
      </w:pPr>
      <w:r>
        <w:rPr>
          <w:bCs w:val="0"/>
          <w:szCs w:val="24"/>
        </w:rPr>
        <w:t>3</w:t>
      </w:r>
      <w:r>
        <w:rPr>
          <w:rFonts w:hint="eastAsia"/>
          <w:bCs w:val="0"/>
          <w:szCs w:val="24"/>
        </w:rPr>
        <w:t>、主要会计数据和财务指标</w:t>
      </w:r>
    </w:p>
    <w:p w:rsidR="00DA3772" w:rsidRDefault="00DA3772">
      <w:pPr>
        <w:pStyle w:val="Section"/>
        <w:outlineLvl w:val="3"/>
        <w:rPr>
          <w:bCs w:val="0"/>
          <w:szCs w:val="24"/>
        </w:rPr>
      </w:pPr>
      <w:r>
        <w:rPr>
          <w:rFonts w:hint="eastAsia"/>
          <w:bCs w:val="0"/>
          <w:szCs w:val="24"/>
        </w:rPr>
        <w:t>（</w:t>
      </w:r>
      <w:r>
        <w:rPr>
          <w:bCs w:val="0"/>
          <w:szCs w:val="24"/>
        </w:rPr>
        <w:t>1</w:t>
      </w:r>
      <w:r>
        <w:rPr>
          <w:rFonts w:hint="eastAsia"/>
          <w:bCs w:val="0"/>
          <w:szCs w:val="24"/>
        </w:rPr>
        <w:t>）近三年主要会计数据和财务指标</w:t>
      </w:r>
    </w:p>
    <w:p w:rsidR="00DA3772" w:rsidRDefault="00DA3772">
      <w:pPr>
        <w:jc w:val="left"/>
        <w:rPr>
          <w:szCs w:val="24"/>
        </w:rPr>
      </w:pPr>
      <w:r>
        <w:rPr>
          <w:rFonts w:hint="eastAsia"/>
          <w:szCs w:val="24"/>
        </w:rPr>
        <w:t>公司是否需追溯调整或重述以前年度会计数据</w:t>
      </w:r>
    </w:p>
    <w:p w:rsidR="00DA3772" w:rsidRDefault="00DA3772">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DA3772" w:rsidRDefault="00DA3772">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657"/>
        <w:gridCol w:w="1763"/>
        <w:gridCol w:w="1763"/>
        <w:gridCol w:w="1763"/>
        <w:gridCol w:w="1622"/>
      </w:tblGrid>
      <w:tr w:rsidR="00DA3772">
        <w:tblPrEx>
          <w:tblCellMar>
            <w:top w:w="0" w:type="dxa"/>
            <w:bottom w:w="0" w:type="dxa"/>
          </w:tblCellMar>
        </w:tblPrEx>
        <w:tc>
          <w:tcPr>
            <w:tcW w:w="2657"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p>
        </w:tc>
        <w:tc>
          <w:tcPr>
            <w:tcW w:w="1763"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szCs w:val="24"/>
              </w:rPr>
              <w:t>2021</w:t>
            </w:r>
            <w:r>
              <w:rPr>
                <w:rFonts w:hint="eastAsia"/>
                <w:szCs w:val="24"/>
              </w:rPr>
              <w:t>年末</w:t>
            </w:r>
          </w:p>
        </w:tc>
        <w:tc>
          <w:tcPr>
            <w:tcW w:w="1763"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szCs w:val="24"/>
              </w:rPr>
              <w:t>2020</w:t>
            </w:r>
            <w:r>
              <w:rPr>
                <w:rFonts w:hint="eastAsia"/>
                <w:szCs w:val="24"/>
              </w:rPr>
              <w:t>年末</w:t>
            </w:r>
          </w:p>
        </w:tc>
        <w:tc>
          <w:tcPr>
            <w:tcW w:w="1763"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rFonts w:hint="eastAsia"/>
                <w:szCs w:val="24"/>
              </w:rPr>
              <w:t>本年末比上年末增减</w:t>
            </w:r>
          </w:p>
        </w:tc>
        <w:tc>
          <w:tcPr>
            <w:tcW w:w="1622"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szCs w:val="24"/>
              </w:rPr>
              <w:t>2019</w:t>
            </w:r>
            <w:r>
              <w:rPr>
                <w:rFonts w:hint="eastAsia"/>
                <w:szCs w:val="24"/>
              </w:rPr>
              <w:t>年末</w:t>
            </w:r>
          </w:p>
        </w:tc>
      </w:tr>
      <w:tr w:rsidR="00DA3772">
        <w:tblPrEx>
          <w:tblCellMar>
            <w:top w:w="0" w:type="dxa"/>
            <w:bottom w:w="0" w:type="dxa"/>
          </w:tblCellMar>
        </w:tblPrEx>
        <w:tc>
          <w:tcPr>
            <w:tcW w:w="2657"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总资产</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20,138,185,868.88</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17,610,075,576.16</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14.36%</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18,335,875,515.57</w:t>
            </w:r>
          </w:p>
        </w:tc>
      </w:tr>
      <w:tr w:rsidR="00DA3772">
        <w:tblPrEx>
          <w:tblCellMar>
            <w:top w:w="0" w:type="dxa"/>
            <w:bottom w:w="0" w:type="dxa"/>
          </w:tblCellMar>
        </w:tblPrEx>
        <w:tc>
          <w:tcPr>
            <w:tcW w:w="2657"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归属于上市公司股东的净资产</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7,009,197,204.12</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5,622,219,847.15</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24.67%</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6,300,744,089.76</w:t>
            </w:r>
          </w:p>
        </w:tc>
      </w:tr>
      <w:tr w:rsidR="00DA3772">
        <w:tblPrEx>
          <w:tblCellMar>
            <w:top w:w="0" w:type="dxa"/>
            <w:bottom w:w="0" w:type="dxa"/>
          </w:tblCellMar>
        </w:tblPrEx>
        <w:tc>
          <w:tcPr>
            <w:tcW w:w="2657"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p>
        </w:tc>
        <w:tc>
          <w:tcPr>
            <w:tcW w:w="1763"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szCs w:val="24"/>
              </w:rPr>
              <w:t>2021</w:t>
            </w:r>
            <w:r>
              <w:rPr>
                <w:rFonts w:hint="eastAsia"/>
                <w:szCs w:val="24"/>
              </w:rPr>
              <w:t>年</w:t>
            </w:r>
          </w:p>
        </w:tc>
        <w:tc>
          <w:tcPr>
            <w:tcW w:w="1763"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szCs w:val="24"/>
              </w:rPr>
              <w:t>2020</w:t>
            </w:r>
            <w:r>
              <w:rPr>
                <w:rFonts w:hint="eastAsia"/>
                <w:szCs w:val="24"/>
              </w:rPr>
              <w:t>年</w:t>
            </w:r>
          </w:p>
        </w:tc>
        <w:tc>
          <w:tcPr>
            <w:tcW w:w="1763"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rFonts w:hint="eastAsia"/>
                <w:szCs w:val="24"/>
              </w:rPr>
              <w:t>本年比上年增减</w:t>
            </w:r>
          </w:p>
        </w:tc>
        <w:tc>
          <w:tcPr>
            <w:tcW w:w="1622"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szCs w:val="24"/>
              </w:rPr>
              <w:t>2019</w:t>
            </w:r>
            <w:r>
              <w:rPr>
                <w:rFonts w:hint="eastAsia"/>
                <w:szCs w:val="24"/>
              </w:rPr>
              <w:t>年</w:t>
            </w:r>
          </w:p>
        </w:tc>
      </w:tr>
      <w:tr w:rsidR="00DA3772">
        <w:tblPrEx>
          <w:tblCellMar>
            <w:top w:w="0" w:type="dxa"/>
            <w:bottom w:w="0" w:type="dxa"/>
          </w:tblCellMar>
        </w:tblPrEx>
        <w:tc>
          <w:tcPr>
            <w:tcW w:w="2657"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营业收入</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16,708,437,212.10</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14,231,727,949.61</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17.40%</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15,886,871,683.43</w:t>
            </w:r>
          </w:p>
        </w:tc>
      </w:tr>
      <w:tr w:rsidR="00DA3772">
        <w:tblPrEx>
          <w:tblCellMar>
            <w:top w:w="0" w:type="dxa"/>
            <w:bottom w:w="0" w:type="dxa"/>
          </w:tblCellMar>
        </w:tblPrEx>
        <w:tc>
          <w:tcPr>
            <w:tcW w:w="2657"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归属于上市公司股东的净利润</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569,742,293.45</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-444,230,430.81</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228.25%</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402,294,451.12</w:t>
            </w:r>
          </w:p>
        </w:tc>
      </w:tr>
      <w:tr w:rsidR="00DA3772">
        <w:tblPrEx>
          <w:tblCellMar>
            <w:top w:w="0" w:type="dxa"/>
            <w:bottom w:w="0" w:type="dxa"/>
          </w:tblCellMar>
        </w:tblPrEx>
        <w:tc>
          <w:tcPr>
            <w:tcW w:w="2657"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归属于上市公司股东的扣除非经常性损益的净利润</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352,080,653.04</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-754,531,371.57</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146.66%</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51,365,361.62</w:t>
            </w:r>
          </w:p>
        </w:tc>
      </w:tr>
      <w:tr w:rsidR="00DA3772">
        <w:tblPrEx>
          <w:tblCellMar>
            <w:top w:w="0" w:type="dxa"/>
            <w:bottom w:w="0" w:type="dxa"/>
          </w:tblCellMar>
        </w:tblPrEx>
        <w:tc>
          <w:tcPr>
            <w:tcW w:w="2657"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经营活动产生的现金流量净额</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719,880,146.08</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828,351,709.37</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-13.09%</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1,892,922,477.41</w:t>
            </w:r>
          </w:p>
        </w:tc>
      </w:tr>
      <w:tr w:rsidR="00DA3772">
        <w:tblPrEx>
          <w:tblCellMar>
            <w:top w:w="0" w:type="dxa"/>
            <w:bottom w:w="0" w:type="dxa"/>
          </w:tblCellMar>
        </w:tblPrEx>
        <w:tc>
          <w:tcPr>
            <w:tcW w:w="2657"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基本每股收益（元</w:t>
            </w:r>
            <w:r>
              <w:rPr>
                <w:szCs w:val="24"/>
              </w:rPr>
              <w:t>/</w:t>
            </w:r>
            <w:r>
              <w:rPr>
                <w:rFonts w:hint="eastAsia"/>
                <w:szCs w:val="24"/>
              </w:rPr>
              <w:t>股）</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0.38</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-0.31</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222.58%</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0.27</w:t>
            </w:r>
          </w:p>
        </w:tc>
      </w:tr>
      <w:tr w:rsidR="00DA3772">
        <w:tblPrEx>
          <w:tblCellMar>
            <w:top w:w="0" w:type="dxa"/>
            <w:bottom w:w="0" w:type="dxa"/>
          </w:tblCellMar>
        </w:tblPrEx>
        <w:tc>
          <w:tcPr>
            <w:tcW w:w="2657"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稀释每股收益（元</w:t>
            </w:r>
            <w:r>
              <w:rPr>
                <w:szCs w:val="24"/>
              </w:rPr>
              <w:t>/</w:t>
            </w:r>
            <w:r>
              <w:rPr>
                <w:rFonts w:hint="eastAsia"/>
                <w:szCs w:val="24"/>
              </w:rPr>
              <w:t>股）</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0.38</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-0.31</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222.58%</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0.27</w:t>
            </w:r>
          </w:p>
        </w:tc>
      </w:tr>
      <w:tr w:rsidR="00DA3772">
        <w:tblPrEx>
          <w:tblCellMar>
            <w:top w:w="0" w:type="dxa"/>
            <w:bottom w:w="0" w:type="dxa"/>
          </w:tblCellMar>
        </w:tblPrEx>
        <w:tc>
          <w:tcPr>
            <w:tcW w:w="2657"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加权平均净资产收益率</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9.24%</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-7.31%</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16.55%</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6.07%</w:t>
            </w:r>
          </w:p>
        </w:tc>
      </w:tr>
    </w:tbl>
    <w:p w:rsidR="00DA3772" w:rsidRDefault="00DA3772">
      <w:pPr>
        <w:pStyle w:val="Section"/>
        <w:outlineLvl w:val="3"/>
        <w:rPr>
          <w:bCs w:val="0"/>
          <w:szCs w:val="24"/>
        </w:rPr>
      </w:pPr>
      <w:r>
        <w:rPr>
          <w:rFonts w:hint="eastAsia"/>
          <w:bCs w:val="0"/>
          <w:szCs w:val="24"/>
        </w:rPr>
        <w:t>（</w:t>
      </w:r>
      <w:r>
        <w:rPr>
          <w:bCs w:val="0"/>
          <w:szCs w:val="24"/>
        </w:rPr>
        <w:t>2</w:t>
      </w:r>
      <w:r>
        <w:rPr>
          <w:rFonts w:hint="eastAsia"/>
          <w:bCs w:val="0"/>
          <w:szCs w:val="24"/>
        </w:rPr>
        <w:t>）分季度主要会计数据</w:t>
      </w:r>
    </w:p>
    <w:p w:rsidR="00DA3772" w:rsidRDefault="00DA3772">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659"/>
        <w:gridCol w:w="1732"/>
        <w:gridCol w:w="1727"/>
        <w:gridCol w:w="1727"/>
        <w:gridCol w:w="1722"/>
      </w:tblGrid>
      <w:tr w:rsidR="00DA3772">
        <w:tblPrEx>
          <w:tblCellMar>
            <w:top w:w="0" w:type="dxa"/>
            <w:bottom w:w="0" w:type="dxa"/>
          </w:tblCellMar>
        </w:tblPrEx>
        <w:tc>
          <w:tcPr>
            <w:tcW w:w="2659"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rFonts w:hint="eastAsia"/>
                <w:szCs w:val="24"/>
              </w:rPr>
              <w:t>第一季度</w:t>
            </w:r>
          </w:p>
        </w:tc>
        <w:tc>
          <w:tcPr>
            <w:tcW w:w="1727"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rFonts w:hint="eastAsia"/>
                <w:szCs w:val="24"/>
              </w:rPr>
              <w:t>第二季度</w:t>
            </w:r>
          </w:p>
        </w:tc>
        <w:tc>
          <w:tcPr>
            <w:tcW w:w="1727"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rFonts w:hint="eastAsia"/>
                <w:szCs w:val="24"/>
              </w:rPr>
              <w:t>第三季度</w:t>
            </w:r>
          </w:p>
        </w:tc>
        <w:tc>
          <w:tcPr>
            <w:tcW w:w="1722"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rFonts w:hint="eastAsia"/>
                <w:szCs w:val="24"/>
              </w:rPr>
              <w:t>第四季度</w:t>
            </w:r>
          </w:p>
        </w:tc>
      </w:tr>
      <w:tr w:rsidR="00DA3772">
        <w:tblPrEx>
          <w:tblCellMar>
            <w:top w:w="0" w:type="dxa"/>
            <w:bottom w:w="0" w:type="dxa"/>
          </w:tblCellMar>
        </w:tblPrEx>
        <w:tc>
          <w:tcPr>
            <w:tcW w:w="2659"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营业收入</w:t>
            </w:r>
          </w:p>
        </w:tc>
        <w:tc>
          <w:tcPr>
            <w:tcW w:w="1732" w:type="dxa"/>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3,844,540,972.24</w:t>
            </w:r>
          </w:p>
        </w:tc>
        <w:tc>
          <w:tcPr>
            <w:tcW w:w="1727" w:type="dxa"/>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4,710,319,101.73</w:t>
            </w:r>
          </w:p>
        </w:tc>
        <w:tc>
          <w:tcPr>
            <w:tcW w:w="1727" w:type="dxa"/>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4,160,286,129.89</w:t>
            </w:r>
          </w:p>
        </w:tc>
        <w:tc>
          <w:tcPr>
            <w:tcW w:w="1722" w:type="dxa"/>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3,993,291,008.24</w:t>
            </w:r>
          </w:p>
        </w:tc>
      </w:tr>
      <w:tr w:rsidR="00DA3772">
        <w:tblPrEx>
          <w:tblCellMar>
            <w:top w:w="0" w:type="dxa"/>
            <w:bottom w:w="0" w:type="dxa"/>
          </w:tblCellMar>
        </w:tblPrEx>
        <w:tc>
          <w:tcPr>
            <w:tcW w:w="2659"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归属于上市公司股东的净利润</w:t>
            </w:r>
          </w:p>
        </w:tc>
        <w:tc>
          <w:tcPr>
            <w:tcW w:w="1732" w:type="dxa"/>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131,213,682.07</w:t>
            </w:r>
          </w:p>
        </w:tc>
        <w:tc>
          <w:tcPr>
            <w:tcW w:w="1727" w:type="dxa"/>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170,429,254.35</w:t>
            </w:r>
          </w:p>
        </w:tc>
        <w:tc>
          <w:tcPr>
            <w:tcW w:w="1727" w:type="dxa"/>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143,686,841.98</w:t>
            </w:r>
          </w:p>
        </w:tc>
        <w:tc>
          <w:tcPr>
            <w:tcW w:w="1722" w:type="dxa"/>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124,412,515.05</w:t>
            </w:r>
          </w:p>
        </w:tc>
      </w:tr>
      <w:tr w:rsidR="00DA3772">
        <w:tblPrEx>
          <w:tblCellMar>
            <w:top w:w="0" w:type="dxa"/>
            <w:bottom w:w="0" w:type="dxa"/>
          </w:tblCellMar>
        </w:tblPrEx>
        <w:tc>
          <w:tcPr>
            <w:tcW w:w="2659"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归属于上市公司股东的扣除非经常性损益的净利润</w:t>
            </w:r>
          </w:p>
        </w:tc>
        <w:tc>
          <w:tcPr>
            <w:tcW w:w="1732" w:type="dxa"/>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58,360,163.57</w:t>
            </w:r>
          </w:p>
        </w:tc>
        <w:tc>
          <w:tcPr>
            <w:tcW w:w="1727" w:type="dxa"/>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159,881,154.88</w:t>
            </w:r>
          </w:p>
        </w:tc>
        <w:tc>
          <w:tcPr>
            <w:tcW w:w="1727" w:type="dxa"/>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120,910,722.64</w:t>
            </w:r>
          </w:p>
        </w:tc>
        <w:tc>
          <w:tcPr>
            <w:tcW w:w="1722" w:type="dxa"/>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12,928,611.96</w:t>
            </w:r>
          </w:p>
        </w:tc>
      </w:tr>
      <w:tr w:rsidR="00DA3772">
        <w:tblPrEx>
          <w:tblCellMar>
            <w:top w:w="0" w:type="dxa"/>
            <w:bottom w:w="0" w:type="dxa"/>
          </w:tblCellMar>
        </w:tblPrEx>
        <w:tc>
          <w:tcPr>
            <w:tcW w:w="2659"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经营活动产生的现金流量净额</w:t>
            </w:r>
          </w:p>
        </w:tc>
        <w:tc>
          <w:tcPr>
            <w:tcW w:w="1732" w:type="dxa"/>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911,244,090.68</w:t>
            </w:r>
          </w:p>
        </w:tc>
        <w:tc>
          <w:tcPr>
            <w:tcW w:w="1727" w:type="dxa"/>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873,787,942.91</w:t>
            </w:r>
          </w:p>
        </w:tc>
        <w:tc>
          <w:tcPr>
            <w:tcW w:w="1727" w:type="dxa"/>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945,307,059.27</w:t>
            </w:r>
          </w:p>
        </w:tc>
        <w:tc>
          <w:tcPr>
            <w:tcW w:w="1722" w:type="dxa"/>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-2,010,458,946.78</w:t>
            </w:r>
          </w:p>
        </w:tc>
      </w:tr>
    </w:tbl>
    <w:p w:rsidR="00DA3772" w:rsidRDefault="00DA3772">
      <w:pPr>
        <w:jc w:val="left"/>
        <w:rPr>
          <w:szCs w:val="24"/>
        </w:rPr>
      </w:pPr>
      <w:r>
        <w:rPr>
          <w:rFonts w:hint="eastAsia"/>
          <w:szCs w:val="24"/>
        </w:rPr>
        <w:t>上述财务指标或其加总数是否与公司已披露季度报告、半年度报告相关财务指标存在重大差异</w:t>
      </w:r>
    </w:p>
    <w:p w:rsidR="00DA3772" w:rsidRDefault="00DA3772">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DA3772" w:rsidRDefault="00DA3772">
      <w:pPr>
        <w:pStyle w:val="Section"/>
        <w:outlineLvl w:val="2"/>
        <w:rPr>
          <w:bCs w:val="0"/>
          <w:szCs w:val="24"/>
        </w:rPr>
      </w:pPr>
      <w:r>
        <w:rPr>
          <w:bCs w:val="0"/>
          <w:szCs w:val="24"/>
        </w:rPr>
        <w:t>4</w:t>
      </w:r>
      <w:r>
        <w:rPr>
          <w:rFonts w:hint="eastAsia"/>
          <w:bCs w:val="0"/>
          <w:szCs w:val="24"/>
        </w:rPr>
        <w:t>、股本及股东情况</w:t>
      </w:r>
    </w:p>
    <w:p w:rsidR="00DA3772" w:rsidRDefault="00DA3772">
      <w:pPr>
        <w:pStyle w:val="Section"/>
        <w:outlineLvl w:val="3"/>
        <w:rPr>
          <w:bCs w:val="0"/>
          <w:szCs w:val="24"/>
        </w:rPr>
      </w:pPr>
      <w:r>
        <w:rPr>
          <w:rFonts w:hint="eastAsia"/>
          <w:bCs w:val="0"/>
          <w:szCs w:val="24"/>
        </w:rPr>
        <w:t>（</w:t>
      </w:r>
      <w:r>
        <w:rPr>
          <w:bCs w:val="0"/>
          <w:szCs w:val="24"/>
        </w:rPr>
        <w:t>1</w:t>
      </w:r>
      <w:r>
        <w:rPr>
          <w:rFonts w:hint="eastAsia"/>
          <w:bCs w:val="0"/>
          <w:szCs w:val="24"/>
        </w:rPr>
        <w:t>）普通股股东和表决权恢复的优先股股东数量及前</w:t>
      </w:r>
      <w:r>
        <w:rPr>
          <w:bCs w:val="0"/>
          <w:szCs w:val="24"/>
        </w:rPr>
        <w:t>10</w:t>
      </w:r>
      <w:r>
        <w:rPr>
          <w:rFonts w:hint="eastAsia"/>
          <w:bCs w:val="0"/>
          <w:szCs w:val="24"/>
        </w:rPr>
        <w:t>名股东持股情况表</w:t>
      </w:r>
    </w:p>
    <w:p w:rsidR="00DA3772" w:rsidRDefault="00DA3772">
      <w:pPr>
        <w:jc w:val="right"/>
        <w:rPr>
          <w:szCs w:val="24"/>
        </w:rPr>
      </w:pPr>
      <w:r>
        <w:rPr>
          <w:rFonts w:hint="eastAsia"/>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1202"/>
        <w:gridCol w:w="930"/>
        <w:gridCol w:w="562"/>
        <w:gridCol w:w="767"/>
        <w:gridCol w:w="792"/>
        <w:gridCol w:w="404"/>
        <w:gridCol w:w="730"/>
        <w:gridCol w:w="598"/>
        <w:gridCol w:w="536"/>
        <w:gridCol w:w="394"/>
        <w:gridCol w:w="1023"/>
        <w:gridCol w:w="571"/>
        <w:gridCol w:w="422"/>
        <w:gridCol w:w="637"/>
      </w:tblGrid>
      <w:tr w:rsidR="00DA3772">
        <w:tblPrEx>
          <w:tblCellMar>
            <w:top w:w="0" w:type="dxa"/>
            <w:bottom w:w="0" w:type="dxa"/>
          </w:tblCellMar>
        </w:tblPrEx>
        <w:tc>
          <w:tcPr>
            <w:tcW w:w="1202"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报告期末普通股股东总数</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24,304</w:t>
            </w:r>
          </w:p>
        </w:tc>
        <w:tc>
          <w:tcPr>
            <w:tcW w:w="13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年度报告披露日前一个月末普通股股东总数</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22,207</w:t>
            </w:r>
          </w:p>
        </w:tc>
        <w:tc>
          <w:tcPr>
            <w:tcW w:w="13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报告期末表决权恢复的优先股股东总数</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0</w:t>
            </w:r>
          </w:p>
        </w:tc>
        <w:tc>
          <w:tcPr>
            <w:tcW w:w="159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年度报告披露日前一个月末表决权恢复的优先股股东总数</w:t>
            </w:r>
          </w:p>
        </w:tc>
        <w:tc>
          <w:tcPr>
            <w:tcW w:w="10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0</w:t>
            </w:r>
          </w:p>
        </w:tc>
      </w:tr>
      <w:tr w:rsidR="00DA3772">
        <w:tblPrEx>
          <w:tblCellMar>
            <w:top w:w="0" w:type="dxa"/>
            <w:bottom w:w="0" w:type="dxa"/>
          </w:tblCellMar>
        </w:tblPrEx>
        <w:tc>
          <w:tcPr>
            <w:tcW w:w="9568" w:type="dxa"/>
            <w:gridSpan w:val="14"/>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rFonts w:hint="eastAsia"/>
                <w:szCs w:val="24"/>
              </w:rPr>
              <w:t>前</w:t>
            </w:r>
            <w:r>
              <w:rPr>
                <w:szCs w:val="24"/>
              </w:rPr>
              <w:t>10</w:t>
            </w:r>
            <w:r>
              <w:rPr>
                <w:rFonts w:hint="eastAsia"/>
                <w:szCs w:val="24"/>
              </w:rPr>
              <w:t>名股东持股情况</w:t>
            </w:r>
          </w:p>
        </w:tc>
      </w:tr>
      <w:tr w:rsidR="00DA3772" w:rsidTr="00FC6687">
        <w:tblPrEx>
          <w:tblCellMar>
            <w:top w:w="0" w:type="dxa"/>
            <w:bottom w:w="0" w:type="dxa"/>
          </w:tblCellMar>
        </w:tblPrEx>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rFonts w:hint="eastAsia"/>
                <w:szCs w:val="24"/>
              </w:rPr>
              <w:t>股东名称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rFonts w:hint="eastAsia"/>
                <w:szCs w:val="24"/>
              </w:rPr>
              <w:t>股东性质</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rFonts w:hint="eastAsia"/>
                <w:szCs w:val="24"/>
              </w:rPr>
              <w:t>持股比例</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rFonts w:hint="eastAsia"/>
                <w:szCs w:val="24"/>
              </w:rPr>
              <w:t>持股数量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rFonts w:hint="eastAsia"/>
                <w:szCs w:val="24"/>
              </w:rPr>
              <w:t>持有有限售条件的股份数量</w:t>
            </w:r>
          </w:p>
        </w:tc>
        <w:tc>
          <w:tcPr>
            <w:tcW w:w="163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rFonts w:hint="eastAsia"/>
                <w:szCs w:val="24"/>
              </w:rPr>
              <w:t>质押、标记或冻结情况</w:t>
            </w:r>
          </w:p>
        </w:tc>
      </w:tr>
      <w:tr w:rsidR="00DA3772" w:rsidTr="00FC6687">
        <w:tblPrEx>
          <w:tblCellMar>
            <w:top w:w="0" w:type="dxa"/>
            <w:bottom w:w="0" w:type="dxa"/>
          </w:tblCellMar>
        </w:tblPrEx>
        <w:tc>
          <w:tcPr>
            <w:tcW w:w="2694" w:type="dxa"/>
            <w:gridSpan w:val="3"/>
            <w:vMerge/>
            <w:tcBorders>
              <w:top w:val="single" w:sz="4" w:space="0" w:color="auto"/>
              <w:left w:val="single" w:sz="4" w:space="0" w:color="auto"/>
              <w:bottom w:val="single" w:sz="4" w:space="0" w:color="auto"/>
              <w:right w:val="single" w:sz="4" w:space="0" w:color="auto"/>
            </w:tcBorders>
            <w:vAlign w:val="center"/>
          </w:tcPr>
          <w:p w:rsidR="00DA3772" w:rsidRDefault="00DA3772">
            <w:pPr>
              <w:jc w:val="center"/>
              <w:rPr>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DA3772" w:rsidRDefault="00DA3772">
            <w:pPr>
              <w:jc w:val="center"/>
              <w:rPr>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DA3772" w:rsidRDefault="00DA3772">
            <w:pPr>
              <w:jc w:val="center"/>
              <w:rPr>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DA3772" w:rsidRDefault="00DA3772">
            <w:pPr>
              <w:jc w:val="center"/>
              <w:rPr>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DA3772" w:rsidRDefault="00DA3772">
            <w:pPr>
              <w:jc w:val="center"/>
              <w:rPr>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rFonts w:hint="eastAsia"/>
                <w:szCs w:val="24"/>
              </w:rPr>
              <w:t>股份状态</w:t>
            </w:r>
          </w:p>
        </w:tc>
        <w:tc>
          <w:tcPr>
            <w:tcW w:w="637" w:type="dxa"/>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center"/>
              <w:rPr>
                <w:szCs w:val="24"/>
              </w:rPr>
            </w:pPr>
            <w:r>
              <w:rPr>
                <w:rFonts w:hint="eastAsia"/>
                <w:szCs w:val="24"/>
              </w:rPr>
              <w:t>数量</w:t>
            </w:r>
          </w:p>
        </w:tc>
      </w:tr>
      <w:tr w:rsidR="00DA3772" w:rsidTr="00FC6687">
        <w:tblPrEx>
          <w:tblCellMar>
            <w:top w:w="0" w:type="dxa"/>
            <w:bottom w:w="0" w:type="dxa"/>
          </w:tblCellMar>
        </w:tblPrEx>
        <w:tc>
          <w:tcPr>
            <w:tcW w:w="2694" w:type="dxa"/>
            <w:gridSpan w:val="3"/>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华孚控股有限公司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境内非国有法人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30.62%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520,705,950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r>
      <w:tr w:rsidR="00DA3772" w:rsidTr="00FC6687">
        <w:tblPrEx>
          <w:tblCellMar>
            <w:top w:w="0" w:type="dxa"/>
            <w:bottom w:w="0" w:type="dxa"/>
          </w:tblCellMar>
        </w:tblPrEx>
        <w:tc>
          <w:tcPr>
            <w:tcW w:w="2694" w:type="dxa"/>
            <w:gridSpan w:val="3"/>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安徽飞亚纺织有限公司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境内非国有法人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7.59%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129,058,312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r>
      <w:tr w:rsidR="00DA3772" w:rsidTr="00FC6687">
        <w:tblPrEx>
          <w:tblCellMar>
            <w:top w:w="0" w:type="dxa"/>
            <w:bottom w:w="0" w:type="dxa"/>
          </w:tblCellMar>
        </w:tblPrEx>
        <w:tc>
          <w:tcPr>
            <w:tcW w:w="2694" w:type="dxa"/>
            <w:gridSpan w:val="3"/>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深圳市华人投资有限公司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境内非国有法人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3.70%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62,923,500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r>
      <w:tr w:rsidR="00DA3772" w:rsidTr="00FC6687">
        <w:tblPrEx>
          <w:tblCellMar>
            <w:top w:w="0" w:type="dxa"/>
            <w:bottom w:w="0" w:type="dxa"/>
          </w:tblCellMar>
        </w:tblPrEx>
        <w:tc>
          <w:tcPr>
            <w:tcW w:w="2694" w:type="dxa"/>
            <w:gridSpan w:val="3"/>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金元顺安基金－兴业银行－上海爱建信托－爱建信托欣欣</w:t>
            </w:r>
            <w:r>
              <w:rPr>
                <w:szCs w:val="24"/>
              </w:rPr>
              <w:t>7</w:t>
            </w:r>
            <w:r>
              <w:rPr>
                <w:rFonts w:hint="eastAsia"/>
                <w:szCs w:val="24"/>
              </w:rPr>
              <w:t>号定向增发事务管理类单一资金信托</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其他</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3.49%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59,429,476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r>
      <w:tr w:rsidR="00DA3772" w:rsidTr="00FC6687">
        <w:tblPrEx>
          <w:tblCellMar>
            <w:top w:w="0" w:type="dxa"/>
            <w:bottom w:w="0" w:type="dxa"/>
          </w:tblCellMar>
        </w:tblPrEx>
        <w:tc>
          <w:tcPr>
            <w:tcW w:w="2694" w:type="dxa"/>
            <w:gridSpan w:val="3"/>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金鹰基金－工商银行－万向信托－万向信托－星辰</w:t>
            </w:r>
            <w:r>
              <w:rPr>
                <w:szCs w:val="24"/>
              </w:rPr>
              <w:t>39</w:t>
            </w:r>
            <w:r>
              <w:rPr>
                <w:rFonts w:hint="eastAsia"/>
                <w:szCs w:val="24"/>
              </w:rPr>
              <w:t>号事务管理类单一资金信托</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其他</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3.49%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59,429,476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r>
      <w:tr w:rsidR="00DA3772" w:rsidTr="00FC6687">
        <w:tblPrEx>
          <w:tblCellMar>
            <w:top w:w="0" w:type="dxa"/>
            <w:bottom w:w="0" w:type="dxa"/>
          </w:tblCellMar>
        </w:tblPrEx>
        <w:tc>
          <w:tcPr>
            <w:tcW w:w="2694" w:type="dxa"/>
            <w:gridSpan w:val="3"/>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广西沣盛供应链管理有限公司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境内非国有法人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2.66%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45,283,102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left"/>
              <w:rPr>
                <w:szCs w:val="24"/>
              </w:rPr>
            </w:pPr>
            <w:r>
              <w:rPr>
                <w:rFonts w:hint="eastAsia"/>
                <w:szCs w:val="24"/>
              </w:rPr>
              <w:t>质押</w:t>
            </w: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r>
              <w:rPr>
                <w:szCs w:val="24"/>
              </w:rPr>
              <w:t>42,848,102</w:t>
            </w:r>
          </w:p>
        </w:tc>
      </w:tr>
      <w:tr w:rsidR="00DA3772" w:rsidTr="00FC6687">
        <w:tblPrEx>
          <w:tblCellMar>
            <w:top w:w="0" w:type="dxa"/>
            <w:bottom w:w="0" w:type="dxa"/>
          </w:tblCellMar>
        </w:tblPrEx>
        <w:tc>
          <w:tcPr>
            <w:tcW w:w="2694" w:type="dxa"/>
            <w:gridSpan w:val="3"/>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国泰君安证券股份有限公司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国有法人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1.81%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30,815,786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30,769,230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r>
      <w:tr w:rsidR="00DA3772" w:rsidTr="00FC6687">
        <w:tblPrEx>
          <w:tblCellMar>
            <w:top w:w="0" w:type="dxa"/>
            <w:bottom w:w="0" w:type="dxa"/>
          </w:tblCellMar>
        </w:tblPrEx>
        <w:tc>
          <w:tcPr>
            <w:tcW w:w="2694" w:type="dxa"/>
            <w:gridSpan w:val="3"/>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香港中央结算有限公司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境外法人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1.41%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24,049,745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r>
      <w:tr w:rsidR="00DA3772" w:rsidTr="00FC6687">
        <w:tblPrEx>
          <w:tblCellMar>
            <w:top w:w="0" w:type="dxa"/>
            <w:bottom w:w="0" w:type="dxa"/>
          </w:tblCellMar>
        </w:tblPrEx>
        <w:tc>
          <w:tcPr>
            <w:tcW w:w="2694" w:type="dxa"/>
            <w:gridSpan w:val="3"/>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安徽省农业产业化发展基金有限公司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境内非国有法人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1.41%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24,038,461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24,038,461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r>
      <w:tr w:rsidR="00DA3772" w:rsidTr="00FC6687">
        <w:tblPrEx>
          <w:tblCellMar>
            <w:top w:w="0" w:type="dxa"/>
            <w:bottom w:w="0" w:type="dxa"/>
          </w:tblCellMar>
        </w:tblPrEx>
        <w:tc>
          <w:tcPr>
            <w:tcW w:w="2694" w:type="dxa"/>
            <w:gridSpan w:val="3"/>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中信建投证券股份有限公司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left"/>
              <w:rPr>
                <w:szCs w:val="24"/>
              </w:rPr>
            </w:pPr>
            <w:r>
              <w:rPr>
                <w:rFonts w:hint="eastAsia"/>
                <w:szCs w:val="24"/>
              </w:rPr>
              <w:t>境内非国有法人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1.25%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21,247,846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A3772" w:rsidRDefault="00DA3772">
            <w:pPr>
              <w:jc w:val="right"/>
              <w:rPr>
                <w:szCs w:val="24"/>
              </w:rPr>
            </w:pPr>
            <w:r>
              <w:rPr>
                <w:szCs w:val="24"/>
              </w:rPr>
              <w:t>21,153,846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right"/>
              <w:rPr>
                <w:szCs w:val="24"/>
              </w:rPr>
            </w:pPr>
          </w:p>
        </w:tc>
      </w:tr>
      <w:tr w:rsidR="00DA3772" w:rsidTr="00FC6687">
        <w:tblPrEx>
          <w:tblCellMar>
            <w:top w:w="0" w:type="dxa"/>
            <w:bottom w:w="0" w:type="dxa"/>
          </w:tblCellMar>
        </w:tblPrEx>
        <w:tc>
          <w:tcPr>
            <w:tcW w:w="269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上述股东关联关系或一致行动的说明</w:t>
            </w:r>
          </w:p>
        </w:tc>
        <w:tc>
          <w:tcPr>
            <w:tcW w:w="687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left"/>
              <w:rPr>
                <w:szCs w:val="24"/>
              </w:rPr>
            </w:pPr>
            <w:r>
              <w:rPr>
                <w:rFonts w:hint="eastAsia"/>
                <w:szCs w:val="24"/>
              </w:rPr>
              <w:t>上述股东中华孚控股有限公司、安徽飞亚纺织有限公司、深圳市华人投资有限公司为公司控股股东及一致行动人，其余流通股东与控股股东之间不存在关联关系，也不属于一致行动人。未知其余流通股股东之间是否存在关联关系或是否属于一致行动人。</w:t>
            </w:r>
          </w:p>
        </w:tc>
      </w:tr>
      <w:tr w:rsidR="00DA3772" w:rsidTr="00FC6687">
        <w:tblPrEx>
          <w:tblCellMar>
            <w:top w:w="0" w:type="dxa"/>
            <w:bottom w:w="0" w:type="dxa"/>
          </w:tblCellMar>
        </w:tblPrEx>
        <w:tc>
          <w:tcPr>
            <w:tcW w:w="269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DA3772" w:rsidRDefault="00DA3772">
            <w:pPr>
              <w:jc w:val="left"/>
              <w:rPr>
                <w:szCs w:val="24"/>
              </w:rPr>
            </w:pPr>
            <w:r>
              <w:rPr>
                <w:rFonts w:hint="eastAsia"/>
                <w:szCs w:val="24"/>
              </w:rPr>
              <w:t>参与融资融券业务股东情况说明（如有）</w:t>
            </w:r>
          </w:p>
        </w:tc>
        <w:tc>
          <w:tcPr>
            <w:tcW w:w="687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DA3772" w:rsidRDefault="00DA3772">
            <w:pPr>
              <w:jc w:val="left"/>
              <w:rPr>
                <w:szCs w:val="24"/>
              </w:rPr>
            </w:pPr>
            <w:r>
              <w:rPr>
                <w:rFonts w:hint="eastAsia"/>
                <w:szCs w:val="24"/>
              </w:rPr>
              <w:t>安徽飞亚纺织有限公司及深圳市华人投资有限公司通过信用账户持有公司部分股份。</w:t>
            </w:r>
          </w:p>
        </w:tc>
      </w:tr>
    </w:tbl>
    <w:p w:rsidR="00DA3772" w:rsidRDefault="00DA3772">
      <w:pPr>
        <w:pStyle w:val="Section"/>
        <w:outlineLvl w:val="3"/>
        <w:rPr>
          <w:bCs w:val="0"/>
          <w:szCs w:val="24"/>
        </w:rPr>
      </w:pPr>
      <w:r>
        <w:rPr>
          <w:rFonts w:hint="eastAsia"/>
          <w:bCs w:val="0"/>
          <w:szCs w:val="24"/>
        </w:rPr>
        <w:t>（</w:t>
      </w:r>
      <w:r>
        <w:rPr>
          <w:bCs w:val="0"/>
          <w:szCs w:val="24"/>
        </w:rPr>
        <w:t>2</w:t>
      </w:r>
      <w:r>
        <w:rPr>
          <w:rFonts w:hint="eastAsia"/>
          <w:bCs w:val="0"/>
          <w:szCs w:val="24"/>
        </w:rPr>
        <w:t>）公司优先股股东总数及前</w:t>
      </w:r>
      <w:r>
        <w:rPr>
          <w:bCs w:val="0"/>
          <w:szCs w:val="24"/>
        </w:rPr>
        <w:t>10</w:t>
      </w:r>
      <w:r>
        <w:rPr>
          <w:rFonts w:hint="eastAsia"/>
          <w:bCs w:val="0"/>
          <w:szCs w:val="24"/>
        </w:rPr>
        <w:t>名优先股股东持股情况表</w:t>
      </w:r>
    </w:p>
    <w:p w:rsidR="00DA3772" w:rsidRDefault="00DA3772">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DA3772" w:rsidRDefault="00DA3772">
      <w:pPr>
        <w:jc w:val="left"/>
        <w:rPr>
          <w:szCs w:val="24"/>
        </w:rPr>
      </w:pPr>
      <w:r>
        <w:rPr>
          <w:rFonts w:hint="eastAsia"/>
          <w:szCs w:val="24"/>
        </w:rPr>
        <w:t>公司报告期无优先股股东持股情况。</w:t>
      </w:r>
    </w:p>
    <w:p w:rsidR="00DA3772" w:rsidRDefault="00DA3772">
      <w:pPr>
        <w:pStyle w:val="Section"/>
        <w:outlineLvl w:val="3"/>
        <w:rPr>
          <w:bCs w:val="0"/>
          <w:szCs w:val="24"/>
        </w:rPr>
      </w:pPr>
      <w:r>
        <w:rPr>
          <w:rFonts w:hint="eastAsia"/>
          <w:bCs w:val="0"/>
          <w:szCs w:val="24"/>
        </w:rPr>
        <w:t>（</w:t>
      </w:r>
      <w:r>
        <w:rPr>
          <w:bCs w:val="0"/>
          <w:szCs w:val="24"/>
        </w:rPr>
        <w:t>3</w:t>
      </w:r>
      <w:r>
        <w:rPr>
          <w:rFonts w:hint="eastAsia"/>
          <w:bCs w:val="0"/>
          <w:szCs w:val="24"/>
        </w:rPr>
        <w:t>）以方框图形式披露公司与实际控制人之间的产权及控制关系</w:t>
      </w:r>
    </w:p>
    <w:p w:rsidR="00DA3772" w:rsidRDefault="009A4AEB">
      <w:pPr>
        <w:autoSpaceDE w:val="0"/>
        <w:autoSpaceDN w:val="0"/>
        <w:adjustRightInd w:val="0"/>
        <w:spacing w:before="200" w:after="200"/>
        <w:jc w:val="center"/>
        <w:rPr>
          <w:rFonts w:eastAsiaTheme="minorEastAsia"/>
          <w:kern w:val="0"/>
          <w:sz w:val="24"/>
          <w:szCs w:val="24"/>
        </w:rPr>
      </w:pPr>
      <w:r>
        <w:rPr>
          <w:rFonts w:eastAsiaTheme="minorEastAsia"/>
          <w:noProof/>
          <w:kern w:val="0"/>
          <w:sz w:val="24"/>
          <w:szCs w:val="24"/>
        </w:rPr>
        <w:drawing>
          <wp:inline distT="0" distB="0" distL="0" distR="0">
            <wp:extent cx="4591050" cy="2076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2076450"/>
                    </a:xfrm>
                    <a:prstGeom prst="rect">
                      <a:avLst/>
                    </a:prstGeom>
                    <a:noFill/>
                    <a:ln>
                      <a:noFill/>
                    </a:ln>
                  </pic:spPr>
                </pic:pic>
              </a:graphicData>
            </a:graphic>
          </wp:inline>
        </w:drawing>
      </w:r>
    </w:p>
    <w:p w:rsidR="00DA3772" w:rsidRDefault="00DA3772">
      <w:pPr>
        <w:pStyle w:val="Section"/>
        <w:outlineLvl w:val="2"/>
        <w:rPr>
          <w:bCs w:val="0"/>
          <w:szCs w:val="24"/>
        </w:rPr>
      </w:pPr>
      <w:r>
        <w:rPr>
          <w:bCs w:val="0"/>
          <w:szCs w:val="24"/>
        </w:rPr>
        <w:t>5</w:t>
      </w:r>
      <w:r>
        <w:rPr>
          <w:rFonts w:hint="eastAsia"/>
          <w:bCs w:val="0"/>
          <w:szCs w:val="24"/>
        </w:rPr>
        <w:t>、在年度报告批准报出日存续的债券情况</w:t>
      </w:r>
    </w:p>
    <w:p w:rsidR="00DA3772" w:rsidRDefault="00DA3772">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DA3772" w:rsidRDefault="00DA3772">
      <w:pPr>
        <w:pStyle w:val="Chapter"/>
        <w:outlineLvl w:val="1"/>
        <w:rPr>
          <w:bCs w:val="0"/>
        </w:rPr>
      </w:pPr>
      <w:r>
        <w:rPr>
          <w:rFonts w:hint="eastAsia"/>
          <w:bCs w:val="0"/>
        </w:rPr>
        <w:t>三、重要事项</w:t>
      </w:r>
    </w:p>
    <w:p w:rsidR="00DA3772" w:rsidRDefault="00DA3772">
      <w:pPr>
        <w:autoSpaceDE w:val="0"/>
        <w:autoSpaceDN w:val="0"/>
        <w:adjustRightInd w:val="0"/>
        <w:spacing w:before="0" w:after="0"/>
        <w:jc w:val="left"/>
        <w:rPr>
          <w:rFonts w:ascii="宋体" w:cs="宋体"/>
          <w:kern w:val="0"/>
          <w:szCs w:val="24"/>
          <w:lang w:val="zh-CN"/>
        </w:rPr>
      </w:pPr>
      <w:r>
        <w:rPr>
          <w:rFonts w:ascii="宋体" w:hAnsi="宋体" w:cs="宋体" w:hint="eastAsia"/>
          <w:kern w:val="0"/>
          <w:szCs w:val="24"/>
          <w:lang w:val="zh-CN"/>
        </w:rPr>
        <w:t>无</w:t>
      </w:r>
    </w:p>
    <w:p w:rsidR="00FC6687" w:rsidRDefault="00FC6687" w:rsidP="00FC6687">
      <w:pPr>
        <w:autoSpaceDE w:val="0"/>
        <w:autoSpaceDN w:val="0"/>
        <w:adjustRightInd w:val="0"/>
        <w:spacing w:before="0" w:after="0"/>
        <w:jc w:val="right"/>
        <w:rPr>
          <w:rFonts w:ascii="宋体" w:cs="宋体"/>
          <w:kern w:val="0"/>
          <w:szCs w:val="24"/>
          <w:lang w:val="zh-CN"/>
        </w:rPr>
      </w:pPr>
      <w:r>
        <w:rPr>
          <w:rFonts w:ascii="宋体" w:hAnsi="宋体" w:cs="宋体" w:hint="eastAsia"/>
          <w:kern w:val="0"/>
          <w:szCs w:val="24"/>
          <w:lang w:val="zh-CN"/>
        </w:rPr>
        <w:t>华孚时尚股份有限公司董事会</w:t>
      </w:r>
    </w:p>
    <w:p w:rsidR="00FC6687" w:rsidRDefault="00FC6687" w:rsidP="00FC6687">
      <w:pPr>
        <w:autoSpaceDE w:val="0"/>
        <w:autoSpaceDN w:val="0"/>
        <w:adjustRightInd w:val="0"/>
        <w:spacing w:before="0" w:after="0"/>
        <w:jc w:val="right"/>
        <w:rPr>
          <w:rFonts w:eastAsia="Times New Roman"/>
          <w:kern w:val="0"/>
          <w:szCs w:val="24"/>
          <w:lang w:val="zh-CN"/>
        </w:rPr>
      </w:pPr>
      <w:r>
        <w:rPr>
          <w:rFonts w:ascii="宋体" w:hAnsi="宋体" w:cs="宋体"/>
          <w:kern w:val="0"/>
          <w:szCs w:val="24"/>
          <w:lang w:val="zh-CN"/>
        </w:rPr>
        <w:t>2022</w:t>
      </w:r>
      <w:r>
        <w:rPr>
          <w:rFonts w:ascii="宋体" w:hAnsi="宋体" w:cs="宋体" w:hint="eastAsia"/>
          <w:kern w:val="0"/>
          <w:szCs w:val="24"/>
          <w:lang w:val="zh-CN"/>
        </w:rPr>
        <w:t>年</w:t>
      </w:r>
      <w:r>
        <w:rPr>
          <w:rFonts w:ascii="宋体" w:hAnsi="宋体" w:cs="宋体"/>
          <w:kern w:val="0"/>
          <w:szCs w:val="24"/>
          <w:lang w:val="zh-CN"/>
        </w:rPr>
        <w:t>4</w:t>
      </w:r>
      <w:r>
        <w:rPr>
          <w:rFonts w:ascii="宋体" w:hAnsi="宋体" w:cs="宋体" w:hint="eastAsia"/>
          <w:kern w:val="0"/>
          <w:szCs w:val="24"/>
          <w:lang w:val="zh-CN"/>
        </w:rPr>
        <w:t>月</w:t>
      </w:r>
      <w:r>
        <w:rPr>
          <w:rFonts w:ascii="宋体" w:hAnsi="宋体" w:cs="宋体"/>
          <w:kern w:val="0"/>
          <w:szCs w:val="24"/>
          <w:lang w:val="zh-CN"/>
        </w:rPr>
        <w:t>28</w:t>
      </w:r>
      <w:r>
        <w:rPr>
          <w:rFonts w:ascii="宋体" w:hAnsi="宋体" w:cs="宋体" w:hint="eastAsia"/>
          <w:kern w:val="0"/>
          <w:szCs w:val="24"/>
          <w:lang w:val="zh-CN"/>
        </w:rPr>
        <w:t>日</w:t>
      </w:r>
    </w:p>
    <w:sectPr w:rsidR="00FC6687">
      <w:headerReference w:type="default" r:id="rId8"/>
      <w:footerReference w:type="default" r:id="rId9"/>
      <w:pgSz w:w="11906" w:h="16838"/>
      <w:pgMar w:top="1440" w:right="1134"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B5" w:rsidRDefault="00841AB5">
      <w:pPr>
        <w:spacing w:before="0" w:after="0"/>
      </w:pPr>
      <w:r>
        <w:separator/>
      </w:r>
    </w:p>
  </w:endnote>
  <w:endnote w:type="continuationSeparator" w:id="0">
    <w:p w:rsidR="00841AB5" w:rsidRDefault="00841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72" w:rsidRDefault="00DA3772">
    <w:pPr>
      <w:pStyle w:val="a5"/>
    </w:pPr>
    <w:r>
      <w:fldChar w:fldCharType="begin"/>
    </w:r>
    <w:r>
      <w:instrText xml:space="preserve"> PAGE </w:instrText>
    </w:r>
    <w:r>
      <w:fldChar w:fldCharType="separate"/>
    </w:r>
    <w:r w:rsidR="00841AB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B5" w:rsidRDefault="00841AB5">
      <w:pPr>
        <w:spacing w:before="0" w:after="0"/>
      </w:pPr>
      <w:r>
        <w:separator/>
      </w:r>
    </w:p>
  </w:footnote>
  <w:footnote w:type="continuationSeparator" w:id="0">
    <w:p w:rsidR="00841AB5" w:rsidRDefault="00841AB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72" w:rsidRDefault="00DA3772">
    <w:pPr>
      <w:pStyle w:val="a4"/>
    </w:pPr>
    <w:r>
      <w:rPr>
        <w:rFonts w:hint="eastAsia"/>
      </w:rPr>
      <w:t>华孚时尚股份有限公司</w:t>
    </w:r>
    <w:r>
      <w:t>2021</w:t>
    </w:r>
    <w:r>
      <w:rPr>
        <w:rFonts w:hint="eastAsia"/>
      </w:rPr>
      <w:t>年年度报告摘要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87"/>
    <w:rsid w:val="00841AB5"/>
    <w:rsid w:val="009A4AEB"/>
    <w:rsid w:val="00DA3772"/>
    <w:rsid w:val="00FC6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华孚时尚股份有限公司2021年年度报告摘要</dc:title>
  <dc:creator>华孚时尚股份有限公司</dc:creator>
  <cp:lastModifiedBy>孙献</cp:lastModifiedBy>
  <cp:revision>2</cp:revision>
  <dcterms:created xsi:type="dcterms:W3CDTF">2022-04-27T11:16:00Z</dcterms:created>
  <dcterms:modified xsi:type="dcterms:W3CDTF">2022-04-27T11:16:00Z</dcterms:modified>
</cp:coreProperties>
</file>