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56B4" w14:textId="4E01AFE2" w:rsidR="00CC4787" w:rsidRPr="0063798C" w:rsidRDefault="00CC4787" w:rsidP="0063798C">
      <w:pPr>
        <w:spacing w:line="400" w:lineRule="exact"/>
        <w:rPr>
          <w:rFonts w:asciiTheme="minorEastAsia" w:hAnsiTheme="minorEastAsia"/>
          <w:b/>
          <w:sz w:val="22"/>
          <w:szCs w:val="24"/>
        </w:rPr>
      </w:pPr>
      <w:r w:rsidRPr="0063798C">
        <w:rPr>
          <w:rFonts w:asciiTheme="minorEastAsia" w:hAnsiTheme="minorEastAsia" w:hint="eastAsia"/>
          <w:b/>
          <w:sz w:val="22"/>
          <w:szCs w:val="24"/>
        </w:rPr>
        <w:t>证券代码：</w:t>
      </w:r>
      <w:r w:rsidRPr="0063798C">
        <w:rPr>
          <w:rFonts w:asciiTheme="minorEastAsia" w:hAnsiTheme="minorEastAsia"/>
          <w:b/>
          <w:sz w:val="22"/>
          <w:szCs w:val="24"/>
        </w:rPr>
        <w:t>002042</w:t>
      </w:r>
      <w:r w:rsidR="008E6C64">
        <w:rPr>
          <w:rFonts w:asciiTheme="minorEastAsia" w:hAnsiTheme="minorEastAsia"/>
          <w:b/>
          <w:sz w:val="22"/>
          <w:szCs w:val="24"/>
        </w:rPr>
        <w:t xml:space="preserve">            </w:t>
      </w:r>
      <w:r w:rsidRPr="0063798C">
        <w:rPr>
          <w:rFonts w:asciiTheme="minorEastAsia" w:hAnsiTheme="minorEastAsia" w:hint="eastAsia"/>
          <w:b/>
          <w:sz w:val="22"/>
          <w:szCs w:val="24"/>
        </w:rPr>
        <w:t>证券简称：华孚时尚</w:t>
      </w:r>
      <w:r w:rsidRPr="0063798C">
        <w:rPr>
          <w:rFonts w:asciiTheme="minorEastAsia" w:hAnsiTheme="minorEastAsia"/>
          <w:b/>
          <w:sz w:val="22"/>
          <w:szCs w:val="24"/>
        </w:rPr>
        <w:tab/>
      </w:r>
      <w:r w:rsidR="008E6C64">
        <w:rPr>
          <w:rFonts w:asciiTheme="minorEastAsia" w:hAnsiTheme="minorEastAsia"/>
          <w:b/>
          <w:sz w:val="22"/>
          <w:szCs w:val="24"/>
        </w:rPr>
        <w:t xml:space="preserve">         </w:t>
      </w:r>
      <w:r w:rsidRPr="0063798C">
        <w:rPr>
          <w:rFonts w:asciiTheme="minorEastAsia" w:hAnsiTheme="minorEastAsia" w:hint="eastAsia"/>
          <w:b/>
          <w:sz w:val="22"/>
          <w:szCs w:val="24"/>
        </w:rPr>
        <w:t>公告编号：</w:t>
      </w:r>
      <w:r w:rsidR="006C6F59">
        <w:rPr>
          <w:rFonts w:asciiTheme="minorEastAsia" w:hAnsiTheme="minorEastAsia" w:hint="eastAsia"/>
          <w:b/>
          <w:sz w:val="22"/>
          <w:szCs w:val="24"/>
        </w:rPr>
        <w:t>2020-27</w:t>
      </w:r>
    </w:p>
    <w:p w14:paraId="1691246A" w14:textId="77777777" w:rsidR="00F47F1C" w:rsidRPr="00B81954" w:rsidRDefault="00F47F1C" w:rsidP="00EB3EF9">
      <w:pPr>
        <w:spacing w:line="360" w:lineRule="auto"/>
        <w:rPr>
          <w:rFonts w:ascii="Times New Roman" w:eastAsia="宋体" w:hAnsi="Times New Roman" w:cs="Times New Roman"/>
          <w:sz w:val="24"/>
          <w:szCs w:val="24"/>
        </w:rPr>
      </w:pPr>
    </w:p>
    <w:p w14:paraId="592EB512" w14:textId="77777777" w:rsidR="00F20DF8" w:rsidRPr="00A01C17" w:rsidRDefault="004A238F" w:rsidP="004A238F">
      <w:pPr>
        <w:spacing w:line="360" w:lineRule="auto"/>
        <w:jc w:val="center"/>
        <w:rPr>
          <w:rFonts w:asciiTheme="majorEastAsia" w:eastAsiaTheme="majorEastAsia" w:hAnsiTheme="majorEastAsia" w:cs="Times New Roman"/>
          <w:b/>
          <w:sz w:val="32"/>
          <w:szCs w:val="32"/>
        </w:rPr>
      </w:pPr>
      <w:r w:rsidRPr="00A01C17">
        <w:rPr>
          <w:rFonts w:asciiTheme="majorEastAsia" w:eastAsiaTheme="majorEastAsia" w:hAnsiTheme="majorEastAsia" w:cs="Times New Roman"/>
          <w:b/>
          <w:sz w:val="32"/>
          <w:szCs w:val="32"/>
        </w:rPr>
        <w:t>华孚</w:t>
      </w:r>
      <w:r w:rsidR="00260052" w:rsidRPr="00A01C17">
        <w:rPr>
          <w:rFonts w:asciiTheme="majorEastAsia" w:eastAsiaTheme="majorEastAsia" w:hAnsiTheme="majorEastAsia" w:cs="Times New Roman" w:hint="eastAsia"/>
          <w:b/>
          <w:sz w:val="32"/>
          <w:szCs w:val="32"/>
        </w:rPr>
        <w:t>时尚</w:t>
      </w:r>
      <w:r w:rsidRPr="00A01C17">
        <w:rPr>
          <w:rFonts w:asciiTheme="majorEastAsia" w:eastAsiaTheme="majorEastAsia" w:hAnsiTheme="majorEastAsia" w:cs="Times New Roman"/>
          <w:b/>
          <w:sz w:val="32"/>
          <w:szCs w:val="32"/>
        </w:rPr>
        <w:t>股份有限公司</w:t>
      </w:r>
    </w:p>
    <w:p w14:paraId="6FE56713" w14:textId="77777777" w:rsidR="004A238F" w:rsidRPr="00A01C17" w:rsidRDefault="00AC43AB" w:rsidP="004A238F">
      <w:pPr>
        <w:spacing w:line="360" w:lineRule="auto"/>
        <w:jc w:val="center"/>
        <w:rPr>
          <w:rFonts w:asciiTheme="majorEastAsia" w:eastAsiaTheme="majorEastAsia" w:hAnsiTheme="majorEastAsia" w:cs="Times New Roman"/>
          <w:b/>
          <w:sz w:val="32"/>
          <w:szCs w:val="32"/>
        </w:rPr>
      </w:pPr>
      <w:r w:rsidRPr="00A01C17">
        <w:rPr>
          <w:rFonts w:asciiTheme="majorEastAsia" w:eastAsiaTheme="majorEastAsia" w:hAnsiTheme="majorEastAsia" w:cs="Times New Roman" w:hint="eastAsia"/>
          <w:b/>
          <w:sz w:val="32"/>
          <w:szCs w:val="32"/>
        </w:rPr>
        <w:t>未来三年（2021-2023年）股东回报规划的公告</w:t>
      </w:r>
    </w:p>
    <w:p w14:paraId="4EB0478D" w14:textId="77777777" w:rsidR="00EB3EF9" w:rsidRDefault="00EB3EF9" w:rsidP="00EB3EF9">
      <w:pPr>
        <w:spacing w:line="400" w:lineRule="exact"/>
        <w:ind w:left="284" w:firstLineChars="201" w:firstLine="482"/>
        <w:rPr>
          <w:rFonts w:ascii="华文楷体" w:eastAsia="华文楷体" w:hAnsi="华文楷体" w:cs="Times New Roman"/>
          <w:sz w:val="24"/>
          <w:szCs w:val="24"/>
        </w:rPr>
      </w:pPr>
    </w:p>
    <w:p w14:paraId="5BB5CB9B" w14:textId="77777777" w:rsidR="00EB3EF9" w:rsidRPr="006617EE" w:rsidRDefault="00EB3EF9" w:rsidP="00EB3EF9">
      <w:pPr>
        <w:spacing w:line="400" w:lineRule="exact"/>
        <w:ind w:left="284" w:firstLineChars="201" w:firstLine="482"/>
        <w:rPr>
          <w:rFonts w:ascii="华文楷体" w:eastAsia="华文楷体" w:hAnsi="华文楷体" w:cs="Times New Roman"/>
          <w:sz w:val="24"/>
          <w:szCs w:val="24"/>
        </w:rPr>
      </w:pPr>
      <w:r w:rsidRPr="006617EE">
        <w:rPr>
          <w:rFonts w:ascii="华文楷体" w:eastAsia="华文楷体" w:hAnsi="华文楷体" w:cs="Times New Roman" w:hint="eastAsia"/>
          <w:sz w:val="24"/>
          <w:szCs w:val="24"/>
        </w:rPr>
        <w:t>本公司及董事会全体成员保证信息披露的内容真实、准确、完整，没有虚假记载、误导性陈述或重大遗漏。</w:t>
      </w:r>
    </w:p>
    <w:p w14:paraId="6850DBE9" w14:textId="77777777" w:rsidR="004A238F" w:rsidRPr="00EB3EF9" w:rsidRDefault="004A238F" w:rsidP="004A238F">
      <w:pPr>
        <w:spacing w:line="360" w:lineRule="auto"/>
        <w:ind w:firstLineChars="200" w:firstLine="480"/>
        <w:rPr>
          <w:rFonts w:ascii="Times New Roman" w:eastAsia="宋体" w:hAnsi="Times New Roman" w:cs="Times New Roman"/>
          <w:sz w:val="24"/>
          <w:szCs w:val="24"/>
        </w:rPr>
      </w:pPr>
    </w:p>
    <w:p w14:paraId="01117B59" w14:textId="77777777" w:rsidR="00114508" w:rsidRPr="00B81954" w:rsidRDefault="00AC43AB" w:rsidP="00114508">
      <w:pPr>
        <w:spacing w:line="360" w:lineRule="auto"/>
        <w:ind w:firstLineChars="200" w:firstLine="480"/>
        <w:rPr>
          <w:rFonts w:ascii="Times New Roman" w:eastAsia="宋体" w:hAnsi="Times New Roman" w:cs="Times New Roman"/>
          <w:sz w:val="24"/>
          <w:szCs w:val="24"/>
        </w:rPr>
      </w:pPr>
      <w:r w:rsidRPr="00AC43AB">
        <w:rPr>
          <w:rFonts w:ascii="Times New Roman" w:eastAsia="宋体" w:hAnsi="Times New Roman" w:cs="Times New Roman" w:hint="eastAsia"/>
          <w:sz w:val="24"/>
          <w:szCs w:val="24"/>
        </w:rPr>
        <w:t>为进一步增强华孚时尚股份有限公司（以下简称“公司”）</w:t>
      </w:r>
      <w:r w:rsidR="001769CF" w:rsidRPr="001769CF">
        <w:rPr>
          <w:rFonts w:ascii="Times New Roman" w:eastAsia="宋体" w:hAnsi="Times New Roman" w:cs="Times New Roman" w:hint="eastAsia"/>
          <w:sz w:val="24"/>
          <w:szCs w:val="24"/>
        </w:rPr>
        <w:t>科学、持续、稳定的股东回报机制</w:t>
      </w:r>
      <w:r w:rsidR="001769CF">
        <w:rPr>
          <w:rFonts w:ascii="Times New Roman" w:eastAsia="宋体" w:hAnsi="Times New Roman" w:cs="Times New Roman" w:hint="eastAsia"/>
          <w:sz w:val="24"/>
          <w:szCs w:val="24"/>
        </w:rPr>
        <w:t>，</w:t>
      </w:r>
      <w:r w:rsidR="001769CF" w:rsidRPr="001769CF">
        <w:rPr>
          <w:rFonts w:ascii="Times New Roman" w:eastAsia="宋体" w:hAnsi="Times New Roman" w:cs="Times New Roman" w:hint="eastAsia"/>
          <w:sz w:val="24"/>
          <w:szCs w:val="24"/>
        </w:rPr>
        <w:t>增加利润分配政策决策透明度和可操作性，积极回报投资者，</w:t>
      </w:r>
      <w:r w:rsidRPr="00AC43AB">
        <w:rPr>
          <w:rFonts w:ascii="Times New Roman" w:eastAsia="宋体" w:hAnsi="Times New Roman" w:cs="Times New Roman" w:hint="eastAsia"/>
          <w:sz w:val="24"/>
          <w:szCs w:val="24"/>
        </w:rPr>
        <w:t>根据《关于进一步落实上市公司现金分红有关事项的通知》（证监发</w:t>
      </w:r>
      <w:r w:rsidRPr="00AC43AB">
        <w:rPr>
          <w:rFonts w:ascii="Times New Roman" w:eastAsia="宋体" w:hAnsi="Times New Roman" w:cs="Times New Roman" w:hint="eastAsia"/>
          <w:sz w:val="24"/>
          <w:szCs w:val="24"/>
        </w:rPr>
        <w:t>[2012]37</w:t>
      </w:r>
      <w:r w:rsidRPr="00AC43AB">
        <w:rPr>
          <w:rFonts w:ascii="Times New Roman" w:eastAsia="宋体" w:hAnsi="Times New Roman" w:cs="Times New Roman" w:hint="eastAsia"/>
          <w:sz w:val="24"/>
          <w:szCs w:val="24"/>
        </w:rPr>
        <w:t>号）、《关于进一步落实上市公司现金分红有关事项的通知》及《上市公司监管指引</w:t>
      </w:r>
      <w:r w:rsidRPr="00AC43AB">
        <w:rPr>
          <w:rFonts w:ascii="Times New Roman" w:eastAsia="宋体" w:hAnsi="Times New Roman" w:cs="Times New Roman" w:hint="eastAsia"/>
          <w:sz w:val="24"/>
          <w:szCs w:val="24"/>
        </w:rPr>
        <w:t>3</w:t>
      </w:r>
      <w:r w:rsidRPr="00AC43AB">
        <w:rPr>
          <w:rFonts w:ascii="Times New Roman" w:eastAsia="宋体" w:hAnsi="Times New Roman" w:cs="Times New Roman" w:hint="eastAsia"/>
          <w:sz w:val="24"/>
          <w:szCs w:val="24"/>
        </w:rPr>
        <w:t>号—上市公司现金分红》，以及《公司章程》的有关规定，</w:t>
      </w:r>
      <w:r w:rsidR="001769CF">
        <w:rPr>
          <w:rFonts w:ascii="Times New Roman" w:eastAsia="宋体" w:hAnsi="Times New Roman" w:cs="Times New Roman" w:hint="eastAsia"/>
          <w:sz w:val="24"/>
          <w:szCs w:val="24"/>
        </w:rPr>
        <w:t>公司董事会</w:t>
      </w:r>
      <w:r w:rsidRPr="00AC43AB">
        <w:rPr>
          <w:rFonts w:ascii="Times New Roman" w:eastAsia="宋体" w:hAnsi="Times New Roman" w:cs="Times New Roman" w:hint="eastAsia"/>
          <w:sz w:val="24"/>
          <w:szCs w:val="24"/>
        </w:rPr>
        <w:t>拟定</w:t>
      </w:r>
      <w:r w:rsidR="001769CF">
        <w:rPr>
          <w:rFonts w:ascii="Times New Roman" w:eastAsia="宋体" w:hAnsi="Times New Roman" w:cs="Times New Roman" w:hint="eastAsia"/>
          <w:sz w:val="24"/>
          <w:szCs w:val="24"/>
        </w:rPr>
        <w:t>了</w:t>
      </w:r>
      <w:r w:rsidRPr="00AC43AB">
        <w:rPr>
          <w:rFonts w:ascii="Times New Roman" w:eastAsia="宋体" w:hAnsi="Times New Roman" w:cs="Times New Roman" w:hint="eastAsia"/>
          <w:sz w:val="24"/>
          <w:szCs w:val="24"/>
        </w:rPr>
        <w:t>《华孚时尚股份有限公司未来三年（</w:t>
      </w:r>
      <w:r w:rsidRPr="00AC43AB">
        <w:rPr>
          <w:rFonts w:ascii="Times New Roman" w:eastAsia="宋体" w:hAnsi="Times New Roman" w:cs="Times New Roman" w:hint="eastAsia"/>
          <w:sz w:val="24"/>
          <w:szCs w:val="24"/>
        </w:rPr>
        <w:t>2021-2023</w:t>
      </w:r>
      <w:r w:rsidRPr="00AC43AB">
        <w:rPr>
          <w:rFonts w:ascii="Times New Roman" w:eastAsia="宋体" w:hAnsi="Times New Roman" w:cs="Times New Roman" w:hint="eastAsia"/>
          <w:sz w:val="24"/>
          <w:szCs w:val="24"/>
        </w:rPr>
        <w:t>年）股东回报规划》（以下简称</w:t>
      </w:r>
      <w:r w:rsidR="00C16676">
        <w:rPr>
          <w:rFonts w:ascii="Times New Roman" w:eastAsia="宋体" w:hAnsi="Times New Roman" w:cs="Times New Roman" w:hint="eastAsia"/>
          <w:sz w:val="24"/>
          <w:szCs w:val="24"/>
        </w:rPr>
        <w:t>“</w:t>
      </w:r>
      <w:r w:rsidR="00C16676" w:rsidRPr="00C16676">
        <w:rPr>
          <w:rFonts w:ascii="Times New Roman" w:eastAsia="宋体" w:hAnsi="Times New Roman" w:cs="Times New Roman" w:hint="eastAsia"/>
          <w:sz w:val="24"/>
          <w:szCs w:val="24"/>
        </w:rPr>
        <w:t>股东回报规划</w:t>
      </w:r>
      <w:r w:rsidR="00C16676">
        <w:rPr>
          <w:rFonts w:ascii="Times New Roman" w:eastAsia="宋体" w:hAnsi="Times New Roman" w:cs="Times New Roman" w:hint="eastAsia"/>
          <w:sz w:val="24"/>
          <w:szCs w:val="24"/>
        </w:rPr>
        <w:t>”或</w:t>
      </w:r>
      <w:r w:rsidRPr="00AC43AB">
        <w:rPr>
          <w:rFonts w:ascii="Times New Roman" w:eastAsia="宋体" w:hAnsi="Times New Roman" w:cs="Times New Roman" w:hint="eastAsia"/>
          <w:sz w:val="24"/>
          <w:szCs w:val="24"/>
        </w:rPr>
        <w:t>“本规划”），具体内容如下：</w:t>
      </w:r>
    </w:p>
    <w:p w14:paraId="16B5C8EC" w14:textId="77777777" w:rsidR="00661077" w:rsidRPr="00B81954" w:rsidRDefault="00661077" w:rsidP="00661077">
      <w:pPr>
        <w:spacing w:beforeLines="50" w:before="156" w:afterLines="50" w:after="156" w:line="360" w:lineRule="auto"/>
        <w:ind w:firstLineChars="200" w:firstLine="482"/>
        <w:rPr>
          <w:rFonts w:ascii="Times New Roman" w:eastAsia="宋体" w:hAnsi="Times New Roman" w:cs="Times New Roman"/>
          <w:b/>
          <w:sz w:val="24"/>
          <w:szCs w:val="24"/>
        </w:rPr>
      </w:pPr>
      <w:r w:rsidRPr="00B81954">
        <w:rPr>
          <w:rFonts w:ascii="Times New Roman" w:eastAsia="宋体" w:hAnsi="Times New Roman" w:cs="Times New Roman"/>
          <w:b/>
          <w:sz w:val="24"/>
          <w:szCs w:val="24"/>
        </w:rPr>
        <w:t>一、</w:t>
      </w:r>
      <w:r w:rsidR="00AC43AB" w:rsidRPr="00AC43AB">
        <w:rPr>
          <w:rFonts w:ascii="Times New Roman" w:eastAsia="宋体" w:hAnsi="Times New Roman" w:cs="Times New Roman" w:hint="eastAsia"/>
          <w:b/>
          <w:sz w:val="24"/>
          <w:szCs w:val="24"/>
        </w:rPr>
        <w:t>公司制定</w:t>
      </w:r>
      <w:r w:rsidR="00C16676" w:rsidRPr="00C16676">
        <w:rPr>
          <w:rFonts w:asciiTheme="minorEastAsia" w:hAnsiTheme="minorEastAsia" w:cs="Times New Roman" w:hint="eastAsia"/>
          <w:b/>
          <w:sz w:val="24"/>
          <w:szCs w:val="24"/>
        </w:rPr>
        <w:t>股东回报规划</w:t>
      </w:r>
      <w:r w:rsidR="001769CF">
        <w:rPr>
          <w:rFonts w:ascii="Times New Roman" w:eastAsia="宋体" w:hAnsi="Times New Roman" w:cs="Times New Roman" w:hint="eastAsia"/>
          <w:b/>
          <w:sz w:val="24"/>
          <w:szCs w:val="24"/>
        </w:rPr>
        <w:t>的</w:t>
      </w:r>
      <w:r w:rsidR="00AC43AB" w:rsidRPr="00AC43AB">
        <w:rPr>
          <w:rFonts w:ascii="Times New Roman" w:eastAsia="宋体" w:hAnsi="Times New Roman" w:cs="Times New Roman" w:hint="eastAsia"/>
          <w:b/>
          <w:sz w:val="24"/>
          <w:szCs w:val="24"/>
        </w:rPr>
        <w:t>考虑因素</w:t>
      </w:r>
    </w:p>
    <w:p w14:paraId="56E9B311" w14:textId="77777777" w:rsidR="00661077" w:rsidRPr="00B81954" w:rsidRDefault="00AC43AB" w:rsidP="00661077">
      <w:pPr>
        <w:spacing w:line="360" w:lineRule="auto"/>
        <w:ind w:firstLineChars="200" w:firstLine="480"/>
        <w:rPr>
          <w:rFonts w:ascii="Times New Roman" w:eastAsia="宋体" w:hAnsi="Times New Roman" w:cs="Times New Roman"/>
          <w:sz w:val="24"/>
          <w:szCs w:val="24"/>
        </w:rPr>
      </w:pPr>
      <w:r w:rsidRPr="00AC43AB">
        <w:rPr>
          <w:rFonts w:ascii="Times New Roman" w:eastAsia="宋体" w:hAnsi="Times New Roman" w:cs="Times New Roman" w:hint="eastAsia"/>
          <w:sz w:val="24"/>
          <w:szCs w:val="24"/>
        </w:rPr>
        <w:t>公司着眼于企业长远和可持续发展，在综合分析公司经营发展实际情况、发展战略、企业盈利能力、社会资金成本及外部融资环境等因素的基础上，充分考虑公司所处行业特点、目前发展所处阶段、自身经营模式、盈利水平、现金流量状况、项目投资资金需求等情况，在保证公司股本规模和股权结构合理的前提下，统筹考虑股东的短期利益和长期利益，对利润分配做出制度性安排，从而建立对投资者持续、稳定、科学的分红回报规划与机制，以保证公司利润分配政策的连续性和稳定性，兼顾全体股东的整体利益和公司的长远利益及可持续发展。</w:t>
      </w:r>
    </w:p>
    <w:p w14:paraId="5E877465" w14:textId="77777777" w:rsidR="004A238F" w:rsidRPr="00B81954" w:rsidRDefault="00C65AB6" w:rsidP="00661077">
      <w:pPr>
        <w:spacing w:beforeLines="50" w:before="156" w:afterLines="50" w:after="156" w:line="360" w:lineRule="auto"/>
        <w:ind w:firstLineChars="200" w:firstLine="482"/>
        <w:rPr>
          <w:rFonts w:ascii="Times New Roman" w:eastAsia="宋体" w:hAnsi="Times New Roman" w:cs="Times New Roman"/>
          <w:b/>
          <w:sz w:val="24"/>
          <w:szCs w:val="24"/>
        </w:rPr>
      </w:pPr>
      <w:r w:rsidRPr="00B81954">
        <w:rPr>
          <w:rFonts w:ascii="Times New Roman" w:eastAsia="宋体" w:hAnsi="Times New Roman" w:cs="Times New Roman"/>
          <w:b/>
          <w:sz w:val="24"/>
          <w:szCs w:val="24"/>
        </w:rPr>
        <w:t>二、</w:t>
      </w:r>
      <w:r w:rsidR="00522934">
        <w:rPr>
          <w:rFonts w:ascii="Times New Roman" w:eastAsia="宋体" w:hAnsi="Times New Roman" w:cs="Times New Roman" w:hint="eastAsia"/>
          <w:b/>
          <w:sz w:val="24"/>
          <w:szCs w:val="24"/>
        </w:rPr>
        <w:t>公司</w:t>
      </w:r>
      <w:r w:rsidR="00AC43AB" w:rsidRPr="00AC43AB">
        <w:rPr>
          <w:rFonts w:ascii="Times New Roman" w:eastAsia="宋体" w:hAnsi="Times New Roman" w:cs="Times New Roman" w:hint="eastAsia"/>
          <w:b/>
          <w:sz w:val="24"/>
          <w:szCs w:val="24"/>
        </w:rPr>
        <w:t>制定</w:t>
      </w:r>
      <w:r w:rsidR="00C16676" w:rsidRPr="00C16676">
        <w:rPr>
          <w:rFonts w:asciiTheme="minorEastAsia" w:hAnsiTheme="minorEastAsia" w:cs="Times New Roman" w:hint="eastAsia"/>
          <w:b/>
          <w:sz w:val="24"/>
          <w:szCs w:val="24"/>
        </w:rPr>
        <w:t>股东回报规划</w:t>
      </w:r>
      <w:r w:rsidR="00AC43AB" w:rsidRPr="00AC43AB">
        <w:rPr>
          <w:rFonts w:ascii="Times New Roman" w:eastAsia="宋体" w:hAnsi="Times New Roman" w:cs="Times New Roman" w:hint="eastAsia"/>
          <w:b/>
          <w:sz w:val="24"/>
          <w:szCs w:val="24"/>
        </w:rPr>
        <w:t>的原则</w:t>
      </w:r>
    </w:p>
    <w:p w14:paraId="0D89275A" w14:textId="1CFF9CB8" w:rsidR="006D652B" w:rsidRDefault="00AC43AB" w:rsidP="006D652B">
      <w:pPr>
        <w:spacing w:line="360" w:lineRule="auto"/>
        <w:ind w:firstLineChars="200" w:firstLine="480"/>
        <w:rPr>
          <w:rFonts w:ascii="宋体" w:eastAsia="宋体" w:hAnsi="宋体"/>
          <w:sz w:val="24"/>
          <w:szCs w:val="24"/>
        </w:rPr>
      </w:pPr>
      <w:r w:rsidRPr="00AC43AB">
        <w:rPr>
          <w:rFonts w:ascii="宋体" w:eastAsia="宋体" w:hAnsi="宋体" w:hint="eastAsia"/>
          <w:sz w:val="24"/>
          <w:szCs w:val="24"/>
        </w:rPr>
        <w:t>公司将在保证长期可持续发展的基础上重视对投资者的分红回报，建立科学、持续、稳定的投资者分红回报规划和机制。公司未来三年（</w:t>
      </w:r>
      <w:r w:rsidR="00FA4C5F" w:rsidRPr="00AC43AB">
        <w:rPr>
          <w:rFonts w:ascii="宋体" w:eastAsia="宋体" w:hAnsi="宋体" w:hint="eastAsia"/>
          <w:sz w:val="24"/>
          <w:szCs w:val="24"/>
        </w:rPr>
        <w:t>202</w:t>
      </w:r>
      <w:r w:rsidR="00FA4C5F">
        <w:rPr>
          <w:rFonts w:ascii="宋体" w:eastAsia="宋体" w:hAnsi="宋体"/>
          <w:sz w:val="24"/>
          <w:szCs w:val="24"/>
        </w:rPr>
        <w:t>1</w:t>
      </w:r>
      <w:r w:rsidRPr="00AC43AB">
        <w:rPr>
          <w:rFonts w:ascii="宋体" w:eastAsia="宋体" w:hAnsi="宋体" w:hint="eastAsia"/>
          <w:sz w:val="24"/>
          <w:szCs w:val="24"/>
        </w:rPr>
        <w:t>年-</w:t>
      </w:r>
      <w:r w:rsidR="00FA4C5F" w:rsidRPr="00AC43AB">
        <w:rPr>
          <w:rFonts w:ascii="宋体" w:eastAsia="宋体" w:hAnsi="宋体" w:hint="eastAsia"/>
          <w:sz w:val="24"/>
          <w:szCs w:val="24"/>
        </w:rPr>
        <w:t>202</w:t>
      </w:r>
      <w:r w:rsidR="00FA4C5F">
        <w:rPr>
          <w:rFonts w:ascii="宋体" w:eastAsia="宋体" w:hAnsi="宋体"/>
          <w:sz w:val="24"/>
          <w:szCs w:val="24"/>
        </w:rPr>
        <w:t>3</w:t>
      </w:r>
      <w:r w:rsidRPr="00AC43AB">
        <w:rPr>
          <w:rFonts w:ascii="宋体" w:eastAsia="宋体" w:hAnsi="宋体" w:hint="eastAsia"/>
          <w:sz w:val="24"/>
          <w:szCs w:val="24"/>
        </w:rPr>
        <w:t>年）股东回报规划将充分考虑和听取独立董事、股东特别是中小股东的要求和意愿，公司分配股利时</w:t>
      </w:r>
      <w:r w:rsidR="00522934" w:rsidRPr="00522934">
        <w:rPr>
          <w:rFonts w:ascii="宋体" w:eastAsia="宋体" w:hAnsi="宋体" w:hint="eastAsia"/>
          <w:sz w:val="24"/>
          <w:szCs w:val="24"/>
        </w:rPr>
        <w:t>将采取现金、股票或者现金股票相结合等方式</w:t>
      </w:r>
      <w:r w:rsidRPr="00AC43AB">
        <w:rPr>
          <w:rFonts w:ascii="宋体" w:eastAsia="宋体" w:hAnsi="宋体" w:hint="eastAsia"/>
          <w:sz w:val="24"/>
          <w:szCs w:val="24"/>
        </w:rPr>
        <w:t>，</w:t>
      </w:r>
      <w:r w:rsidR="00522934">
        <w:rPr>
          <w:rFonts w:ascii="宋体" w:eastAsia="宋体" w:hAnsi="宋体" w:hint="eastAsia"/>
          <w:sz w:val="24"/>
          <w:szCs w:val="24"/>
        </w:rPr>
        <w:t>并</w:t>
      </w:r>
      <w:r w:rsidRPr="00AC43AB">
        <w:rPr>
          <w:rFonts w:ascii="宋体" w:eastAsia="宋体" w:hAnsi="宋体" w:hint="eastAsia"/>
          <w:sz w:val="24"/>
          <w:szCs w:val="24"/>
        </w:rPr>
        <w:t>优先采用现金分</w:t>
      </w:r>
      <w:r w:rsidRPr="00AC43AB">
        <w:rPr>
          <w:rFonts w:ascii="宋体" w:eastAsia="宋体" w:hAnsi="宋体" w:hint="eastAsia"/>
          <w:sz w:val="24"/>
          <w:szCs w:val="24"/>
        </w:rPr>
        <w:lastRenderedPageBreak/>
        <w:t>红的方式。</w:t>
      </w:r>
    </w:p>
    <w:p w14:paraId="61B7674F" w14:textId="531448DA" w:rsidR="00FA4C5F" w:rsidRDefault="00FA4C5F" w:rsidP="006D652B">
      <w:pPr>
        <w:spacing w:line="360" w:lineRule="auto"/>
        <w:ind w:firstLineChars="200" w:firstLine="482"/>
        <w:rPr>
          <w:rFonts w:asciiTheme="minorEastAsia" w:hAnsiTheme="minorEastAsia" w:cs="Times New Roman"/>
          <w:sz w:val="24"/>
          <w:szCs w:val="24"/>
        </w:rPr>
      </w:pPr>
      <w:r>
        <w:rPr>
          <w:rFonts w:ascii="Times New Roman" w:eastAsia="宋体" w:hAnsi="Times New Roman" w:cs="Times New Roman" w:hint="eastAsia"/>
          <w:b/>
          <w:sz w:val="24"/>
          <w:szCs w:val="24"/>
        </w:rPr>
        <w:t>三</w:t>
      </w:r>
      <w:r w:rsidRPr="00B81954">
        <w:rPr>
          <w:rFonts w:ascii="Times New Roman" w:eastAsia="宋体" w:hAnsi="Times New Roman" w:cs="Times New Roman"/>
          <w:b/>
          <w:sz w:val="24"/>
          <w:szCs w:val="24"/>
        </w:rPr>
        <w:t>、</w:t>
      </w:r>
      <w:r w:rsidRPr="00FA4C5F">
        <w:rPr>
          <w:rFonts w:ascii="Times New Roman" w:eastAsia="宋体" w:hAnsi="Times New Roman" w:cs="Times New Roman" w:hint="eastAsia"/>
          <w:b/>
          <w:sz w:val="24"/>
          <w:szCs w:val="24"/>
        </w:rPr>
        <w:t>公司未来三年（</w:t>
      </w:r>
      <w:r w:rsidR="005337B9" w:rsidRPr="00FA4C5F">
        <w:rPr>
          <w:rFonts w:ascii="Times New Roman" w:eastAsia="宋体" w:hAnsi="Times New Roman" w:cs="Times New Roman" w:hint="eastAsia"/>
          <w:b/>
          <w:sz w:val="24"/>
          <w:szCs w:val="24"/>
        </w:rPr>
        <w:t>202</w:t>
      </w:r>
      <w:r w:rsidR="005337B9">
        <w:rPr>
          <w:rFonts w:ascii="Times New Roman" w:eastAsia="宋体" w:hAnsi="Times New Roman" w:cs="Times New Roman"/>
          <w:b/>
          <w:sz w:val="24"/>
          <w:szCs w:val="24"/>
        </w:rPr>
        <w:t>1</w:t>
      </w:r>
      <w:r w:rsidRPr="00FA4C5F">
        <w:rPr>
          <w:rFonts w:ascii="Times New Roman" w:eastAsia="宋体" w:hAnsi="Times New Roman" w:cs="Times New Roman" w:hint="eastAsia"/>
          <w:b/>
          <w:sz w:val="24"/>
          <w:szCs w:val="24"/>
        </w:rPr>
        <w:t>年</w:t>
      </w:r>
      <w:r w:rsidRPr="00FA4C5F">
        <w:rPr>
          <w:rFonts w:ascii="Times New Roman" w:eastAsia="宋体" w:hAnsi="Times New Roman" w:cs="Times New Roman" w:hint="eastAsia"/>
          <w:b/>
          <w:sz w:val="24"/>
          <w:szCs w:val="24"/>
        </w:rPr>
        <w:t>-</w:t>
      </w:r>
      <w:r w:rsidR="005337B9" w:rsidRPr="00FA4C5F">
        <w:rPr>
          <w:rFonts w:ascii="Times New Roman" w:eastAsia="宋体" w:hAnsi="Times New Roman" w:cs="Times New Roman" w:hint="eastAsia"/>
          <w:b/>
          <w:sz w:val="24"/>
          <w:szCs w:val="24"/>
        </w:rPr>
        <w:t>202</w:t>
      </w:r>
      <w:r w:rsidR="005337B9">
        <w:rPr>
          <w:rFonts w:ascii="Times New Roman" w:eastAsia="宋体" w:hAnsi="Times New Roman" w:cs="Times New Roman"/>
          <w:b/>
          <w:sz w:val="24"/>
          <w:szCs w:val="24"/>
        </w:rPr>
        <w:t>3</w:t>
      </w:r>
      <w:r w:rsidRPr="00FA4C5F">
        <w:rPr>
          <w:rFonts w:ascii="Times New Roman" w:eastAsia="宋体" w:hAnsi="Times New Roman" w:cs="Times New Roman" w:hint="eastAsia"/>
          <w:b/>
          <w:sz w:val="24"/>
          <w:szCs w:val="24"/>
        </w:rPr>
        <w:t>年）具体股东回报规划</w:t>
      </w:r>
    </w:p>
    <w:p w14:paraId="540323B4" w14:textId="77777777" w:rsidR="00FA4C5F" w:rsidRPr="00FA4C5F" w:rsidRDefault="00522934" w:rsidP="00FA4C5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sidR="00FA4C5F" w:rsidRPr="00FA4C5F">
        <w:rPr>
          <w:rFonts w:asciiTheme="minorEastAsia" w:hAnsiTheme="minorEastAsia" w:cs="Times New Roman" w:hint="eastAsia"/>
          <w:sz w:val="24"/>
          <w:szCs w:val="24"/>
        </w:rPr>
        <w:t>利润分配形式</w:t>
      </w:r>
    </w:p>
    <w:p w14:paraId="177DA0B6" w14:textId="77777777" w:rsidR="00FA4C5F" w:rsidRPr="00FA4C5F" w:rsidRDefault="00FA4C5F" w:rsidP="00FA4C5F">
      <w:pPr>
        <w:spacing w:line="360" w:lineRule="auto"/>
        <w:ind w:firstLineChars="200" w:firstLine="480"/>
        <w:rPr>
          <w:rFonts w:asciiTheme="minorEastAsia" w:hAnsiTheme="minorEastAsia" w:cs="Times New Roman"/>
          <w:sz w:val="24"/>
          <w:szCs w:val="24"/>
        </w:rPr>
      </w:pPr>
      <w:r w:rsidRPr="00FA4C5F">
        <w:rPr>
          <w:rFonts w:asciiTheme="minorEastAsia" w:hAnsiTheme="minorEastAsia" w:cs="Times New Roman" w:hint="eastAsia"/>
          <w:sz w:val="24"/>
          <w:szCs w:val="24"/>
        </w:rPr>
        <w:t>公司采取现金、股票或者现金股票相结合</w:t>
      </w:r>
      <w:r w:rsidR="00522934" w:rsidRPr="00522934">
        <w:rPr>
          <w:rFonts w:asciiTheme="minorEastAsia" w:hAnsiTheme="minorEastAsia" w:cs="Times New Roman" w:hint="eastAsia"/>
          <w:sz w:val="24"/>
          <w:szCs w:val="24"/>
        </w:rPr>
        <w:t>等法律法规所许可的方式</w:t>
      </w:r>
      <w:r w:rsidRPr="00FA4C5F">
        <w:rPr>
          <w:rFonts w:asciiTheme="minorEastAsia" w:hAnsiTheme="minorEastAsia" w:cs="Times New Roman" w:hint="eastAsia"/>
          <w:sz w:val="24"/>
          <w:szCs w:val="24"/>
        </w:rPr>
        <w:t>分配利润，并优先考虑采取现金方式分配利润</w:t>
      </w:r>
      <w:r w:rsidR="00522934">
        <w:rPr>
          <w:rFonts w:asciiTheme="minorEastAsia" w:hAnsiTheme="minorEastAsia" w:cs="Times New Roman" w:hint="eastAsia"/>
          <w:sz w:val="24"/>
          <w:szCs w:val="24"/>
        </w:rPr>
        <w:t>，</w:t>
      </w:r>
      <w:r w:rsidR="00522934" w:rsidRPr="00522934">
        <w:rPr>
          <w:rFonts w:asciiTheme="minorEastAsia" w:hAnsiTheme="minorEastAsia" w:cs="Times New Roman" w:hint="eastAsia"/>
          <w:sz w:val="24"/>
          <w:szCs w:val="24"/>
        </w:rPr>
        <w:t>但利润分配不得超过累计可分配利润的范围，不得损害公司持续经营能力</w:t>
      </w:r>
      <w:r w:rsidRPr="00FA4C5F">
        <w:rPr>
          <w:rFonts w:asciiTheme="minorEastAsia" w:hAnsiTheme="minorEastAsia" w:cs="Times New Roman" w:hint="eastAsia"/>
          <w:sz w:val="24"/>
          <w:szCs w:val="24"/>
        </w:rPr>
        <w:t>。</w:t>
      </w:r>
    </w:p>
    <w:p w14:paraId="498B244F" w14:textId="77777777" w:rsidR="009C3124" w:rsidRDefault="00522934" w:rsidP="00FA4C5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sidR="009C3124">
        <w:rPr>
          <w:rFonts w:asciiTheme="minorEastAsia" w:hAnsiTheme="minorEastAsia" w:cs="Times New Roman" w:hint="eastAsia"/>
          <w:sz w:val="24"/>
          <w:szCs w:val="24"/>
        </w:rPr>
        <w:t>利润分配间隔</w:t>
      </w:r>
    </w:p>
    <w:p w14:paraId="79FCBB65" w14:textId="77777777" w:rsidR="009C3124" w:rsidRDefault="009C3124" w:rsidP="00FA4C5F">
      <w:pPr>
        <w:spacing w:line="360" w:lineRule="auto"/>
        <w:ind w:firstLineChars="200" w:firstLine="480"/>
        <w:rPr>
          <w:rFonts w:asciiTheme="minorEastAsia" w:hAnsiTheme="minorEastAsia" w:cs="Times New Roman"/>
          <w:sz w:val="24"/>
          <w:szCs w:val="24"/>
        </w:rPr>
      </w:pPr>
      <w:r w:rsidRPr="009C3124">
        <w:rPr>
          <w:rFonts w:asciiTheme="minorEastAsia" w:hAnsiTheme="minorEastAsia" w:cs="Times New Roman" w:hint="eastAsia"/>
          <w:sz w:val="24"/>
          <w:szCs w:val="24"/>
        </w:rPr>
        <w:t>公司在符合利润分配的条件下，应当每年度进行年度利润分配。在满足现金分红条件情况下，公司力争达成每年度进行一次现金分红，董事会可以根据公司盈利情况及资金需求状况提议公司进行中期现金分红。</w:t>
      </w:r>
    </w:p>
    <w:p w14:paraId="6FAE0394" w14:textId="77777777" w:rsidR="009C3124" w:rsidRDefault="009C3124" w:rsidP="00FA4C5F">
      <w:pPr>
        <w:spacing w:line="360" w:lineRule="auto"/>
        <w:ind w:firstLineChars="200" w:firstLine="480"/>
        <w:rPr>
          <w:rFonts w:asciiTheme="minorEastAsia" w:hAnsiTheme="minorEastAsia" w:cs="Times New Roman"/>
          <w:sz w:val="24"/>
          <w:szCs w:val="24"/>
        </w:rPr>
      </w:pPr>
      <w:r w:rsidRPr="009C3124">
        <w:rPr>
          <w:rFonts w:asciiTheme="minorEastAsia" w:hAnsiTheme="minorEastAsia" w:cs="Times New Roman" w:hint="eastAsia"/>
          <w:sz w:val="24"/>
          <w:szCs w:val="24"/>
        </w:rPr>
        <w:t>3</w:t>
      </w:r>
      <w:r>
        <w:rPr>
          <w:rFonts w:asciiTheme="minorEastAsia" w:hAnsiTheme="minorEastAsia" w:cs="Times New Roman" w:hint="eastAsia"/>
          <w:sz w:val="24"/>
          <w:szCs w:val="24"/>
        </w:rPr>
        <w:t>、</w:t>
      </w:r>
      <w:r w:rsidRPr="009C3124">
        <w:rPr>
          <w:rFonts w:asciiTheme="minorEastAsia" w:hAnsiTheme="minorEastAsia" w:cs="Times New Roman" w:hint="eastAsia"/>
          <w:sz w:val="24"/>
          <w:szCs w:val="24"/>
        </w:rPr>
        <w:t>现金分红比例及条件</w:t>
      </w:r>
    </w:p>
    <w:p w14:paraId="01CC4892" w14:textId="77777777" w:rsidR="009C3124" w:rsidRDefault="009C3124" w:rsidP="00FA4C5F">
      <w:pPr>
        <w:spacing w:line="360" w:lineRule="auto"/>
        <w:ind w:firstLineChars="200" w:firstLine="480"/>
        <w:rPr>
          <w:rFonts w:asciiTheme="minorEastAsia" w:hAnsiTheme="minorEastAsia" w:cs="Times New Roman"/>
          <w:sz w:val="24"/>
          <w:szCs w:val="24"/>
        </w:rPr>
      </w:pPr>
      <w:r w:rsidRPr="009C3124">
        <w:rPr>
          <w:rFonts w:asciiTheme="minorEastAsia" w:hAnsiTheme="minorEastAsia" w:cs="Times New Roman" w:hint="eastAsia"/>
          <w:sz w:val="24"/>
          <w:szCs w:val="24"/>
        </w:rPr>
        <w:t>在当年实现的净利润为正数且当年末累计未分配利润为正数的情况下，公司应当进行现金分红，每年以现金方式分配的利润应不低于当年实现的可分配利润的10%，且最近三年以现金方式累计分配的利润不少于该三年实现的年均可分配利润的30%。</w:t>
      </w:r>
    </w:p>
    <w:p w14:paraId="1508A9A3" w14:textId="77777777" w:rsidR="0047106D" w:rsidRDefault="0047106D" w:rsidP="00FA4C5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sidRPr="0047106D">
        <w:rPr>
          <w:rFonts w:asciiTheme="minorEastAsia" w:hAnsiTheme="minorEastAsia" w:cs="Times New Roman" w:hint="eastAsia"/>
          <w:sz w:val="24"/>
          <w:szCs w:val="24"/>
        </w:rPr>
        <w:t>股票股利分配条件</w:t>
      </w:r>
    </w:p>
    <w:p w14:paraId="08608639" w14:textId="77777777" w:rsidR="0047106D" w:rsidRDefault="0047106D" w:rsidP="00FA4C5F">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公司可以根据累计可供分配利润、公积金及现金流状况，在保证最低现金分红比例和公司股本规模合理的前提下，采用股票股利方式进行利润分配。</w:t>
      </w:r>
    </w:p>
    <w:p w14:paraId="7A09DF11" w14:textId="77777777" w:rsidR="0047106D" w:rsidRDefault="0047106D" w:rsidP="00FA4C5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5、差异化分红政策</w:t>
      </w:r>
    </w:p>
    <w:p w14:paraId="67BF8F60" w14:textId="77777777" w:rsidR="0047106D" w:rsidRP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公司董事会应当综合考虑公司行业特点、发展阶段、自身经营模式、盈利水平以及是否有重大资金支出安排等因素，区分下列情形，并按照公司章程规定的程序，提出差异化的现金分红政策：</w:t>
      </w:r>
    </w:p>
    <w:p w14:paraId="3AEC4DFC" w14:textId="77777777" w:rsidR="0047106D" w:rsidRP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（1）公司发展阶段属于成熟期且无重大资金支出安排的，进行利润分配时，现金分红在本次利润分配中所占比例最低应达到80%；</w:t>
      </w:r>
    </w:p>
    <w:p w14:paraId="16789CE8" w14:textId="77777777" w:rsidR="0047106D" w:rsidRP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（2）公司发展阶段属于成熟期且有重大资金支出安排的，进行利润分配时，现金分红在本次利润分配中所占比例最低应达到40%；</w:t>
      </w:r>
    </w:p>
    <w:p w14:paraId="2C283A63" w14:textId="77777777" w:rsidR="0047106D" w:rsidRPr="0047106D" w:rsidRDefault="0047106D" w:rsidP="00C16676">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（3）公司发展阶段属于成长期且有重大资金支出安排的，进行利润分配时，现金分红在本次利润分配中所占比例最低应达到20%；</w:t>
      </w:r>
    </w:p>
    <w:p w14:paraId="1E54B418" w14:textId="18D1E825" w:rsid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公司发展阶段不易区分但有重大资金支出安排时，可以按照前项规定处理。</w:t>
      </w:r>
    </w:p>
    <w:p w14:paraId="328DC52D" w14:textId="77777777" w:rsidR="0047106D" w:rsidRPr="0020104D" w:rsidRDefault="0047106D" w:rsidP="0020104D">
      <w:pPr>
        <w:spacing w:line="360" w:lineRule="auto"/>
        <w:ind w:firstLineChars="200" w:firstLine="482"/>
        <w:rPr>
          <w:rFonts w:ascii="Times New Roman" w:eastAsia="宋体" w:hAnsi="Times New Roman" w:cs="Times New Roman"/>
          <w:b/>
          <w:sz w:val="24"/>
          <w:szCs w:val="24"/>
        </w:rPr>
      </w:pPr>
      <w:r w:rsidRPr="0020104D">
        <w:rPr>
          <w:rFonts w:ascii="Times New Roman" w:eastAsia="宋体" w:hAnsi="Times New Roman" w:cs="Times New Roman" w:hint="eastAsia"/>
          <w:b/>
          <w:sz w:val="24"/>
          <w:szCs w:val="24"/>
        </w:rPr>
        <w:lastRenderedPageBreak/>
        <w:t>四、股东回报规划的决策机制</w:t>
      </w:r>
    </w:p>
    <w:p w14:paraId="03D21BA1" w14:textId="77777777" w:rsidR="0047106D" w:rsidRP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公司每年利润分配预案由公司管理层、董事会结合《公司章程》的规定、盈利情况、资金需求和股东回报规划提出、拟定，经董事会审议通过后提交股东大会批准。独立董事应对利润分配预案独立发表意见并公开披露。</w:t>
      </w:r>
    </w:p>
    <w:p w14:paraId="2E7A9F85" w14:textId="77777777" w:rsidR="0047106D" w:rsidRP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董事会审议现金分红具体方案时，应当认真研究和论证公司现金分红的时机、条件和最低比例、调整的条件及其决策程序要求等事宜，独立董事应当在会议上发表明确意见。董事会在决策和形成利润分配预案时，要详细记录管理层建议、参会董事的发言要点、独立董事意见、董事会投票表决情况等内容，并形成书面记录作为公司档案妥善保存。</w:t>
      </w:r>
    </w:p>
    <w:p w14:paraId="3146755A" w14:textId="77777777" w:rsidR="0047106D" w:rsidRP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股东大会对现金分红具体方案进行审议时，应当通过多种渠道主动与股东特别是中小股东进行沟通和交流，充分听取中小股东的意见和诉求，并及时答复中小股东关心的问题。</w:t>
      </w:r>
    </w:p>
    <w:p w14:paraId="7710D4D5" w14:textId="77777777" w:rsidR="0047106D" w:rsidRPr="0047106D"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公司股东大会对利润分配方案作出决议后,公司董事会须在股东大会召开后2个月内完成股利（或股份）的派发事项。</w:t>
      </w:r>
    </w:p>
    <w:p w14:paraId="5BC1F919" w14:textId="77777777" w:rsidR="0047106D" w:rsidRPr="009C3124" w:rsidRDefault="0047106D" w:rsidP="0047106D">
      <w:pPr>
        <w:spacing w:line="360" w:lineRule="auto"/>
        <w:ind w:firstLineChars="200" w:firstLine="480"/>
        <w:rPr>
          <w:rFonts w:asciiTheme="minorEastAsia" w:hAnsiTheme="minorEastAsia" w:cs="Times New Roman"/>
          <w:sz w:val="24"/>
          <w:szCs w:val="24"/>
        </w:rPr>
      </w:pPr>
      <w:r w:rsidRPr="0047106D">
        <w:rPr>
          <w:rFonts w:asciiTheme="minorEastAsia" w:hAnsiTheme="minorEastAsia" w:cs="Times New Roman" w:hint="eastAsia"/>
          <w:sz w:val="24"/>
          <w:szCs w:val="24"/>
        </w:rPr>
        <w:t>监事会应对董事会和管理层执行公司利润分配政策和股东回报规划的情况及决策程序进行监督</w:t>
      </w:r>
      <w:r w:rsidR="005A73D6">
        <w:rPr>
          <w:rFonts w:asciiTheme="minorEastAsia" w:hAnsiTheme="minorEastAsia" w:cs="Times New Roman" w:hint="eastAsia"/>
          <w:sz w:val="24"/>
          <w:szCs w:val="24"/>
        </w:rPr>
        <w:t>。</w:t>
      </w:r>
    </w:p>
    <w:p w14:paraId="3B7E0887" w14:textId="77777777" w:rsidR="005A73D6" w:rsidRDefault="005A73D6" w:rsidP="000B0077">
      <w:pPr>
        <w:spacing w:line="360" w:lineRule="auto"/>
        <w:ind w:firstLineChars="200" w:firstLine="482"/>
        <w:rPr>
          <w:rFonts w:asciiTheme="minorEastAsia" w:hAnsiTheme="minorEastAsia" w:cs="Times New Roman"/>
          <w:sz w:val="24"/>
          <w:szCs w:val="24"/>
        </w:rPr>
      </w:pPr>
      <w:r w:rsidRPr="000B0077">
        <w:rPr>
          <w:rFonts w:ascii="Times New Roman" w:eastAsia="宋体" w:hAnsi="Times New Roman" w:cs="Times New Roman" w:hint="eastAsia"/>
          <w:b/>
          <w:sz w:val="24"/>
          <w:szCs w:val="24"/>
        </w:rPr>
        <w:t>五、股东回报规划的制定周期和调整机制</w:t>
      </w:r>
    </w:p>
    <w:p w14:paraId="6D19F1B7" w14:textId="77777777" w:rsidR="005A73D6" w:rsidRPr="005A73D6" w:rsidRDefault="005A73D6" w:rsidP="005A73D6">
      <w:pPr>
        <w:spacing w:line="360" w:lineRule="auto"/>
        <w:ind w:firstLineChars="200" w:firstLine="480"/>
        <w:rPr>
          <w:rFonts w:asciiTheme="minorEastAsia" w:hAnsiTheme="minorEastAsia" w:cs="Times New Roman"/>
          <w:sz w:val="24"/>
          <w:szCs w:val="24"/>
        </w:rPr>
      </w:pPr>
      <w:r w:rsidRPr="005A73D6">
        <w:rPr>
          <w:rFonts w:asciiTheme="minorEastAsia" w:hAnsiTheme="minorEastAsia" w:cs="Times New Roman" w:hint="eastAsia"/>
          <w:sz w:val="24"/>
          <w:szCs w:val="24"/>
        </w:rPr>
        <w:t>公司应以三年为一个周期，综合考虑本行业特点、公司战略发展目标、发展所处阶段、实际经营情况、目前及未来盈利能力、现金流量状况、外部融资环境及股东回报等重要因素，制定股东回报规划。</w:t>
      </w:r>
    </w:p>
    <w:p w14:paraId="175AEF0C" w14:textId="7755B931" w:rsidR="005A73D6" w:rsidRPr="005A73D6" w:rsidRDefault="005A73D6" w:rsidP="005A73D6">
      <w:pPr>
        <w:spacing w:line="360" w:lineRule="auto"/>
        <w:ind w:firstLineChars="200" w:firstLine="480"/>
        <w:rPr>
          <w:rFonts w:asciiTheme="minorEastAsia" w:hAnsiTheme="minorEastAsia" w:cs="Times New Roman"/>
          <w:sz w:val="24"/>
          <w:szCs w:val="24"/>
        </w:rPr>
      </w:pPr>
      <w:r w:rsidRPr="005A73D6">
        <w:rPr>
          <w:rFonts w:asciiTheme="minorEastAsia" w:hAnsiTheme="minorEastAsia" w:cs="Times New Roman" w:hint="eastAsia"/>
          <w:sz w:val="24"/>
          <w:szCs w:val="24"/>
        </w:rPr>
        <w:t>公司根据生产经营情况、投资规划和长期发展的需要以及外部经营环境，确需调整利润分配政策的，调整后的利润分配政策不得违反中国证监会和证券交易所的有关规定。有关调整利润分配政策的议案由董事会拟定，独立董事及监事会应当对利润分配政策调整发表独立意见，调整利润分配政策的议案经董事会审议通过后提交股东大会审议，并经出席股东大会的股东所持表决权的2/3以上通过。</w:t>
      </w:r>
    </w:p>
    <w:p w14:paraId="169152B0" w14:textId="77777777" w:rsidR="005A73D6" w:rsidRDefault="005A73D6" w:rsidP="000B0077">
      <w:pPr>
        <w:spacing w:line="360" w:lineRule="auto"/>
        <w:ind w:firstLineChars="200" w:firstLine="482"/>
        <w:rPr>
          <w:rFonts w:asciiTheme="minorEastAsia" w:hAnsiTheme="minorEastAsia" w:cs="Times New Roman"/>
          <w:sz w:val="24"/>
          <w:szCs w:val="24"/>
        </w:rPr>
      </w:pPr>
      <w:r w:rsidRPr="000B0077">
        <w:rPr>
          <w:rFonts w:ascii="Times New Roman" w:eastAsia="宋体" w:hAnsi="Times New Roman" w:cs="Times New Roman" w:hint="eastAsia"/>
          <w:b/>
          <w:sz w:val="24"/>
          <w:szCs w:val="24"/>
        </w:rPr>
        <w:t>六、股东回报规划的生效</w:t>
      </w:r>
    </w:p>
    <w:p w14:paraId="601DEDAC" w14:textId="77777777" w:rsidR="005A73D6" w:rsidRDefault="005A73D6" w:rsidP="00FA4C5F">
      <w:pPr>
        <w:spacing w:line="360" w:lineRule="auto"/>
        <w:ind w:firstLineChars="200" w:firstLine="480"/>
        <w:rPr>
          <w:rFonts w:asciiTheme="minorEastAsia" w:hAnsiTheme="minorEastAsia" w:cs="Times New Roman"/>
          <w:sz w:val="24"/>
          <w:szCs w:val="24"/>
        </w:rPr>
      </w:pPr>
      <w:r w:rsidRPr="005A73D6">
        <w:rPr>
          <w:rFonts w:asciiTheme="minorEastAsia" w:hAnsiTheme="minorEastAsia" w:cs="Times New Roman" w:hint="eastAsia"/>
          <w:sz w:val="24"/>
          <w:szCs w:val="24"/>
        </w:rPr>
        <w:t>本规划的未尽事宜，依照相关法律、行政法规、行政规章、规范性文件和《公司章程》的规定执行。</w:t>
      </w:r>
    </w:p>
    <w:p w14:paraId="7733C11D" w14:textId="77777777" w:rsidR="00FA4C5F" w:rsidRDefault="005A73D6" w:rsidP="00FA4C5F">
      <w:pPr>
        <w:spacing w:line="360" w:lineRule="auto"/>
        <w:ind w:firstLineChars="200" w:firstLine="480"/>
        <w:rPr>
          <w:rFonts w:ascii="Times New Roman" w:hAnsi="Times New Roman" w:cs="Times New Roman"/>
          <w:sz w:val="24"/>
          <w:szCs w:val="24"/>
        </w:rPr>
      </w:pPr>
      <w:r w:rsidRPr="005A73D6">
        <w:rPr>
          <w:rFonts w:asciiTheme="minorEastAsia" w:hAnsiTheme="minorEastAsia" w:cs="Times New Roman" w:hint="eastAsia"/>
          <w:sz w:val="24"/>
          <w:szCs w:val="24"/>
        </w:rPr>
        <w:t>本规划由董事会负责解释，自股东大会审议通过后生效、实施。</w:t>
      </w:r>
    </w:p>
    <w:p w14:paraId="17846961" w14:textId="77777777" w:rsidR="006D652B" w:rsidRPr="000E1DDF" w:rsidRDefault="006D652B" w:rsidP="006D652B">
      <w:pPr>
        <w:spacing w:line="360" w:lineRule="auto"/>
        <w:ind w:firstLineChars="200" w:firstLine="480"/>
        <w:rPr>
          <w:rFonts w:ascii="Times New Roman" w:hAnsi="Times New Roman" w:cs="Times New Roman"/>
          <w:sz w:val="24"/>
          <w:szCs w:val="24"/>
        </w:rPr>
      </w:pPr>
    </w:p>
    <w:p w14:paraId="4DCB5AD2" w14:textId="77777777" w:rsidR="006D652B" w:rsidRPr="000E1DDF" w:rsidRDefault="006D652B" w:rsidP="00B5158C">
      <w:pPr>
        <w:spacing w:line="360" w:lineRule="auto"/>
        <w:ind w:firstLineChars="200" w:firstLine="480"/>
        <w:rPr>
          <w:rFonts w:ascii="Times New Roman" w:eastAsia="宋体" w:hAnsi="Times New Roman" w:cs="Times New Roman"/>
          <w:sz w:val="24"/>
          <w:szCs w:val="24"/>
        </w:rPr>
      </w:pPr>
    </w:p>
    <w:p w14:paraId="0D68070E" w14:textId="77777777" w:rsidR="00405DCB" w:rsidRPr="00B81954" w:rsidRDefault="00405DCB" w:rsidP="00405DCB">
      <w:pPr>
        <w:spacing w:line="360" w:lineRule="auto"/>
        <w:ind w:firstLineChars="200" w:firstLine="480"/>
        <w:rPr>
          <w:rFonts w:ascii="Times New Roman" w:eastAsia="宋体" w:hAnsi="Times New Roman" w:cs="Times New Roman"/>
          <w:sz w:val="24"/>
          <w:szCs w:val="24"/>
        </w:rPr>
      </w:pPr>
      <w:r w:rsidRPr="00B81954">
        <w:rPr>
          <w:rFonts w:ascii="Times New Roman" w:eastAsia="宋体" w:hAnsi="Times New Roman" w:cs="Times New Roman"/>
          <w:sz w:val="24"/>
          <w:szCs w:val="24"/>
        </w:rPr>
        <w:t>特此公告。</w:t>
      </w:r>
    </w:p>
    <w:p w14:paraId="6AE3529D" w14:textId="77777777" w:rsidR="00405DCB" w:rsidRPr="00B81954" w:rsidRDefault="00405DCB" w:rsidP="004A238F">
      <w:pPr>
        <w:spacing w:line="360" w:lineRule="auto"/>
        <w:ind w:firstLineChars="200" w:firstLine="480"/>
        <w:rPr>
          <w:rFonts w:ascii="Times New Roman" w:eastAsia="宋体" w:hAnsi="Times New Roman" w:cs="Times New Roman"/>
          <w:sz w:val="24"/>
          <w:szCs w:val="24"/>
        </w:rPr>
      </w:pPr>
    </w:p>
    <w:p w14:paraId="2DE54985" w14:textId="77777777" w:rsidR="00207243" w:rsidRPr="00B81954" w:rsidRDefault="00207243" w:rsidP="004A238F">
      <w:pPr>
        <w:spacing w:line="360" w:lineRule="auto"/>
        <w:ind w:firstLineChars="200" w:firstLine="480"/>
        <w:rPr>
          <w:rFonts w:ascii="Times New Roman" w:eastAsia="宋体" w:hAnsi="Times New Roman" w:cs="Times New Roman"/>
          <w:sz w:val="24"/>
          <w:szCs w:val="24"/>
        </w:rPr>
      </w:pPr>
    </w:p>
    <w:p w14:paraId="50425027" w14:textId="77777777" w:rsidR="005536C9" w:rsidRPr="003B3D5F" w:rsidRDefault="005536C9" w:rsidP="005536C9">
      <w:pPr>
        <w:spacing w:line="360" w:lineRule="auto"/>
        <w:ind w:firstLineChars="200" w:firstLine="480"/>
        <w:jc w:val="right"/>
        <w:rPr>
          <w:rFonts w:ascii="Times New Roman" w:eastAsia="宋体" w:hAnsi="Times New Roman" w:cs="Times New Roman"/>
          <w:sz w:val="24"/>
          <w:szCs w:val="24"/>
        </w:rPr>
      </w:pPr>
      <w:r w:rsidRPr="003B3D5F">
        <w:rPr>
          <w:rFonts w:ascii="Times New Roman" w:eastAsia="宋体" w:hAnsi="Times New Roman" w:cs="Times New Roman"/>
          <w:sz w:val="24"/>
          <w:szCs w:val="24"/>
        </w:rPr>
        <w:t>华孚</w:t>
      </w:r>
      <w:r w:rsidR="00D33361" w:rsidRPr="003B3D5F">
        <w:rPr>
          <w:rFonts w:ascii="Times New Roman" w:eastAsia="宋体" w:hAnsi="Times New Roman" w:cs="Times New Roman" w:hint="eastAsia"/>
          <w:sz w:val="24"/>
          <w:szCs w:val="24"/>
        </w:rPr>
        <w:t>时尚</w:t>
      </w:r>
      <w:r w:rsidRPr="003B3D5F">
        <w:rPr>
          <w:rFonts w:ascii="Times New Roman" w:eastAsia="宋体" w:hAnsi="Times New Roman" w:cs="Times New Roman"/>
          <w:sz w:val="24"/>
          <w:szCs w:val="24"/>
        </w:rPr>
        <w:t>股份有限公司董事会</w:t>
      </w:r>
    </w:p>
    <w:p w14:paraId="1B09C408" w14:textId="3BCB7266" w:rsidR="004A238F" w:rsidRPr="00B81954" w:rsidRDefault="009404EF" w:rsidP="004F446D">
      <w:pPr>
        <w:wordWrap w:val="0"/>
        <w:spacing w:line="360" w:lineRule="auto"/>
        <w:ind w:right="120" w:firstLineChars="200" w:firstLine="48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二〇二〇</w:t>
      </w:r>
      <w:r w:rsidR="001769CF" w:rsidRPr="003B3D5F">
        <w:rPr>
          <w:rFonts w:ascii="Times New Roman" w:eastAsia="宋体" w:hAnsi="Times New Roman" w:cs="Times New Roman"/>
          <w:sz w:val="24"/>
          <w:szCs w:val="24"/>
        </w:rPr>
        <w:t>年</w:t>
      </w:r>
      <w:r>
        <w:rPr>
          <w:rFonts w:ascii="Times New Roman" w:eastAsia="宋体" w:hAnsi="Times New Roman" w:cs="Times New Roman" w:hint="eastAsia"/>
          <w:sz w:val="24"/>
          <w:szCs w:val="24"/>
        </w:rPr>
        <w:t>六</w:t>
      </w:r>
      <w:r w:rsidR="001F43B8" w:rsidRPr="003B3D5F">
        <w:rPr>
          <w:rFonts w:ascii="Times New Roman" w:eastAsia="宋体" w:hAnsi="Times New Roman" w:cs="Times New Roman"/>
          <w:sz w:val="24"/>
          <w:szCs w:val="24"/>
        </w:rPr>
        <w:t>月</w:t>
      </w:r>
      <w:r w:rsidR="00D372DC">
        <w:rPr>
          <w:rFonts w:ascii="Times New Roman" w:eastAsia="宋体" w:hAnsi="Times New Roman" w:cs="Times New Roman" w:hint="eastAsia"/>
          <w:sz w:val="24"/>
          <w:szCs w:val="24"/>
        </w:rPr>
        <w:t>八</w:t>
      </w:r>
      <w:bookmarkStart w:id="0" w:name="_GoBack"/>
      <w:bookmarkEnd w:id="0"/>
      <w:r w:rsidR="005536C9" w:rsidRPr="003B3D5F">
        <w:rPr>
          <w:rFonts w:ascii="Times New Roman" w:eastAsia="宋体" w:hAnsi="Times New Roman" w:cs="Times New Roman"/>
          <w:sz w:val="24"/>
          <w:szCs w:val="24"/>
        </w:rPr>
        <w:t>日</w:t>
      </w:r>
    </w:p>
    <w:sectPr w:rsidR="004A238F" w:rsidRPr="00B81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C2C0E" w14:textId="77777777" w:rsidR="0009777B" w:rsidRDefault="0009777B" w:rsidP="00616EA1">
      <w:r>
        <w:separator/>
      </w:r>
    </w:p>
  </w:endnote>
  <w:endnote w:type="continuationSeparator" w:id="0">
    <w:p w14:paraId="5DE408EC" w14:textId="77777777" w:rsidR="0009777B" w:rsidRDefault="0009777B" w:rsidP="006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E79F" w14:textId="77777777" w:rsidR="0009777B" w:rsidRDefault="0009777B" w:rsidP="00616EA1">
      <w:r>
        <w:separator/>
      </w:r>
    </w:p>
  </w:footnote>
  <w:footnote w:type="continuationSeparator" w:id="0">
    <w:p w14:paraId="3399737E" w14:textId="77777777" w:rsidR="0009777B" w:rsidRDefault="0009777B" w:rsidP="0061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16FDF"/>
    <w:multiLevelType w:val="hybridMultilevel"/>
    <w:tmpl w:val="043E0F8C"/>
    <w:lvl w:ilvl="0" w:tplc="5ECC4A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8F"/>
    <w:rsid w:val="000270B3"/>
    <w:rsid w:val="00065073"/>
    <w:rsid w:val="000960B9"/>
    <w:rsid w:val="0009777B"/>
    <w:rsid w:val="000B0077"/>
    <w:rsid w:val="000B2CEF"/>
    <w:rsid w:val="000D2A6A"/>
    <w:rsid w:val="000E1DDF"/>
    <w:rsid w:val="00114508"/>
    <w:rsid w:val="00120FBA"/>
    <w:rsid w:val="001769CF"/>
    <w:rsid w:val="00176A6D"/>
    <w:rsid w:val="0019235F"/>
    <w:rsid w:val="001D4B05"/>
    <w:rsid w:val="001F43B8"/>
    <w:rsid w:val="0020104D"/>
    <w:rsid w:val="00207243"/>
    <w:rsid w:val="0023035E"/>
    <w:rsid w:val="0024355F"/>
    <w:rsid w:val="00260052"/>
    <w:rsid w:val="00271FD6"/>
    <w:rsid w:val="002725E3"/>
    <w:rsid w:val="00283D3D"/>
    <w:rsid w:val="002B44C2"/>
    <w:rsid w:val="002D0505"/>
    <w:rsid w:val="002E636A"/>
    <w:rsid w:val="00323D27"/>
    <w:rsid w:val="00346FE7"/>
    <w:rsid w:val="00391257"/>
    <w:rsid w:val="003A4805"/>
    <w:rsid w:val="003B3D5F"/>
    <w:rsid w:val="003B44D5"/>
    <w:rsid w:val="003C0667"/>
    <w:rsid w:val="003C3A42"/>
    <w:rsid w:val="00401508"/>
    <w:rsid w:val="00405DCB"/>
    <w:rsid w:val="0044322B"/>
    <w:rsid w:val="0047106D"/>
    <w:rsid w:val="00473B4B"/>
    <w:rsid w:val="00477DD8"/>
    <w:rsid w:val="00480A9A"/>
    <w:rsid w:val="00484661"/>
    <w:rsid w:val="004A238F"/>
    <w:rsid w:val="004A3229"/>
    <w:rsid w:val="004B3CEB"/>
    <w:rsid w:val="004E163F"/>
    <w:rsid w:val="004E7948"/>
    <w:rsid w:val="004F446D"/>
    <w:rsid w:val="00515DF0"/>
    <w:rsid w:val="00522934"/>
    <w:rsid w:val="005337B9"/>
    <w:rsid w:val="00537F48"/>
    <w:rsid w:val="005536C9"/>
    <w:rsid w:val="00567AF2"/>
    <w:rsid w:val="005871D6"/>
    <w:rsid w:val="00587591"/>
    <w:rsid w:val="00591B3A"/>
    <w:rsid w:val="00594C13"/>
    <w:rsid w:val="005A6A65"/>
    <w:rsid w:val="005A73D6"/>
    <w:rsid w:val="005D372B"/>
    <w:rsid w:val="00616EA1"/>
    <w:rsid w:val="0063798C"/>
    <w:rsid w:val="0065465E"/>
    <w:rsid w:val="00661077"/>
    <w:rsid w:val="006C0B96"/>
    <w:rsid w:val="006C6F59"/>
    <w:rsid w:val="006D652B"/>
    <w:rsid w:val="006E30FF"/>
    <w:rsid w:val="006F1A86"/>
    <w:rsid w:val="007142E6"/>
    <w:rsid w:val="00720768"/>
    <w:rsid w:val="00743AF3"/>
    <w:rsid w:val="0076324C"/>
    <w:rsid w:val="00763ABF"/>
    <w:rsid w:val="007D48E8"/>
    <w:rsid w:val="007E0B91"/>
    <w:rsid w:val="007E62AA"/>
    <w:rsid w:val="00815561"/>
    <w:rsid w:val="00857EC3"/>
    <w:rsid w:val="00883C93"/>
    <w:rsid w:val="008E34FB"/>
    <w:rsid w:val="008E6C64"/>
    <w:rsid w:val="00910315"/>
    <w:rsid w:val="00933BE7"/>
    <w:rsid w:val="009404EF"/>
    <w:rsid w:val="009466FA"/>
    <w:rsid w:val="0095272B"/>
    <w:rsid w:val="00967E30"/>
    <w:rsid w:val="009C3124"/>
    <w:rsid w:val="009E0203"/>
    <w:rsid w:val="009F1554"/>
    <w:rsid w:val="00A012D1"/>
    <w:rsid w:val="00A01C17"/>
    <w:rsid w:val="00A17BFB"/>
    <w:rsid w:val="00A55AB0"/>
    <w:rsid w:val="00A62F14"/>
    <w:rsid w:val="00A636F2"/>
    <w:rsid w:val="00AC43AB"/>
    <w:rsid w:val="00AE7AFC"/>
    <w:rsid w:val="00B11AB8"/>
    <w:rsid w:val="00B17290"/>
    <w:rsid w:val="00B30125"/>
    <w:rsid w:val="00B32562"/>
    <w:rsid w:val="00B5158C"/>
    <w:rsid w:val="00B81954"/>
    <w:rsid w:val="00BA140D"/>
    <w:rsid w:val="00BB2CE7"/>
    <w:rsid w:val="00C16676"/>
    <w:rsid w:val="00C23C5F"/>
    <w:rsid w:val="00C40367"/>
    <w:rsid w:val="00C65AB6"/>
    <w:rsid w:val="00C7615D"/>
    <w:rsid w:val="00CA6A90"/>
    <w:rsid w:val="00CC4787"/>
    <w:rsid w:val="00D27F99"/>
    <w:rsid w:val="00D33361"/>
    <w:rsid w:val="00D372DC"/>
    <w:rsid w:val="00D57ACC"/>
    <w:rsid w:val="00D57D12"/>
    <w:rsid w:val="00DA4CB3"/>
    <w:rsid w:val="00DA5B3D"/>
    <w:rsid w:val="00DA70C3"/>
    <w:rsid w:val="00DB2EBD"/>
    <w:rsid w:val="00DC4118"/>
    <w:rsid w:val="00DC64A2"/>
    <w:rsid w:val="00DD6509"/>
    <w:rsid w:val="00E05349"/>
    <w:rsid w:val="00E06843"/>
    <w:rsid w:val="00E240C7"/>
    <w:rsid w:val="00E27E8A"/>
    <w:rsid w:val="00E31850"/>
    <w:rsid w:val="00E40790"/>
    <w:rsid w:val="00E5499D"/>
    <w:rsid w:val="00E76357"/>
    <w:rsid w:val="00EB3EF9"/>
    <w:rsid w:val="00EF7D6B"/>
    <w:rsid w:val="00F20DF8"/>
    <w:rsid w:val="00F26E29"/>
    <w:rsid w:val="00F45D1E"/>
    <w:rsid w:val="00F47F1C"/>
    <w:rsid w:val="00F7170A"/>
    <w:rsid w:val="00F75D5D"/>
    <w:rsid w:val="00FA4C5F"/>
    <w:rsid w:val="00FA57C2"/>
    <w:rsid w:val="00FA754C"/>
    <w:rsid w:val="00FA7F48"/>
    <w:rsid w:val="00FB53DD"/>
    <w:rsid w:val="00FB615A"/>
    <w:rsid w:val="00FD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1111"/>
  <w15:docId w15:val="{79C922F9-29A1-4487-A6D7-8CD2A9DD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EA1"/>
    <w:rPr>
      <w:sz w:val="18"/>
      <w:szCs w:val="18"/>
    </w:rPr>
  </w:style>
  <w:style w:type="paragraph" w:styleId="a4">
    <w:name w:val="footer"/>
    <w:basedOn w:val="a"/>
    <w:link w:val="Char0"/>
    <w:uiPriority w:val="99"/>
    <w:unhideWhenUsed/>
    <w:rsid w:val="00616E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6EA1"/>
    <w:rPr>
      <w:sz w:val="18"/>
      <w:szCs w:val="18"/>
    </w:rPr>
  </w:style>
  <w:style w:type="paragraph" w:styleId="a5">
    <w:name w:val="List Paragraph"/>
    <w:basedOn w:val="a"/>
    <w:uiPriority w:val="34"/>
    <w:qFormat/>
    <w:rsid w:val="00D57D12"/>
    <w:pPr>
      <w:ind w:firstLineChars="200" w:firstLine="420"/>
    </w:pPr>
  </w:style>
  <w:style w:type="paragraph" w:styleId="a6">
    <w:name w:val="Body Text"/>
    <w:basedOn w:val="a"/>
    <w:link w:val="Char1"/>
    <w:uiPriority w:val="1"/>
    <w:qFormat/>
    <w:rsid w:val="00CC4787"/>
    <w:pPr>
      <w:spacing w:before="38"/>
      <w:ind w:left="240" w:firstLine="419"/>
      <w:jc w:val="left"/>
    </w:pPr>
    <w:rPr>
      <w:rFonts w:ascii="宋体" w:eastAsia="宋体" w:hAnsi="宋体" w:cs="Times New Roman"/>
      <w:kern w:val="0"/>
      <w:szCs w:val="21"/>
      <w:lang w:val="x-none" w:eastAsia="en-US"/>
    </w:rPr>
  </w:style>
  <w:style w:type="character" w:customStyle="1" w:styleId="Char2">
    <w:name w:val="正文文本 Char"/>
    <w:basedOn w:val="a0"/>
    <w:uiPriority w:val="99"/>
    <w:semiHidden/>
    <w:rsid w:val="00CC4787"/>
  </w:style>
  <w:style w:type="character" w:customStyle="1" w:styleId="Char1">
    <w:name w:val="正文文本 Char1"/>
    <w:link w:val="a6"/>
    <w:uiPriority w:val="1"/>
    <w:rsid w:val="00CC4787"/>
    <w:rPr>
      <w:rFonts w:ascii="宋体" w:eastAsia="宋体" w:hAnsi="宋体" w:cs="Times New Roman"/>
      <w:kern w:val="0"/>
      <w:szCs w:val="21"/>
      <w:lang w:val="x-none" w:eastAsia="en-US"/>
    </w:rPr>
  </w:style>
  <w:style w:type="paragraph" w:styleId="a7">
    <w:name w:val="Balloon Text"/>
    <w:basedOn w:val="a"/>
    <w:link w:val="Char3"/>
    <w:uiPriority w:val="99"/>
    <w:semiHidden/>
    <w:unhideWhenUsed/>
    <w:rsid w:val="006C0B96"/>
    <w:rPr>
      <w:sz w:val="18"/>
      <w:szCs w:val="18"/>
    </w:rPr>
  </w:style>
  <w:style w:type="character" w:customStyle="1" w:styleId="Char3">
    <w:name w:val="批注框文本 Char"/>
    <w:basedOn w:val="a0"/>
    <w:link w:val="a7"/>
    <w:uiPriority w:val="99"/>
    <w:semiHidden/>
    <w:rsid w:val="006C0B96"/>
    <w:rPr>
      <w:sz w:val="18"/>
      <w:szCs w:val="18"/>
    </w:rPr>
  </w:style>
  <w:style w:type="character" w:styleId="a8">
    <w:name w:val="annotation reference"/>
    <w:basedOn w:val="a0"/>
    <w:uiPriority w:val="99"/>
    <w:semiHidden/>
    <w:unhideWhenUsed/>
    <w:rsid w:val="003A4805"/>
    <w:rPr>
      <w:sz w:val="21"/>
      <w:szCs w:val="21"/>
    </w:rPr>
  </w:style>
  <w:style w:type="paragraph" w:styleId="a9">
    <w:name w:val="annotation text"/>
    <w:basedOn w:val="a"/>
    <w:link w:val="Char4"/>
    <w:uiPriority w:val="99"/>
    <w:semiHidden/>
    <w:unhideWhenUsed/>
    <w:rsid w:val="003A4805"/>
    <w:pPr>
      <w:jc w:val="left"/>
    </w:pPr>
  </w:style>
  <w:style w:type="character" w:customStyle="1" w:styleId="Char4">
    <w:name w:val="批注文字 Char"/>
    <w:basedOn w:val="a0"/>
    <w:link w:val="a9"/>
    <w:uiPriority w:val="99"/>
    <w:semiHidden/>
    <w:rsid w:val="003A4805"/>
  </w:style>
  <w:style w:type="paragraph" w:styleId="aa">
    <w:name w:val="annotation subject"/>
    <w:basedOn w:val="a9"/>
    <w:next w:val="a9"/>
    <w:link w:val="Char5"/>
    <w:uiPriority w:val="99"/>
    <w:semiHidden/>
    <w:unhideWhenUsed/>
    <w:rsid w:val="003A4805"/>
    <w:rPr>
      <w:b/>
      <w:bCs/>
    </w:rPr>
  </w:style>
  <w:style w:type="character" w:customStyle="1" w:styleId="Char5">
    <w:name w:val="批注主题 Char"/>
    <w:basedOn w:val="Char4"/>
    <w:link w:val="aa"/>
    <w:uiPriority w:val="99"/>
    <w:semiHidden/>
    <w:rsid w:val="003A4805"/>
    <w:rPr>
      <w:b/>
      <w:bCs/>
    </w:rPr>
  </w:style>
  <w:style w:type="paragraph" w:styleId="ab">
    <w:name w:val="Revision"/>
    <w:hidden/>
    <w:uiPriority w:val="99"/>
    <w:semiHidden/>
    <w:rsid w:val="003A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01AF-2377-4888-B6E5-85B24853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HTLH</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yjh</cp:lastModifiedBy>
  <cp:revision>5</cp:revision>
  <dcterms:created xsi:type="dcterms:W3CDTF">2020-06-05T04:03:00Z</dcterms:created>
  <dcterms:modified xsi:type="dcterms:W3CDTF">2020-06-07T03:46:00Z</dcterms:modified>
</cp:coreProperties>
</file>