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DA4" w:rsidRDefault="005A50D2">
      <w:pPr>
        <w:autoSpaceDE w:val="0"/>
        <w:autoSpaceDN w:val="0"/>
        <w:adjustRightInd w:val="0"/>
        <w:spacing w:before="1200" w:after="0"/>
        <w:jc w:val="center"/>
        <w:rPr>
          <w:rFonts w:eastAsiaTheme="minorEastAsia"/>
          <w:kern w:val="0"/>
          <w:sz w:val="24"/>
          <w:szCs w:val="24"/>
        </w:rPr>
      </w:pPr>
      <w:r>
        <w:rPr>
          <w:rFonts w:eastAsiaTheme="minorEastAsia"/>
          <w:noProof/>
          <w:kern w:val="0"/>
          <w:sz w:val="24"/>
          <w:szCs w:val="24"/>
        </w:rPr>
        <w:drawing>
          <wp:inline distT="0" distB="0" distL="0" distR="0">
            <wp:extent cx="1409700" cy="39052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9700" cy="390525"/>
                    </a:xfrm>
                    <a:prstGeom prst="rect">
                      <a:avLst/>
                    </a:prstGeom>
                    <a:noFill/>
                    <a:ln>
                      <a:noFill/>
                    </a:ln>
                  </pic:spPr>
                </pic:pic>
              </a:graphicData>
            </a:graphic>
          </wp:inline>
        </w:drawing>
      </w:r>
    </w:p>
    <w:p w:rsidR="00EE7DA4" w:rsidRDefault="00EE7DA4">
      <w:pPr>
        <w:spacing w:before="200" w:after="200"/>
        <w:jc w:val="center"/>
        <w:rPr>
          <w:b/>
          <w:bCs/>
          <w:sz w:val="36"/>
          <w:szCs w:val="36"/>
        </w:rPr>
      </w:pPr>
      <w:r>
        <w:rPr>
          <w:rFonts w:hint="eastAsia"/>
          <w:b/>
          <w:bCs/>
          <w:sz w:val="36"/>
          <w:szCs w:val="36"/>
        </w:rPr>
        <w:t>华孚时尚股份有限公司</w:t>
      </w:r>
    </w:p>
    <w:p w:rsidR="00EE7DA4" w:rsidRDefault="00EE7DA4">
      <w:pPr>
        <w:spacing w:before="400" w:after="0"/>
        <w:jc w:val="center"/>
        <w:rPr>
          <w:b/>
          <w:bCs/>
          <w:sz w:val="32"/>
          <w:szCs w:val="32"/>
        </w:rPr>
      </w:pPr>
      <w:r>
        <w:rPr>
          <w:b/>
          <w:bCs/>
          <w:sz w:val="32"/>
          <w:szCs w:val="32"/>
        </w:rPr>
        <w:t>2020</w:t>
      </w:r>
      <w:r>
        <w:rPr>
          <w:rFonts w:hint="eastAsia"/>
          <w:b/>
          <w:bCs/>
          <w:sz w:val="32"/>
          <w:szCs w:val="32"/>
        </w:rPr>
        <w:t>年第一季度报告</w:t>
      </w:r>
    </w:p>
    <w:p w:rsidR="00EE7DA4" w:rsidRDefault="00EE7DA4">
      <w:pPr>
        <w:spacing w:before="6000" w:after="0"/>
        <w:jc w:val="center"/>
        <w:rPr>
          <w:b/>
          <w:bCs/>
          <w:sz w:val="32"/>
          <w:szCs w:val="32"/>
        </w:rPr>
      </w:pPr>
      <w:r>
        <w:rPr>
          <w:b/>
          <w:bCs/>
          <w:sz w:val="32"/>
          <w:szCs w:val="32"/>
        </w:rPr>
        <w:t>2020</w:t>
      </w:r>
      <w:r>
        <w:rPr>
          <w:rFonts w:hint="eastAsia"/>
          <w:b/>
          <w:bCs/>
          <w:sz w:val="32"/>
          <w:szCs w:val="32"/>
        </w:rPr>
        <w:t>年</w:t>
      </w:r>
      <w:r>
        <w:rPr>
          <w:b/>
          <w:bCs/>
          <w:sz w:val="32"/>
          <w:szCs w:val="32"/>
        </w:rPr>
        <w:t>04</w:t>
      </w:r>
      <w:r>
        <w:rPr>
          <w:rFonts w:hint="eastAsia"/>
          <w:b/>
          <w:bCs/>
          <w:sz w:val="32"/>
          <w:szCs w:val="32"/>
        </w:rPr>
        <w:t>月</w:t>
      </w:r>
    </w:p>
    <w:p w:rsidR="00EE7DA4" w:rsidRDefault="00EE7DA4">
      <w:pPr>
        <w:spacing w:before="6000" w:after="0"/>
        <w:jc w:val="center"/>
        <w:rPr>
          <w:b/>
          <w:bCs/>
          <w:sz w:val="32"/>
          <w:szCs w:val="32"/>
        </w:rPr>
        <w:sectPr w:rsidR="00EE7DA4">
          <w:headerReference w:type="default" r:id="rId8"/>
          <w:footerReference w:type="default" r:id="rId9"/>
          <w:pgSz w:w="11906" w:h="16838"/>
          <w:pgMar w:top="1440" w:right="1134" w:bottom="1440" w:left="1134" w:header="720" w:footer="720" w:gutter="0"/>
          <w:cols w:space="720"/>
          <w:noEndnote/>
        </w:sectPr>
      </w:pPr>
    </w:p>
    <w:p w:rsidR="00EE7DA4" w:rsidRDefault="00EE7DA4">
      <w:pPr>
        <w:pStyle w:val="a3"/>
        <w:outlineLvl w:val="0"/>
      </w:pPr>
      <w:bookmarkStart w:id="0" w:name="_Toc300000084"/>
      <w:r>
        <w:rPr>
          <w:rFonts w:hint="eastAsia"/>
        </w:rPr>
        <w:lastRenderedPageBreak/>
        <w:t>第一节</w:t>
      </w:r>
      <w:r>
        <w:t xml:space="preserve"> </w:t>
      </w:r>
      <w:r>
        <w:rPr>
          <w:rFonts w:hint="eastAsia"/>
        </w:rPr>
        <w:t>重要提示</w:t>
      </w:r>
      <w:bookmarkEnd w:id="0"/>
    </w:p>
    <w:p w:rsidR="00EE7DA4" w:rsidRDefault="00EE7DA4" w:rsidP="00022B3D">
      <w:pPr>
        <w:spacing w:before="100" w:after="100"/>
        <w:ind w:firstLineChars="200" w:firstLine="562"/>
        <w:rPr>
          <w:b/>
          <w:bCs/>
          <w:sz w:val="28"/>
          <w:szCs w:val="28"/>
        </w:rPr>
      </w:pPr>
      <w:r>
        <w:rPr>
          <w:rFonts w:hint="eastAsia"/>
          <w:b/>
          <w:bCs/>
          <w:sz w:val="28"/>
          <w:szCs w:val="28"/>
        </w:rPr>
        <w:t>公司董事会、监事会及董事、监事、高级管理人员保证季度报告内容的真实、准确、完整，不存在虚假记载、误导性陈述或者重大遗漏，并承担个别和连带的法律责任。</w:t>
      </w:r>
    </w:p>
    <w:p w:rsidR="00EE7DA4" w:rsidRDefault="00EE7DA4" w:rsidP="00022B3D">
      <w:pPr>
        <w:spacing w:before="100" w:after="100"/>
        <w:ind w:firstLineChars="200" w:firstLine="562"/>
        <w:rPr>
          <w:b/>
          <w:bCs/>
          <w:sz w:val="28"/>
          <w:szCs w:val="28"/>
        </w:rPr>
      </w:pPr>
      <w:r>
        <w:rPr>
          <w:rFonts w:hint="eastAsia"/>
          <w:b/>
          <w:bCs/>
          <w:sz w:val="28"/>
          <w:szCs w:val="28"/>
        </w:rPr>
        <w:t>所有董事均已出席了审议本次季报的董事会会议。</w:t>
      </w:r>
    </w:p>
    <w:p w:rsidR="00EE7DA4" w:rsidRDefault="00EE7DA4" w:rsidP="00022B3D">
      <w:pPr>
        <w:spacing w:before="100" w:after="100"/>
        <w:ind w:firstLineChars="200" w:firstLine="562"/>
        <w:rPr>
          <w:b/>
          <w:bCs/>
          <w:sz w:val="28"/>
          <w:szCs w:val="28"/>
        </w:rPr>
      </w:pPr>
      <w:r>
        <w:rPr>
          <w:rFonts w:hint="eastAsia"/>
          <w:b/>
          <w:bCs/>
          <w:sz w:val="28"/>
          <w:szCs w:val="28"/>
        </w:rPr>
        <w:t>公司负责人孙伟挺、主管会计工</w:t>
      </w:r>
      <w:bookmarkStart w:id="1" w:name="_GoBack"/>
      <w:bookmarkEnd w:id="1"/>
      <w:r>
        <w:rPr>
          <w:rFonts w:hint="eastAsia"/>
          <w:b/>
          <w:bCs/>
          <w:sz w:val="28"/>
          <w:szCs w:val="28"/>
        </w:rPr>
        <w:t>作负责人陈玲芬及会计机构负责人</w:t>
      </w:r>
      <w:r>
        <w:rPr>
          <w:b/>
          <w:bCs/>
          <w:sz w:val="28"/>
          <w:szCs w:val="28"/>
        </w:rPr>
        <w:t>(</w:t>
      </w:r>
      <w:r>
        <w:rPr>
          <w:rFonts w:hint="eastAsia"/>
          <w:b/>
          <w:bCs/>
          <w:sz w:val="28"/>
          <w:szCs w:val="28"/>
        </w:rPr>
        <w:t>会计主管人员</w:t>
      </w:r>
      <w:r>
        <w:rPr>
          <w:b/>
          <w:bCs/>
          <w:sz w:val="28"/>
          <w:szCs w:val="28"/>
        </w:rPr>
        <w:t>)</w:t>
      </w:r>
      <w:r>
        <w:rPr>
          <w:rFonts w:hint="eastAsia"/>
          <w:b/>
          <w:bCs/>
          <w:sz w:val="28"/>
          <w:szCs w:val="28"/>
        </w:rPr>
        <w:t>王国友声明：保证季度报告中财务报表的真实、准确、完整。</w:t>
      </w:r>
    </w:p>
    <w:p w:rsidR="00EE7DA4" w:rsidRDefault="00EE7DA4" w:rsidP="00022B3D">
      <w:pPr>
        <w:spacing w:before="100" w:after="100"/>
        <w:ind w:firstLineChars="200" w:firstLine="562"/>
        <w:rPr>
          <w:b/>
          <w:bCs/>
          <w:sz w:val="28"/>
          <w:szCs w:val="28"/>
        </w:rPr>
        <w:sectPr w:rsidR="00EE7DA4">
          <w:pgSz w:w="11906" w:h="16838"/>
          <w:pgMar w:top="1440" w:right="1134" w:bottom="1440" w:left="1134" w:header="851" w:footer="992" w:gutter="0"/>
          <w:cols w:space="425"/>
          <w:docGrid w:type="lines" w:linePitch="312"/>
        </w:sectPr>
      </w:pPr>
    </w:p>
    <w:p w:rsidR="00EE7DA4" w:rsidRDefault="00EE7DA4">
      <w:pPr>
        <w:pStyle w:val="a3"/>
        <w:outlineLvl w:val="0"/>
      </w:pPr>
      <w:bookmarkStart w:id="2" w:name="_Toc300000085"/>
      <w:r>
        <w:rPr>
          <w:rFonts w:hint="eastAsia"/>
        </w:rPr>
        <w:lastRenderedPageBreak/>
        <w:t>第二节</w:t>
      </w:r>
      <w:r>
        <w:t xml:space="preserve"> </w:t>
      </w:r>
      <w:r>
        <w:rPr>
          <w:rFonts w:hint="eastAsia"/>
        </w:rPr>
        <w:t>公司基本情况</w:t>
      </w:r>
      <w:bookmarkEnd w:id="2"/>
    </w:p>
    <w:p w:rsidR="00EE7DA4" w:rsidRDefault="00EE7DA4">
      <w:pPr>
        <w:pStyle w:val="Chapter"/>
        <w:outlineLvl w:val="1"/>
      </w:pPr>
      <w:r>
        <w:rPr>
          <w:rFonts w:hint="eastAsia"/>
        </w:rPr>
        <w:t>一、主要会计数据和财务指标</w:t>
      </w:r>
    </w:p>
    <w:p w:rsidR="00EE7DA4" w:rsidRDefault="00EE7DA4">
      <w:pPr>
        <w:jc w:val="left"/>
      </w:pPr>
      <w:r>
        <w:rPr>
          <w:rFonts w:hint="eastAsia"/>
        </w:rPr>
        <w:t>公司是否需追溯调整或重述以前年度会计数据</w:t>
      </w:r>
    </w:p>
    <w:p w:rsidR="00EE7DA4" w:rsidRDefault="00EE7DA4">
      <w:pPr>
        <w:jc w:val="left"/>
      </w:pPr>
      <w:r>
        <w:t xml:space="preserve">□ </w:t>
      </w:r>
      <w:r>
        <w:rPr>
          <w:rFonts w:hint="eastAsia"/>
        </w:rPr>
        <w:t>是</w:t>
      </w:r>
      <w:r>
        <w:t xml:space="preserve"> √ </w:t>
      </w:r>
      <w:r>
        <w:rPr>
          <w:rFonts w:hint="eastAsia"/>
        </w:rPr>
        <w:t>否</w:t>
      </w:r>
      <w:r>
        <w:t xml:space="preserve"> </w:t>
      </w:r>
    </w:p>
    <w:tbl>
      <w:tblPr>
        <w:tblW w:w="0" w:type="auto"/>
        <w:tblInd w:w="28" w:type="dxa"/>
        <w:tblLayout w:type="fixed"/>
        <w:tblCellMar>
          <w:left w:w="28" w:type="dxa"/>
          <w:right w:w="28" w:type="dxa"/>
        </w:tblCellMar>
        <w:tblLook w:val="0000" w:firstRow="0" w:lastRow="0" w:firstColumn="0" w:lastColumn="0" w:noHBand="0" w:noVBand="0"/>
      </w:tblPr>
      <w:tblGrid>
        <w:gridCol w:w="4536"/>
        <w:gridCol w:w="1418"/>
        <w:gridCol w:w="1493"/>
        <w:gridCol w:w="2122"/>
      </w:tblGrid>
      <w:tr w:rsidR="00EE7DA4" w:rsidTr="00022B3D">
        <w:tblPrEx>
          <w:tblCellMar>
            <w:top w:w="0" w:type="dxa"/>
            <w:bottom w:w="0" w:type="dxa"/>
          </w:tblCellMar>
        </w:tblPrEx>
        <w:tc>
          <w:tcPr>
            <w:tcW w:w="4536"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center"/>
            </w:pPr>
          </w:p>
        </w:tc>
        <w:tc>
          <w:tcPr>
            <w:tcW w:w="1418"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center"/>
            </w:pPr>
            <w:r>
              <w:rPr>
                <w:rFonts w:hint="eastAsia"/>
              </w:rPr>
              <w:t>本报告期</w:t>
            </w:r>
          </w:p>
        </w:tc>
        <w:tc>
          <w:tcPr>
            <w:tcW w:w="1493"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center"/>
            </w:pPr>
            <w:r>
              <w:rPr>
                <w:rFonts w:hint="eastAsia"/>
              </w:rPr>
              <w:t>上年同期</w:t>
            </w:r>
          </w:p>
        </w:tc>
        <w:tc>
          <w:tcPr>
            <w:tcW w:w="2122"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center"/>
            </w:pPr>
            <w:r>
              <w:rPr>
                <w:rFonts w:hint="eastAsia"/>
              </w:rPr>
              <w:t>本报告期比上年同期增减</w:t>
            </w:r>
          </w:p>
        </w:tc>
      </w:tr>
      <w:tr w:rsidR="00EE7DA4" w:rsidTr="00022B3D">
        <w:tblPrEx>
          <w:tblCellMar>
            <w:top w:w="0" w:type="dxa"/>
            <w:bottom w:w="0" w:type="dxa"/>
          </w:tblCellMar>
        </w:tblPrEx>
        <w:tc>
          <w:tcPr>
            <w:tcW w:w="4536"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pPr>
            <w:r>
              <w:rPr>
                <w:rFonts w:hint="eastAsia"/>
              </w:rPr>
              <w:t>营业收入（元）</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pPr>
            <w:r>
              <w:t>2,306,051,643.44</w:t>
            </w:r>
          </w:p>
        </w:tc>
        <w:tc>
          <w:tcPr>
            <w:tcW w:w="1493"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pPr>
            <w:r>
              <w:t>3,634,310,612.28</w:t>
            </w:r>
          </w:p>
        </w:tc>
        <w:tc>
          <w:tcPr>
            <w:tcW w:w="2122"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pPr>
            <w:r>
              <w:t>-36.55%</w:t>
            </w:r>
          </w:p>
        </w:tc>
      </w:tr>
      <w:tr w:rsidR="00EE7DA4" w:rsidTr="00022B3D">
        <w:tblPrEx>
          <w:tblCellMar>
            <w:top w:w="0" w:type="dxa"/>
            <w:bottom w:w="0" w:type="dxa"/>
          </w:tblCellMar>
        </w:tblPrEx>
        <w:tc>
          <w:tcPr>
            <w:tcW w:w="4536"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pPr>
            <w:r>
              <w:rPr>
                <w:rFonts w:hint="eastAsia"/>
              </w:rPr>
              <w:t>归属于上市公司股东的净利润（元）</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pPr>
            <w:r>
              <w:t>-30,441,948.56</w:t>
            </w:r>
          </w:p>
        </w:tc>
        <w:tc>
          <w:tcPr>
            <w:tcW w:w="1493"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pPr>
            <w:r>
              <w:t>172,109,185.23</w:t>
            </w:r>
          </w:p>
        </w:tc>
        <w:tc>
          <w:tcPr>
            <w:tcW w:w="2122"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pPr>
            <w:r>
              <w:t>-117.69%</w:t>
            </w:r>
          </w:p>
        </w:tc>
      </w:tr>
      <w:tr w:rsidR="00EE7DA4" w:rsidTr="00022B3D">
        <w:tblPrEx>
          <w:tblCellMar>
            <w:top w:w="0" w:type="dxa"/>
            <w:bottom w:w="0" w:type="dxa"/>
          </w:tblCellMar>
        </w:tblPrEx>
        <w:tc>
          <w:tcPr>
            <w:tcW w:w="4536"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pPr>
            <w:r>
              <w:rPr>
                <w:rFonts w:hint="eastAsia"/>
              </w:rPr>
              <w:t>归属于上市公司股东的扣除非经常性损益的净利润（元）</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pPr>
            <w:r>
              <w:t>-68,231,832.91</w:t>
            </w:r>
          </w:p>
        </w:tc>
        <w:tc>
          <w:tcPr>
            <w:tcW w:w="1493"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pPr>
            <w:r>
              <w:t>89,338,272.75</w:t>
            </w:r>
          </w:p>
        </w:tc>
        <w:tc>
          <w:tcPr>
            <w:tcW w:w="2122"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pPr>
            <w:r>
              <w:t>-176.37%</w:t>
            </w:r>
          </w:p>
        </w:tc>
      </w:tr>
      <w:tr w:rsidR="00EE7DA4" w:rsidTr="00022B3D">
        <w:tblPrEx>
          <w:tblCellMar>
            <w:top w:w="0" w:type="dxa"/>
            <w:bottom w:w="0" w:type="dxa"/>
          </w:tblCellMar>
        </w:tblPrEx>
        <w:tc>
          <w:tcPr>
            <w:tcW w:w="4536"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pPr>
            <w:r>
              <w:rPr>
                <w:rFonts w:hint="eastAsia"/>
              </w:rPr>
              <w:t>经营活动产生的现金流量净额（元）</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pPr>
            <w:r>
              <w:t>375,254,214.61</w:t>
            </w:r>
          </w:p>
        </w:tc>
        <w:tc>
          <w:tcPr>
            <w:tcW w:w="1493"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pPr>
            <w:r>
              <w:t>37,585,815.63</w:t>
            </w:r>
          </w:p>
        </w:tc>
        <w:tc>
          <w:tcPr>
            <w:tcW w:w="2122"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pPr>
            <w:r>
              <w:t>898.39%</w:t>
            </w:r>
          </w:p>
        </w:tc>
      </w:tr>
      <w:tr w:rsidR="00EE7DA4" w:rsidTr="00022B3D">
        <w:tblPrEx>
          <w:tblCellMar>
            <w:top w:w="0" w:type="dxa"/>
            <w:bottom w:w="0" w:type="dxa"/>
          </w:tblCellMar>
        </w:tblPrEx>
        <w:tc>
          <w:tcPr>
            <w:tcW w:w="4536"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pPr>
            <w:r>
              <w:rPr>
                <w:rFonts w:hint="eastAsia"/>
              </w:rPr>
              <w:t>基本每股收益（元</w:t>
            </w:r>
            <w:r>
              <w:t>/</w:t>
            </w:r>
            <w:r>
              <w:rPr>
                <w:rFonts w:hint="eastAsia"/>
              </w:rPr>
              <w:t>股）</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pPr>
            <w:r>
              <w:t>-0.02</w:t>
            </w:r>
          </w:p>
        </w:tc>
        <w:tc>
          <w:tcPr>
            <w:tcW w:w="1493"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pPr>
            <w:r>
              <w:t>0.11</w:t>
            </w:r>
          </w:p>
        </w:tc>
        <w:tc>
          <w:tcPr>
            <w:tcW w:w="2122"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pPr>
            <w:r>
              <w:t>-118.18%</w:t>
            </w:r>
          </w:p>
        </w:tc>
      </w:tr>
      <w:tr w:rsidR="00EE7DA4" w:rsidTr="00022B3D">
        <w:tblPrEx>
          <w:tblCellMar>
            <w:top w:w="0" w:type="dxa"/>
            <w:bottom w:w="0" w:type="dxa"/>
          </w:tblCellMar>
        </w:tblPrEx>
        <w:tc>
          <w:tcPr>
            <w:tcW w:w="4536"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pPr>
            <w:r>
              <w:rPr>
                <w:rFonts w:hint="eastAsia"/>
              </w:rPr>
              <w:t>稀释每股收益（元</w:t>
            </w:r>
            <w:r>
              <w:t>/</w:t>
            </w:r>
            <w:r>
              <w:rPr>
                <w:rFonts w:hint="eastAsia"/>
              </w:rPr>
              <w:t>股）</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pPr>
            <w:r>
              <w:t>-0.02</w:t>
            </w:r>
          </w:p>
        </w:tc>
        <w:tc>
          <w:tcPr>
            <w:tcW w:w="1493"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pPr>
            <w:r>
              <w:t>0.11</w:t>
            </w:r>
          </w:p>
        </w:tc>
        <w:tc>
          <w:tcPr>
            <w:tcW w:w="2122"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pPr>
            <w:r>
              <w:t>-118.18%</w:t>
            </w:r>
          </w:p>
        </w:tc>
      </w:tr>
      <w:tr w:rsidR="00EE7DA4" w:rsidTr="00022B3D">
        <w:tblPrEx>
          <w:tblCellMar>
            <w:top w:w="0" w:type="dxa"/>
            <w:bottom w:w="0" w:type="dxa"/>
          </w:tblCellMar>
        </w:tblPrEx>
        <w:tc>
          <w:tcPr>
            <w:tcW w:w="4536"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pPr>
            <w:r>
              <w:rPr>
                <w:rFonts w:hint="eastAsia"/>
              </w:rPr>
              <w:t>加权平均净资产收益率</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pPr>
            <w:r>
              <w:t>-0.48%</w:t>
            </w:r>
          </w:p>
        </w:tc>
        <w:tc>
          <w:tcPr>
            <w:tcW w:w="1493"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pPr>
            <w:r>
              <w:t>2.46%</w:t>
            </w:r>
          </w:p>
        </w:tc>
        <w:tc>
          <w:tcPr>
            <w:tcW w:w="2122"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pPr>
            <w:r>
              <w:t>-2.94%</w:t>
            </w:r>
          </w:p>
        </w:tc>
      </w:tr>
      <w:tr w:rsidR="00EE7DA4" w:rsidTr="00022B3D">
        <w:tblPrEx>
          <w:tblCellMar>
            <w:top w:w="0" w:type="dxa"/>
            <w:bottom w:w="0" w:type="dxa"/>
          </w:tblCellMar>
        </w:tblPrEx>
        <w:tc>
          <w:tcPr>
            <w:tcW w:w="4536"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pPr>
          </w:p>
        </w:tc>
        <w:tc>
          <w:tcPr>
            <w:tcW w:w="1418"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center"/>
            </w:pPr>
            <w:r>
              <w:rPr>
                <w:rFonts w:hint="eastAsia"/>
              </w:rPr>
              <w:t>本报告期末</w:t>
            </w:r>
          </w:p>
        </w:tc>
        <w:tc>
          <w:tcPr>
            <w:tcW w:w="1493"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center"/>
            </w:pPr>
            <w:r>
              <w:rPr>
                <w:rFonts w:hint="eastAsia"/>
              </w:rPr>
              <w:t>上年度末</w:t>
            </w:r>
          </w:p>
        </w:tc>
        <w:tc>
          <w:tcPr>
            <w:tcW w:w="2122"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center"/>
            </w:pPr>
            <w:r>
              <w:rPr>
                <w:rFonts w:hint="eastAsia"/>
              </w:rPr>
              <w:t>本报告期末比上年度末增减</w:t>
            </w:r>
          </w:p>
        </w:tc>
      </w:tr>
      <w:tr w:rsidR="00EE7DA4" w:rsidTr="00022B3D">
        <w:tblPrEx>
          <w:tblCellMar>
            <w:top w:w="0" w:type="dxa"/>
            <w:bottom w:w="0" w:type="dxa"/>
          </w:tblCellMar>
        </w:tblPrEx>
        <w:tc>
          <w:tcPr>
            <w:tcW w:w="4536"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pPr>
            <w:r>
              <w:rPr>
                <w:rFonts w:hint="eastAsia"/>
              </w:rPr>
              <w:t>总资产（元）</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pPr>
            <w:r>
              <w:t>18,300,557,445.51</w:t>
            </w:r>
          </w:p>
        </w:tc>
        <w:tc>
          <w:tcPr>
            <w:tcW w:w="1493"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pPr>
            <w:r>
              <w:t>18,335,875,515.57</w:t>
            </w:r>
          </w:p>
        </w:tc>
        <w:tc>
          <w:tcPr>
            <w:tcW w:w="2122"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pPr>
            <w:r>
              <w:t>-0.19%</w:t>
            </w:r>
          </w:p>
        </w:tc>
      </w:tr>
      <w:tr w:rsidR="00EE7DA4" w:rsidTr="00022B3D">
        <w:tblPrEx>
          <w:tblCellMar>
            <w:top w:w="0" w:type="dxa"/>
            <w:bottom w:w="0" w:type="dxa"/>
          </w:tblCellMar>
        </w:tblPrEx>
        <w:tc>
          <w:tcPr>
            <w:tcW w:w="4536"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pPr>
            <w:r>
              <w:rPr>
                <w:rFonts w:hint="eastAsia"/>
              </w:rPr>
              <w:t>归属于上市公司股东的净资产（元）</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pPr>
            <w:r>
              <w:t>6,214,295,611.94</w:t>
            </w:r>
          </w:p>
        </w:tc>
        <w:tc>
          <w:tcPr>
            <w:tcW w:w="1493"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pPr>
            <w:r>
              <w:t>6,300,744,089.76</w:t>
            </w:r>
          </w:p>
        </w:tc>
        <w:tc>
          <w:tcPr>
            <w:tcW w:w="2122"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pPr>
            <w:r>
              <w:t>-1.37%</w:t>
            </w:r>
          </w:p>
        </w:tc>
      </w:tr>
    </w:tbl>
    <w:p w:rsidR="00EE7DA4" w:rsidRDefault="00EE7DA4">
      <w:pPr>
        <w:jc w:val="left"/>
      </w:pPr>
      <w:r>
        <w:rPr>
          <w:rFonts w:hint="eastAsia"/>
        </w:rPr>
        <w:t>非经常性损益项目和金额</w:t>
      </w:r>
    </w:p>
    <w:p w:rsidR="00EE7DA4" w:rsidRDefault="00EE7DA4">
      <w:pPr>
        <w:jc w:val="left"/>
      </w:pPr>
      <w:r>
        <w:t xml:space="preserve">√ </w:t>
      </w:r>
      <w:r>
        <w:rPr>
          <w:rFonts w:hint="eastAsia"/>
        </w:rPr>
        <w:t>适用</w:t>
      </w:r>
      <w:r>
        <w:t xml:space="preserve"> □ </w:t>
      </w:r>
      <w:r>
        <w:rPr>
          <w:rFonts w:hint="eastAsia"/>
        </w:rPr>
        <w:t>不适用</w:t>
      </w:r>
      <w:r>
        <w:t xml:space="preserve"> </w:t>
      </w:r>
    </w:p>
    <w:p w:rsidR="00EE7DA4" w:rsidRDefault="00EE7DA4">
      <w:pPr>
        <w:jc w:val="right"/>
      </w:pPr>
      <w:r>
        <w:rPr>
          <w:rFonts w:hint="eastAsia"/>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7088"/>
        <w:gridCol w:w="1984"/>
        <w:gridCol w:w="496"/>
      </w:tblGrid>
      <w:tr w:rsidR="00EE7DA4" w:rsidTr="00022B3D">
        <w:tblPrEx>
          <w:tblCellMar>
            <w:top w:w="0" w:type="dxa"/>
            <w:bottom w:w="0" w:type="dxa"/>
          </w:tblCellMar>
        </w:tblPrEx>
        <w:tc>
          <w:tcPr>
            <w:tcW w:w="7088"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center"/>
            </w:pPr>
            <w:r>
              <w:rPr>
                <w:rFonts w:hint="eastAsia"/>
              </w:rPr>
              <w:t>项目</w:t>
            </w:r>
          </w:p>
        </w:tc>
        <w:tc>
          <w:tcPr>
            <w:tcW w:w="1984"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center"/>
            </w:pPr>
            <w:r>
              <w:rPr>
                <w:rFonts w:hint="eastAsia"/>
              </w:rPr>
              <w:t>年初至报告期期末金额</w:t>
            </w:r>
          </w:p>
        </w:tc>
        <w:tc>
          <w:tcPr>
            <w:tcW w:w="496"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center"/>
            </w:pPr>
            <w:r>
              <w:rPr>
                <w:rFonts w:hint="eastAsia"/>
              </w:rPr>
              <w:t>说明</w:t>
            </w:r>
          </w:p>
        </w:tc>
      </w:tr>
      <w:tr w:rsidR="00EE7DA4" w:rsidTr="00022B3D">
        <w:tblPrEx>
          <w:tblCellMar>
            <w:top w:w="0" w:type="dxa"/>
            <w:bottom w:w="0" w:type="dxa"/>
          </w:tblCellMar>
        </w:tblPrEx>
        <w:tc>
          <w:tcPr>
            <w:tcW w:w="7088"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pPr>
            <w:r>
              <w:rPr>
                <w:rFonts w:hint="eastAsia"/>
              </w:rPr>
              <w:t>非流动资产处置损益（包括已计提资产减值准备的冲销部分）</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pPr>
            <w:r>
              <w:t>-257,966.23</w:t>
            </w:r>
          </w:p>
        </w:tc>
        <w:tc>
          <w:tcPr>
            <w:tcW w:w="496"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left"/>
            </w:pPr>
          </w:p>
        </w:tc>
      </w:tr>
      <w:tr w:rsidR="00EE7DA4" w:rsidTr="00022B3D">
        <w:tblPrEx>
          <w:tblCellMar>
            <w:top w:w="0" w:type="dxa"/>
            <w:bottom w:w="0" w:type="dxa"/>
          </w:tblCellMar>
        </w:tblPrEx>
        <w:tc>
          <w:tcPr>
            <w:tcW w:w="7088"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pPr>
            <w:r>
              <w:rPr>
                <w:rFonts w:hint="eastAsia"/>
              </w:rPr>
              <w:t>计入当期损益的政府补助（与企业业务密切相关，按照国家统一标准定额或定量享受的政府补助除外）</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pPr>
            <w:r>
              <w:t>7,037,935.78</w:t>
            </w:r>
          </w:p>
        </w:tc>
        <w:tc>
          <w:tcPr>
            <w:tcW w:w="496"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left"/>
            </w:pPr>
          </w:p>
        </w:tc>
      </w:tr>
      <w:tr w:rsidR="00EE7DA4" w:rsidTr="00022B3D">
        <w:tblPrEx>
          <w:tblCellMar>
            <w:top w:w="0" w:type="dxa"/>
            <w:bottom w:w="0" w:type="dxa"/>
          </w:tblCellMar>
        </w:tblPrEx>
        <w:tc>
          <w:tcPr>
            <w:tcW w:w="7088"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pPr>
            <w:r>
              <w:rPr>
                <w:rFonts w:hint="eastAsia"/>
              </w:rPr>
              <w:t>除同公司正常经营业务相关的有效套期保值业务外，持有交易性金融资产、衍生金融资产、交易性金融负债、衍生金融负债产生的公允价值变动损益，以及处置交易性金融资产、衍生金融资产、交易性金融负债、衍生金融负债和其他债权投资取得的投资收益</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pPr>
            <w:r>
              <w:t>39,796,661.84</w:t>
            </w:r>
          </w:p>
        </w:tc>
        <w:tc>
          <w:tcPr>
            <w:tcW w:w="496"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left"/>
            </w:pPr>
          </w:p>
        </w:tc>
      </w:tr>
      <w:tr w:rsidR="00EE7DA4" w:rsidTr="00022B3D">
        <w:tblPrEx>
          <w:tblCellMar>
            <w:top w:w="0" w:type="dxa"/>
            <w:bottom w:w="0" w:type="dxa"/>
          </w:tblCellMar>
        </w:tblPrEx>
        <w:tc>
          <w:tcPr>
            <w:tcW w:w="7088"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pPr>
            <w:r>
              <w:rPr>
                <w:rFonts w:hint="eastAsia"/>
              </w:rPr>
              <w:t>除上述各项之外的其他营业外收入和支出</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pPr>
            <w:r>
              <w:t>3,581,067.11</w:t>
            </w:r>
          </w:p>
        </w:tc>
        <w:tc>
          <w:tcPr>
            <w:tcW w:w="496"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left"/>
            </w:pPr>
          </w:p>
        </w:tc>
      </w:tr>
      <w:tr w:rsidR="00EE7DA4" w:rsidTr="00022B3D">
        <w:tblPrEx>
          <w:tblCellMar>
            <w:top w:w="0" w:type="dxa"/>
            <w:bottom w:w="0" w:type="dxa"/>
          </w:tblCellMar>
        </w:tblPrEx>
        <w:tc>
          <w:tcPr>
            <w:tcW w:w="7088"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pPr>
            <w:r>
              <w:rPr>
                <w:rFonts w:hint="eastAsia"/>
              </w:rPr>
              <w:t>减：所得税影响额</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pPr>
            <w:r>
              <w:t>10,604,688.86</w:t>
            </w:r>
          </w:p>
        </w:tc>
        <w:tc>
          <w:tcPr>
            <w:tcW w:w="496"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left"/>
            </w:pPr>
          </w:p>
        </w:tc>
      </w:tr>
      <w:tr w:rsidR="00EE7DA4" w:rsidTr="00022B3D">
        <w:tblPrEx>
          <w:tblCellMar>
            <w:top w:w="0" w:type="dxa"/>
            <w:bottom w:w="0" w:type="dxa"/>
          </w:tblCellMar>
        </w:tblPrEx>
        <w:tc>
          <w:tcPr>
            <w:tcW w:w="7088"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pPr>
            <w:r>
              <w:rPr>
                <w:rFonts w:hint="eastAsia"/>
              </w:rPr>
              <w:t xml:space="preserve">　　少数股东权益影响额（税后）</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pPr>
            <w:r>
              <w:t>1,763,125.29</w:t>
            </w:r>
          </w:p>
        </w:tc>
        <w:tc>
          <w:tcPr>
            <w:tcW w:w="496"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left"/>
            </w:pPr>
          </w:p>
        </w:tc>
      </w:tr>
      <w:tr w:rsidR="00EE7DA4" w:rsidTr="00022B3D">
        <w:tblPrEx>
          <w:tblCellMar>
            <w:top w:w="0" w:type="dxa"/>
            <w:bottom w:w="0" w:type="dxa"/>
          </w:tblCellMar>
        </w:tblPrEx>
        <w:tc>
          <w:tcPr>
            <w:tcW w:w="7088"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pPr>
            <w:r>
              <w:rPr>
                <w:rFonts w:hint="eastAsia"/>
              </w:rPr>
              <w:t>合计</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pPr>
            <w:r>
              <w:t>37,789,884.35</w:t>
            </w:r>
          </w:p>
        </w:tc>
        <w:tc>
          <w:tcPr>
            <w:tcW w:w="496"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center"/>
            </w:pPr>
            <w:r>
              <w:t>--</w:t>
            </w:r>
          </w:p>
        </w:tc>
      </w:tr>
    </w:tbl>
    <w:p w:rsidR="00EE7DA4" w:rsidRDefault="00EE7DA4">
      <w:pPr>
        <w:jc w:val="left"/>
      </w:pPr>
      <w:r>
        <w:rPr>
          <w:rFonts w:hint="eastAsia"/>
        </w:rPr>
        <w:t>对公司根据《公开发行证券的公司信息披露解释性公告第</w:t>
      </w:r>
      <w:r>
        <w:t>1</w:t>
      </w:r>
      <w:r>
        <w:rPr>
          <w:rFonts w:hint="eastAsia"/>
        </w:rPr>
        <w:t>号</w:t>
      </w:r>
      <w:r>
        <w:t>——</w:t>
      </w:r>
      <w:r>
        <w:rPr>
          <w:rFonts w:hint="eastAsia"/>
        </w:rPr>
        <w:t>非经常性损益》定义界定的非经常性损益项目，以及把《公开发行证券的公司信息披露解释性公告第</w:t>
      </w:r>
      <w:r>
        <w:t>1</w:t>
      </w:r>
      <w:r>
        <w:rPr>
          <w:rFonts w:hint="eastAsia"/>
        </w:rPr>
        <w:t>号</w:t>
      </w:r>
      <w:r>
        <w:t>——</w:t>
      </w:r>
      <w:r>
        <w:rPr>
          <w:rFonts w:hint="eastAsia"/>
        </w:rPr>
        <w:t>非经常性损益》中列举的非经常性损益项目界定为经常性损益的项目，应说明原因</w:t>
      </w:r>
    </w:p>
    <w:p w:rsidR="00EE7DA4" w:rsidRDefault="00EE7DA4">
      <w:pPr>
        <w:jc w:val="left"/>
      </w:pPr>
      <w:r>
        <w:t xml:space="preserve">□ </w:t>
      </w:r>
      <w:r>
        <w:rPr>
          <w:rFonts w:hint="eastAsia"/>
        </w:rPr>
        <w:t>适用</w:t>
      </w:r>
      <w:r>
        <w:t xml:space="preserve"> √ </w:t>
      </w:r>
      <w:r>
        <w:rPr>
          <w:rFonts w:hint="eastAsia"/>
        </w:rPr>
        <w:t>不适用</w:t>
      </w:r>
      <w:r>
        <w:t xml:space="preserve"> </w:t>
      </w:r>
    </w:p>
    <w:p w:rsidR="00EE7DA4" w:rsidRDefault="00EE7DA4">
      <w:pPr>
        <w:jc w:val="left"/>
      </w:pPr>
      <w:r>
        <w:rPr>
          <w:rFonts w:hint="eastAsia"/>
        </w:rPr>
        <w:lastRenderedPageBreak/>
        <w:t>公司报告期不存在将根据《公开发行证券的公司信息披露解释性公告第</w:t>
      </w:r>
      <w:r>
        <w:t>1</w:t>
      </w:r>
      <w:r>
        <w:rPr>
          <w:rFonts w:hint="eastAsia"/>
        </w:rPr>
        <w:t>号</w:t>
      </w:r>
      <w:r>
        <w:t>——</w:t>
      </w:r>
      <w:r>
        <w:rPr>
          <w:rFonts w:hint="eastAsia"/>
        </w:rPr>
        <w:t>非经常性损益》定义、列举的非经常性损益项目界定为经常性损益的项目的情形。</w:t>
      </w:r>
    </w:p>
    <w:p w:rsidR="00EE7DA4" w:rsidRDefault="00EE7DA4">
      <w:pPr>
        <w:pStyle w:val="Chapter"/>
        <w:outlineLvl w:val="1"/>
      </w:pPr>
      <w:r>
        <w:rPr>
          <w:rFonts w:hint="eastAsia"/>
        </w:rPr>
        <w:t>二、报告期末股东总数及前十名股东持股情况表</w:t>
      </w:r>
    </w:p>
    <w:p w:rsidR="00EE7DA4" w:rsidRDefault="00EE7DA4">
      <w:pPr>
        <w:pStyle w:val="Section"/>
        <w:outlineLvl w:val="2"/>
      </w:pPr>
      <w:r>
        <w:t>1</w:t>
      </w:r>
      <w:r>
        <w:rPr>
          <w:rFonts w:hint="eastAsia"/>
        </w:rPr>
        <w:t>、普通股股东总数和表决权恢复的优先股股东数量及前</w:t>
      </w:r>
      <w:r>
        <w:t>10</w:t>
      </w:r>
      <w:r>
        <w:rPr>
          <w:rFonts w:hint="eastAsia"/>
        </w:rPr>
        <w:t>名股东持股情况表</w:t>
      </w:r>
    </w:p>
    <w:p w:rsidR="00EE7DA4" w:rsidRDefault="00EE7DA4">
      <w:pPr>
        <w:jc w:val="right"/>
      </w:pPr>
      <w:r>
        <w:rPr>
          <w:rFonts w:hint="eastAsia"/>
        </w:rPr>
        <w:t>单位：股</w:t>
      </w:r>
    </w:p>
    <w:tbl>
      <w:tblPr>
        <w:tblW w:w="0" w:type="auto"/>
        <w:tblInd w:w="28" w:type="dxa"/>
        <w:tblLayout w:type="fixed"/>
        <w:tblCellMar>
          <w:left w:w="28" w:type="dxa"/>
          <w:right w:w="28" w:type="dxa"/>
        </w:tblCellMar>
        <w:tblLook w:val="0000" w:firstRow="0" w:lastRow="0" w:firstColumn="0" w:lastColumn="0" w:noHBand="0" w:noVBand="0"/>
      </w:tblPr>
      <w:tblGrid>
        <w:gridCol w:w="1985"/>
        <w:gridCol w:w="745"/>
        <w:gridCol w:w="531"/>
        <w:gridCol w:w="837"/>
        <w:gridCol w:w="580"/>
        <w:gridCol w:w="992"/>
        <w:gridCol w:w="284"/>
        <w:gridCol w:w="709"/>
        <w:gridCol w:w="171"/>
        <w:gridCol w:w="396"/>
        <w:gridCol w:w="708"/>
        <w:gridCol w:w="567"/>
        <w:gridCol w:w="567"/>
        <w:gridCol w:w="498"/>
      </w:tblGrid>
      <w:tr w:rsidR="00EE7DA4">
        <w:tblPrEx>
          <w:tblCellMar>
            <w:top w:w="0" w:type="dxa"/>
            <w:bottom w:w="0" w:type="dxa"/>
          </w:tblCellMar>
        </w:tblPrEx>
        <w:tc>
          <w:tcPr>
            <w:tcW w:w="2730"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pPr>
            <w:r>
              <w:rPr>
                <w:rFonts w:hint="eastAsia"/>
              </w:rPr>
              <w:t>报告期末普通股股东总数</w:t>
            </w:r>
          </w:p>
        </w:tc>
        <w:tc>
          <w:tcPr>
            <w:tcW w:w="13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pPr>
            <w:r>
              <w:t>16,438</w:t>
            </w:r>
          </w:p>
        </w:tc>
        <w:tc>
          <w:tcPr>
            <w:tcW w:w="2736" w:type="dxa"/>
            <w:gridSpan w:val="5"/>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pPr>
            <w:r>
              <w:rPr>
                <w:rFonts w:hint="eastAsia"/>
              </w:rPr>
              <w:t>报告期末表决权恢复的优先股股东总数（如有）</w:t>
            </w:r>
          </w:p>
        </w:tc>
        <w:tc>
          <w:tcPr>
            <w:tcW w:w="273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pPr>
            <w:r>
              <w:t>0</w:t>
            </w:r>
          </w:p>
        </w:tc>
      </w:tr>
      <w:tr w:rsidR="00EE7DA4">
        <w:tblPrEx>
          <w:tblCellMar>
            <w:top w:w="0" w:type="dxa"/>
            <w:bottom w:w="0" w:type="dxa"/>
          </w:tblCellMar>
        </w:tblPrEx>
        <w:tc>
          <w:tcPr>
            <w:tcW w:w="9570" w:type="dxa"/>
            <w:gridSpan w:val="14"/>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center"/>
            </w:pPr>
            <w:r>
              <w:rPr>
                <w:rFonts w:hint="eastAsia"/>
              </w:rPr>
              <w:t>前</w:t>
            </w:r>
            <w:r>
              <w:t>10</w:t>
            </w:r>
            <w:r>
              <w:rPr>
                <w:rFonts w:hint="eastAsia"/>
              </w:rPr>
              <w:t>名股东持股情况</w:t>
            </w:r>
          </w:p>
        </w:tc>
      </w:tr>
      <w:tr w:rsidR="00EE7DA4" w:rsidTr="00022B3D">
        <w:tblPrEx>
          <w:tblCellMar>
            <w:top w:w="0" w:type="dxa"/>
            <w:bottom w:w="0" w:type="dxa"/>
          </w:tblCellMar>
        </w:tblPrEx>
        <w:tc>
          <w:tcPr>
            <w:tcW w:w="3261" w:type="dxa"/>
            <w:gridSpan w:val="3"/>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center"/>
            </w:pPr>
            <w:r>
              <w:rPr>
                <w:rFonts w:hint="eastAsia"/>
              </w:rPr>
              <w:t>股东名称</w:t>
            </w: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center"/>
            </w:pPr>
            <w:r>
              <w:rPr>
                <w:rFonts w:hint="eastAsia"/>
              </w:rPr>
              <w:t>股东性质</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center"/>
            </w:pPr>
            <w:r>
              <w:rPr>
                <w:rFonts w:hint="eastAsia"/>
              </w:rPr>
              <w:t>持股比例</w:t>
            </w:r>
          </w:p>
        </w:tc>
        <w:tc>
          <w:tcPr>
            <w:tcW w:w="993" w:type="dxa"/>
            <w:gridSpan w:val="2"/>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center"/>
            </w:pPr>
            <w:r>
              <w:rPr>
                <w:rFonts w:hint="eastAsia"/>
              </w:rPr>
              <w:t>持股数量</w:t>
            </w:r>
          </w:p>
        </w:tc>
        <w:tc>
          <w:tcPr>
            <w:tcW w:w="1275" w:type="dxa"/>
            <w:gridSpan w:val="3"/>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center"/>
            </w:pPr>
            <w:r>
              <w:rPr>
                <w:rFonts w:hint="eastAsia"/>
              </w:rPr>
              <w:t>持有有限售条件的股份数量</w:t>
            </w:r>
          </w:p>
        </w:tc>
        <w:tc>
          <w:tcPr>
            <w:tcW w:w="1632"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center"/>
            </w:pPr>
            <w:r>
              <w:rPr>
                <w:rFonts w:hint="eastAsia"/>
              </w:rPr>
              <w:t>质押或冻结情况</w:t>
            </w:r>
          </w:p>
        </w:tc>
      </w:tr>
      <w:tr w:rsidR="00EE7DA4" w:rsidTr="00022B3D">
        <w:tblPrEx>
          <w:tblCellMar>
            <w:top w:w="0" w:type="dxa"/>
            <w:bottom w:w="0" w:type="dxa"/>
          </w:tblCellMar>
        </w:tblPrEx>
        <w:tc>
          <w:tcPr>
            <w:tcW w:w="3261" w:type="dxa"/>
            <w:gridSpan w:val="3"/>
            <w:vMerge/>
            <w:tcBorders>
              <w:top w:val="single" w:sz="4" w:space="0" w:color="auto"/>
              <w:left w:val="single" w:sz="4" w:space="0" w:color="auto"/>
              <w:bottom w:val="single" w:sz="4" w:space="0" w:color="auto"/>
              <w:right w:val="single" w:sz="4" w:space="0" w:color="auto"/>
            </w:tcBorders>
            <w:vAlign w:val="center"/>
          </w:tcPr>
          <w:p w:rsidR="00EE7DA4" w:rsidRDefault="00EE7DA4">
            <w:pPr>
              <w:jc w:val="cente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EE7DA4" w:rsidRDefault="00EE7DA4">
            <w:pPr>
              <w:jc w:val="center"/>
            </w:pPr>
          </w:p>
        </w:tc>
        <w:tc>
          <w:tcPr>
            <w:tcW w:w="992" w:type="dxa"/>
            <w:vMerge/>
            <w:tcBorders>
              <w:top w:val="single" w:sz="4" w:space="0" w:color="auto"/>
              <w:left w:val="single" w:sz="4" w:space="0" w:color="auto"/>
              <w:bottom w:val="single" w:sz="4" w:space="0" w:color="auto"/>
              <w:right w:val="single" w:sz="4" w:space="0" w:color="auto"/>
            </w:tcBorders>
            <w:vAlign w:val="center"/>
          </w:tcPr>
          <w:p w:rsidR="00EE7DA4" w:rsidRDefault="00EE7DA4">
            <w:pPr>
              <w:jc w:val="center"/>
            </w:pPr>
          </w:p>
        </w:tc>
        <w:tc>
          <w:tcPr>
            <w:tcW w:w="993" w:type="dxa"/>
            <w:gridSpan w:val="2"/>
            <w:vMerge/>
            <w:tcBorders>
              <w:top w:val="single" w:sz="4" w:space="0" w:color="auto"/>
              <w:left w:val="single" w:sz="4" w:space="0" w:color="auto"/>
              <w:bottom w:val="single" w:sz="4" w:space="0" w:color="auto"/>
              <w:right w:val="single" w:sz="4" w:space="0" w:color="auto"/>
            </w:tcBorders>
            <w:vAlign w:val="center"/>
          </w:tcPr>
          <w:p w:rsidR="00EE7DA4" w:rsidRDefault="00EE7DA4">
            <w:pPr>
              <w:jc w:val="center"/>
            </w:pPr>
          </w:p>
        </w:tc>
        <w:tc>
          <w:tcPr>
            <w:tcW w:w="1275" w:type="dxa"/>
            <w:gridSpan w:val="3"/>
            <w:vMerge/>
            <w:tcBorders>
              <w:top w:val="single" w:sz="4" w:space="0" w:color="auto"/>
              <w:left w:val="single" w:sz="4" w:space="0" w:color="auto"/>
              <w:bottom w:val="single" w:sz="4" w:space="0" w:color="auto"/>
              <w:right w:val="single" w:sz="4" w:space="0" w:color="auto"/>
            </w:tcBorders>
            <w:vAlign w:val="center"/>
          </w:tcPr>
          <w:p w:rsidR="00EE7DA4" w:rsidRDefault="00EE7DA4">
            <w:pPr>
              <w:jc w:val="cente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center"/>
            </w:pPr>
            <w:r>
              <w:rPr>
                <w:rFonts w:hint="eastAsia"/>
              </w:rPr>
              <w:t>股份状态</w:t>
            </w:r>
          </w:p>
        </w:tc>
        <w:tc>
          <w:tcPr>
            <w:tcW w:w="498"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center"/>
            </w:pPr>
            <w:r>
              <w:rPr>
                <w:rFonts w:hint="eastAsia"/>
              </w:rPr>
              <w:t>数量</w:t>
            </w:r>
          </w:p>
        </w:tc>
      </w:tr>
      <w:tr w:rsidR="00EE7DA4" w:rsidTr="00022B3D">
        <w:tblPrEx>
          <w:tblCellMar>
            <w:top w:w="0" w:type="dxa"/>
            <w:bottom w:w="0" w:type="dxa"/>
          </w:tblCellMar>
        </w:tblPrEx>
        <w:tc>
          <w:tcPr>
            <w:tcW w:w="3261" w:type="dxa"/>
            <w:gridSpan w:val="3"/>
            <w:tcBorders>
              <w:top w:val="single" w:sz="4" w:space="0" w:color="auto"/>
              <w:left w:val="single" w:sz="4" w:space="0" w:color="auto"/>
              <w:bottom w:val="single" w:sz="4" w:space="0" w:color="auto"/>
              <w:right w:val="single" w:sz="4" w:space="0" w:color="auto"/>
            </w:tcBorders>
            <w:vAlign w:val="center"/>
          </w:tcPr>
          <w:p w:rsidR="00EE7DA4" w:rsidRDefault="00EE7DA4">
            <w:pPr>
              <w:jc w:val="left"/>
            </w:pPr>
            <w:r>
              <w:rPr>
                <w:rFonts w:hint="eastAsia"/>
              </w:rPr>
              <w:t>华孚控股有限公司</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EE7DA4" w:rsidRDefault="00EE7DA4">
            <w:pPr>
              <w:jc w:val="left"/>
            </w:pPr>
            <w:r>
              <w:rPr>
                <w:rFonts w:hint="eastAsia"/>
              </w:rPr>
              <w:t>境内非国有法人</w:t>
            </w:r>
          </w:p>
        </w:tc>
        <w:tc>
          <w:tcPr>
            <w:tcW w:w="992" w:type="dxa"/>
            <w:tcBorders>
              <w:top w:val="single" w:sz="4" w:space="0" w:color="auto"/>
              <w:left w:val="single" w:sz="4" w:space="0" w:color="auto"/>
              <w:bottom w:val="single" w:sz="4" w:space="0" w:color="auto"/>
              <w:right w:val="single" w:sz="4" w:space="0" w:color="auto"/>
            </w:tcBorders>
            <w:vAlign w:val="center"/>
          </w:tcPr>
          <w:p w:rsidR="00EE7DA4" w:rsidRDefault="00EE7DA4">
            <w:pPr>
              <w:jc w:val="right"/>
            </w:pPr>
            <w:r>
              <w:t>34.27%</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EE7DA4" w:rsidRDefault="00EE7DA4">
            <w:pPr>
              <w:jc w:val="right"/>
            </w:pPr>
            <w:r>
              <w:t>520,705,950</w:t>
            </w:r>
          </w:p>
        </w:tc>
        <w:tc>
          <w:tcPr>
            <w:tcW w:w="1275" w:type="dxa"/>
            <w:gridSpan w:val="3"/>
            <w:tcBorders>
              <w:top w:val="single" w:sz="4" w:space="0" w:color="auto"/>
              <w:left w:val="single" w:sz="4" w:space="0" w:color="auto"/>
              <w:bottom w:val="single" w:sz="4" w:space="0" w:color="auto"/>
              <w:right w:val="single" w:sz="4" w:space="0" w:color="auto"/>
            </w:tcBorders>
            <w:vAlign w:val="center"/>
          </w:tcPr>
          <w:p w:rsidR="00EE7DA4" w:rsidRDefault="00EE7DA4">
            <w:pPr>
              <w:jc w:val="right"/>
            </w:pPr>
            <w: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pPr>
          </w:p>
        </w:tc>
        <w:tc>
          <w:tcPr>
            <w:tcW w:w="498"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pPr>
          </w:p>
        </w:tc>
      </w:tr>
      <w:tr w:rsidR="00EE7DA4" w:rsidTr="00022B3D">
        <w:tblPrEx>
          <w:tblCellMar>
            <w:top w:w="0" w:type="dxa"/>
            <w:bottom w:w="0" w:type="dxa"/>
          </w:tblCellMar>
        </w:tblPrEx>
        <w:tc>
          <w:tcPr>
            <w:tcW w:w="3261" w:type="dxa"/>
            <w:gridSpan w:val="3"/>
            <w:tcBorders>
              <w:top w:val="single" w:sz="4" w:space="0" w:color="auto"/>
              <w:left w:val="single" w:sz="4" w:space="0" w:color="auto"/>
              <w:bottom w:val="single" w:sz="4" w:space="0" w:color="auto"/>
              <w:right w:val="single" w:sz="4" w:space="0" w:color="auto"/>
            </w:tcBorders>
            <w:vAlign w:val="center"/>
          </w:tcPr>
          <w:p w:rsidR="00EE7DA4" w:rsidRDefault="00EE7DA4">
            <w:pPr>
              <w:jc w:val="left"/>
            </w:pPr>
            <w:r>
              <w:rPr>
                <w:rFonts w:hint="eastAsia"/>
              </w:rPr>
              <w:t>安徽飞亚纺织有限公司</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EE7DA4" w:rsidRDefault="00EE7DA4">
            <w:pPr>
              <w:jc w:val="left"/>
            </w:pPr>
            <w:r>
              <w:rPr>
                <w:rFonts w:hint="eastAsia"/>
              </w:rPr>
              <w:t>境内非国有法人</w:t>
            </w:r>
          </w:p>
        </w:tc>
        <w:tc>
          <w:tcPr>
            <w:tcW w:w="992" w:type="dxa"/>
            <w:tcBorders>
              <w:top w:val="single" w:sz="4" w:space="0" w:color="auto"/>
              <w:left w:val="single" w:sz="4" w:space="0" w:color="auto"/>
              <w:bottom w:val="single" w:sz="4" w:space="0" w:color="auto"/>
              <w:right w:val="single" w:sz="4" w:space="0" w:color="auto"/>
            </w:tcBorders>
            <w:vAlign w:val="center"/>
          </w:tcPr>
          <w:p w:rsidR="00EE7DA4" w:rsidRDefault="00EE7DA4">
            <w:pPr>
              <w:jc w:val="right"/>
            </w:pPr>
            <w:r>
              <w:t>8.49%</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EE7DA4" w:rsidRDefault="00EE7DA4">
            <w:pPr>
              <w:jc w:val="right"/>
            </w:pPr>
            <w:r>
              <w:t>129,058,312</w:t>
            </w:r>
          </w:p>
        </w:tc>
        <w:tc>
          <w:tcPr>
            <w:tcW w:w="1275" w:type="dxa"/>
            <w:gridSpan w:val="3"/>
            <w:tcBorders>
              <w:top w:val="single" w:sz="4" w:space="0" w:color="auto"/>
              <w:left w:val="single" w:sz="4" w:space="0" w:color="auto"/>
              <w:bottom w:val="single" w:sz="4" w:space="0" w:color="auto"/>
              <w:right w:val="single" w:sz="4" w:space="0" w:color="auto"/>
            </w:tcBorders>
            <w:vAlign w:val="center"/>
          </w:tcPr>
          <w:p w:rsidR="00EE7DA4" w:rsidRDefault="00EE7DA4">
            <w:pPr>
              <w:jc w:val="right"/>
            </w:pPr>
            <w: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pPr>
          </w:p>
        </w:tc>
        <w:tc>
          <w:tcPr>
            <w:tcW w:w="498"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pPr>
          </w:p>
        </w:tc>
      </w:tr>
      <w:tr w:rsidR="00EE7DA4" w:rsidTr="00022B3D">
        <w:tblPrEx>
          <w:tblCellMar>
            <w:top w:w="0" w:type="dxa"/>
            <w:bottom w:w="0" w:type="dxa"/>
          </w:tblCellMar>
        </w:tblPrEx>
        <w:tc>
          <w:tcPr>
            <w:tcW w:w="3261" w:type="dxa"/>
            <w:gridSpan w:val="3"/>
            <w:tcBorders>
              <w:top w:val="single" w:sz="4" w:space="0" w:color="auto"/>
              <w:left w:val="single" w:sz="4" w:space="0" w:color="auto"/>
              <w:bottom w:val="single" w:sz="4" w:space="0" w:color="auto"/>
              <w:right w:val="single" w:sz="4" w:space="0" w:color="auto"/>
            </w:tcBorders>
            <w:vAlign w:val="center"/>
          </w:tcPr>
          <w:p w:rsidR="00EE7DA4" w:rsidRDefault="00EE7DA4">
            <w:pPr>
              <w:jc w:val="left"/>
            </w:pPr>
            <w:r>
              <w:rPr>
                <w:rFonts w:hint="eastAsia"/>
              </w:rPr>
              <w:t>深圳市华人投资有限公司</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EE7DA4" w:rsidRDefault="00EE7DA4">
            <w:pPr>
              <w:jc w:val="left"/>
            </w:pPr>
            <w:r>
              <w:rPr>
                <w:rFonts w:hint="eastAsia"/>
              </w:rPr>
              <w:t>境内非国有法人</w:t>
            </w:r>
          </w:p>
        </w:tc>
        <w:tc>
          <w:tcPr>
            <w:tcW w:w="992" w:type="dxa"/>
            <w:tcBorders>
              <w:top w:val="single" w:sz="4" w:space="0" w:color="auto"/>
              <w:left w:val="single" w:sz="4" w:space="0" w:color="auto"/>
              <w:bottom w:val="single" w:sz="4" w:space="0" w:color="auto"/>
              <w:right w:val="single" w:sz="4" w:space="0" w:color="auto"/>
            </w:tcBorders>
            <w:vAlign w:val="center"/>
          </w:tcPr>
          <w:p w:rsidR="00EE7DA4" w:rsidRDefault="00EE7DA4">
            <w:pPr>
              <w:jc w:val="right"/>
            </w:pPr>
            <w:r>
              <w:t>4.14%</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EE7DA4" w:rsidRDefault="00EE7DA4">
            <w:pPr>
              <w:jc w:val="right"/>
            </w:pPr>
            <w:r>
              <w:t>62,923,500</w:t>
            </w:r>
          </w:p>
        </w:tc>
        <w:tc>
          <w:tcPr>
            <w:tcW w:w="1275" w:type="dxa"/>
            <w:gridSpan w:val="3"/>
            <w:tcBorders>
              <w:top w:val="single" w:sz="4" w:space="0" w:color="auto"/>
              <w:left w:val="single" w:sz="4" w:space="0" w:color="auto"/>
              <w:bottom w:val="single" w:sz="4" w:space="0" w:color="auto"/>
              <w:right w:val="single" w:sz="4" w:space="0" w:color="auto"/>
            </w:tcBorders>
            <w:vAlign w:val="center"/>
          </w:tcPr>
          <w:p w:rsidR="00EE7DA4" w:rsidRDefault="00EE7DA4">
            <w:pPr>
              <w:jc w:val="right"/>
            </w:pPr>
            <w: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pPr>
          </w:p>
        </w:tc>
        <w:tc>
          <w:tcPr>
            <w:tcW w:w="498"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pPr>
          </w:p>
        </w:tc>
      </w:tr>
      <w:tr w:rsidR="00EE7DA4" w:rsidTr="00022B3D">
        <w:tblPrEx>
          <w:tblCellMar>
            <w:top w:w="0" w:type="dxa"/>
            <w:bottom w:w="0" w:type="dxa"/>
          </w:tblCellMar>
        </w:tblPrEx>
        <w:tc>
          <w:tcPr>
            <w:tcW w:w="3261" w:type="dxa"/>
            <w:gridSpan w:val="3"/>
            <w:tcBorders>
              <w:top w:val="single" w:sz="4" w:space="0" w:color="auto"/>
              <w:left w:val="single" w:sz="4" w:space="0" w:color="auto"/>
              <w:bottom w:val="single" w:sz="4" w:space="0" w:color="auto"/>
              <w:right w:val="single" w:sz="4" w:space="0" w:color="auto"/>
            </w:tcBorders>
            <w:vAlign w:val="center"/>
          </w:tcPr>
          <w:p w:rsidR="00EE7DA4" w:rsidRDefault="00EE7DA4">
            <w:pPr>
              <w:jc w:val="left"/>
            </w:pPr>
            <w:r>
              <w:rPr>
                <w:rFonts w:hint="eastAsia"/>
              </w:rPr>
              <w:t>金元顺安基金－兴业银行－上海爱建信托－爱建信托欣欣</w:t>
            </w:r>
            <w:r>
              <w:t>7</w:t>
            </w:r>
            <w:r>
              <w:rPr>
                <w:rFonts w:hint="eastAsia"/>
              </w:rPr>
              <w:t>号定向增发事务管理类单一资金信托</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EE7DA4" w:rsidRDefault="00EE7DA4">
            <w:pPr>
              <w:jc w:val="left"/>
            </w:pPr>
            <w:r>
              <w:rPr>
                <w:rFonts w:hint="eastAsia"/>
              </w:rPr>
              <w:t>其他</w:t>
            </w:r>
          </w:p>
        </w:tc>
        <w:tc>
          <w:tcPr>
            <w:tcW w:w="992" w:type="dxa"/>
            <w:tcBorders>
              <w:top w:val="single" w:sz="4" w:space="0" w:color="auto"/>
              <w:left w:val="single" w:sz="4" w:space="0" w:color="auto"/>
              <w:bottom w:val="single" w:sz="4" w:space="0" w:color="auto"/>
              <w:right w:val="single" w:sz="4" w:space="0" w:color="auto"/>
            </w:tcBorders>
            <w:vAlign w:val="center"/>
          </w:tcPr>
          <w:p w:rsidR="00EE7DA4" w:rsidRDefault="00EE7DA4">
            <w:pPr>
              <w:jc w:val="right"/>
            </w:pPr>
            <w:r>
              <w:t>3.91%</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EE7DA4" w:rsidRDefault="00EE7DA4">
            <w:pPr>
              <w:jc w:val="right"/>
            </w:pPr>
            <w:r>
              <w:t>59,429,476</w:t>
            </w:r>
          </w:p>
        </w:tc>
        <w:tc>
          <w:tcPr>
            <w:tcW w:w="1275" w:type="dxa"/>
            <w:gridSpan w:val="3"/>
            <w:tcBorders>
              <w:top w:val="single" w:sz="4" w:space="0" w:color="auto"/>
              <w:left w:val="single" w:sz="4" w:space="0" w:color="auto"/>
              <w:bottom w:val="single" w:sz="4" w:space="0" w:color="auto"/>
              <w:right w:val="single" w:sz="4" w:space="0" w:color="auto"/>
            </w:tcBorders>
            <w:vAlign w:val="center"/>
          </w:tcPr>
          <w:p w:rsidR="00EE7DA4" w:rsidRDefault="00EE7DA4">
            <w:pPr>
              <w:jc w:val="right"/>
            </w:pPr>
            <w: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pPr>
          </w:p>
        </w:tc>
        <w:tc>
          <w:tcPr>
            <w:tcW w:w="498"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pPr>
          </w:p>
        </w:tc>
      </w:tr>
      <w:tr w:rsidR="00EE7DA4" w:rsidTr="00022B3D">
        <w:tblPrEx>
          <w:tblCellMar>
            <w:top w:w="0" w:type="dxa"/>
            <w:bottom w:w="0" w:type="dxa"/>
          </w:tblCellMar>
        </w:tblPrEx>
        <w:tc>
          <w:tcPr>
            <w:tcW w:w="3261" w:type="dxa"/>
            <w:gridSpan w:val="3"/>
            <w:tcBorders>
              <w:top w:val="single" w:sz="4" w:space="0" w:color="auto"/>
              <w:left w:val="single" w:sz="4" w:space="0" w:color="auto"/>
              <w:bottom w:val="single" w:sz="4" w:space="0" w:color="auto"/>
              <w:right w:val="single" w:sz="4" w:space="0" w:color="auto"/>
            </w:tcBorders>
            <w:vAlign w:val="center"/>
          </w:tcPr>
          <w:p w:rsidR="00EE7DA4" w:rsidRDefault="00EE7DA4">
            <w:pPr>
              <w:jc w:val="left"/>
            </w:pPr>
            <w:r>
              <w:rPr>
                <w:rFonts w:hint="eastAsia"/>
              </w:rPr>
              <w:t>金鹰基金－工商银行－万向信托－万向信托－星辰</w:t>
            </w:r>
            <w:r>
              <w:t>39</w:t>
            </w:r>
            <w:r>
              <w:rPr>
                <w:rFonts w:hint="eastAsia"/>
              </w:rPr>
              <w:t>号事务管理类单一资金信托</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EE7DA4" w:rsidRDefault="00EE7DA4">
            <w:pPr>
              <w:jc w:val="left"/>
            </w:pPr>
            <w:r>
              <w:rPr>
                <w:rFonts w:hint="eastAsia"/>
              </w:rPr>
              <w:t>其他</w:t>
            </w:r>
          </w:p>
        </w:tc>
        <w:tc>
          <w:tcPr>
            <w:tcW w:w="992" w:type="dxa"/>
            <w:tcBorders>
              <w:top w:val="single" w:sz="4" w:space="0" w:color="auto"/>
              <w:left w:val="single" w:sz="4" w:space="0" w:color="auto"/>
              <w:bottom w:val="single" w:sz="4" w:space="0" w:color="auto"/>
              <w:right w:val="single" w:sz="4" w:space="0" w:color="auto"/>
            </w:tcBorders>
            <w:vAlign w:val="center"/>
          </w:tcPr>
          <w:p w:rsidR="00EE7DA4" w:rsidRDefault="00EE7DA4">
            <w:pPr>
              <w:jc w:val="right"/>
            </w:pPr>
            <w:r>
              <w:t>3.91%</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EE7DA4" w:rsidRDefault="00EE7DA4">
            <w:pPr>
              <w:jc w:val="right"/>
            </w:pPr>
            <w:r>
              <w:t>59,429,476</w:t>
            </w:r>
          </w:p>
        </w:tc>
        <w:tc>
          <w:tcPr>
            <w:tcW w:w="1275" w:type="dxa"/>
            <w:gridSpan w:val="3"/>
            <w:tcBorders>
              <w:top w:val="single" w:sz="4" w:space="0" w:color="auto"/>
              <w:left w:val="single" w:sz="4" w:space="0" w:color="auto"/>
              <w:bottom w:val="single" w:sz="4" w:space="0" w:color="auto"/>
              <w:right w:val="single" w:sz="4" w:space="0" w:color="auto"/>
            </w:tcBorders>
            <w:vAlign w:val="center"/>
          </w:tcPr>
          <w:p w:rsidR="00EE7DA4" w:rsidRDefault="00EE7DA4">
            <w:pPr>
              <w:jc w:val="right"/>
            </w:pPr>
            <w: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pPr>
          </w:p>
        </w:tc>
        <w:tc>
          <w:tcPr>
            <w:tcW w:w="498"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pPr>
          </w:p>
        </w:tc>
      </w:tr>
      <w:tr w:rsidR="00EE7DA4" w:rsidTr="00022B3D">
        <w:tblPrEx>
          <w:tblCellMar>
            <w:top w:w="0" w:type="dxa"/>
            <w:bottom w:w="0" w:type="dxa"/>
          </w:tblCellMar>
        </w:tblPrEx>
        <w:tc>
          <w:tcPr>
            <w:tcW w:w="3261" w:type="dxa"/>
            <w:gridSpan w:val="3"/>
            <w:tcBorders>
              <w:top w:val="single" w:sz="4" w:space="0" w:color="auto"/>
              <w:left w:val="single" w:sz="4" w:space="0" w:color="auto"/>
              <w:bottom w:val="single" w:sz="4" w:space="0" w:color="auto"/>
              <w:right w:val="single" w:sz="4" w:space="0" w:color="auto"/>
            </w:tcBorders>
            <w:vAlign w:val="center"/>
          </w:tcPr>
          <w:p w:rsidR="00EE7DA4" w:rsidRDefault="00EE7DA4">
            <w:pPr>
              <w:jc w:val="left"/>
            </w:pPr>
            <w:r>
              <w:rPr>
                <w:rFonts w:hint="eastAsia"/>
              </w:rPr>
              <w:t>华孚时尚股份有限公司－第三期员工持股计划</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EE7DA4" w:rsidRDefault="00EE7DA4">
            <w:pPr>
              <w:jc w:val="left"/>
            </w:pPr>
            <w:r>
              <w:rPr>
                <w:rFonts w:hint="eastAsia"/>
              </w:rPr>
              <w:t>其他</w:t>
            </w:r>
          </w:p>
        </w:tc>
        <w:tc>
          <w:tcPr>
            <w:tcW w:w="992" w:type="dxa"/>
            <w:tcBorders>
              <w:top w:val="single" w:sz="4" w:space="0" w:color="auto"/>
              <w:left w:val="single" w:sz="4" w:space="0" w:color="auto"/>
              <w:bottom w:val="single" w:sz="4" w:space="0" w:color="auto"/>
              <w:right w:val="single" w:sz="4" w:space="0" w:color="auto"/>
            </w:tcBorders>
            <w:vAlign w:val="center"/>
          </w:tcPr>
          <w:p w:rsidR="00EE7DA4" w:rsidRDefault="00EE7DA4">
            <w:pPr>
              <w:jc w:val="right"/>
            </w:pPr>
            <w:r>
              <w:t>1.78%</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EE7DA4" w:rsidRDefault="00EE7DA4">
            <w:pPr>
              <w:jc w:val="right"/>
            </w:pPr>
            <w:r>
              <w:t>27,119,969</w:t>
            </w:r>
          </w:p>
        </w:tc>
        <w:tc>
          <w:tcPr>
            <w:tcW w:w="1275" w:type="dxa"/>
            <w:gridSpan w:val="3"/>
            <w:tcBorders>
              <w:top w:val="single" w:sz="4" w:space="0" w:color="auto"/>
              <w:left w:val="single" w:sz="4" w:space="0" w:color="auto"/>
              <w:bottom w:val="single" w:sz="4" w:space="0" w:color="auto"/>
              <w:right w:val="single" w:sz="4" w:space="0" w:color="auto"/>
            </w:tcBorders>
            <w:vAlign w:val="center"/>
          </w:tcPr>
          <w:p w:rsidR="00EE7DA4" w:rsidRDefault="00EE7DA4">
            <w:pPr>
              <w:jc w:val="right"/>
            </w:pPr>
            <w: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pPr>
          </w:p>
        </w:tc>
        <w:tc>
          <w:tcPr>
            <w:tcW w:w="498"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pPr>
          </w:p>
        </w:tc>
      </w:tr>
      <w:tr w:rsidR="00EE7DA4" w:rsidTr="00022B3D">
        <w:tblPrEx>
          <w:tblCellMar>
            <w:top w:w="0" w:type="dxa"/>
            <w:bottom w:w="0" w:type="dxa"/>
          </w:tblCellMar>
        </w:tblPrEx>
        <w:tc>
          <w:tcPr>
            <w:tcW w:w="3261" w:type="dxa"/>
            <w:gridSpan w:val="3"/>
            <w:tcBorders>
              <w:top w:val="single" w:sz="4" w:space="0" w:color="auto"/>
              <w:left w:val="single" w:sz="4" w:space="0" w:color="auto"/>
              <w:bottom w:val="single" w:sz="4" w:space="0" w:color="auto"/>
              <w:right w:val="single" w:sz="4" w:space="0" w:color="auto"/>
            </w:tcBorders>
            <w:vAlign w:val="center"/>
          </w:tcPr>
          <w:p w:rsidR="00EE7DA4" w:rsidRDefault="00EE7DA4">
            <w:pPr>
              <w:jc w:val="left"/>
            </w:pPr>
            <w:r>
              <w:rPr>
                <w:rFonts w:hint="eastAsia"/>
              </w:rPr>
              <w:t>富荣基金－深圳市前海富银城投基金管理有限公司－富荣卓越</w:t>
            </w:r>
            <w:r>
              <w:t>1</w:t>
            </w:r>
            <w:r>
              <w:rPr>
                <w:rFonts w:hint="eastAsia"/>
              </w:rPr>
              <w:t>号单一资产管理计划</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EE7DA4" w:rsidRDefault="00EE7DA4">
            <w:pPr>
              <w:jc w:val="left"/>
            </w:pPr>
            <w:r>
              <w:rPr>
                <w:rFonts w:hint="eastAsia"/>
              </w:rPr>
              <w:t>其他</w:t>
            </w:r>
          </w:p>
        </w:tc>
        <w:tc>
          <w:tcPr>
            <w:tcW w:w="992" w:type="dxa"/>
            <w:tcBorders>
              <w:top w:val="single" w:sz="4" w:space="0" w:color="auto"/>
              <w:left w:val="single" w:sz="4" w:space="0" w:color="auto"/>
              <w:bottom w:val="single" w:sz="4" w:space="0" w:color="auto"/>
              <w:right w:val="single" w:sz="4" w:space="0" w:color="auto"/>
            </w:tcBorders>
            <w:vAlign w:val="center"/>
          </w:tcPr>
          <w:p w:rsidR="00EE7DA4" w:rsidRDefault="00EE7DA4">
            <w:pPr>
              <w:jc w:val="right"/>
            </w:pPr>
            <w:r>
              <w:t>1.77%</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EE7DA4" w:rsidRDefault="00EE7DA4">
            <w:pPr>
              <w:jc w:val="right"/>
            </w:pPr>
            <w:r>
              <w:t>26,927,100</w:t>
            </w:r>
          </w:p>
        </w:tc>
        <w:tc>
          <w:tcPr>
            <w:tcW w:w="1275" w:type="dxa"/>
            <w:gridSpan w:val="3"/>
            <w:tcBorders>
              <w:top w:val="single" w:sz="4" w:space="0" w:color="auto"/>
              <w:left w:val="single" w:sz="4" w:space="0" w:color="auto"/>
              <w:bottom w:val="single" w:sz="4" w:space="0" w:color="auto"/>
              <w:right w:val="single" w:sz="4" w:space="0" w:color="auto"/>
            </w:tcBorders>
            <w:vAlign w:val="center"/>
          </w:tcPr>
          <w:p w:rsidR="00EE7DA4" w:rsidRDefault="00EE7DA4">
            <w:pPr>
              <w:jc w:val="right"/>
            </w:pPr>
            <w: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pPr>
          </w:p>
        </w:tc>
        <w:tc>
          <w:tcPr>
            <w:tcW w:w="498"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pPr>
          </w:p>
        </w:tc>
      </w:tr>
      <w:tr w:rsidR="00EE7DA4" w:rsidTr="00022B3D">
        <w:tblPrEx>
          <w:tblCellMar>
            <w:top w:w="0" w:type="dxa"/>
            <w:bottom w:w="0" w:type="dxa"/>
          </w:tblCellMar>
        </w:tblPrEx>
        <w:tc>
          <w:tcPr>
            <w:tcW w:w="3261" w:type="dxa"/>
            <w:gridSpan w:val="3"/>
            <w:tcBorders>
              <w:top w:val="single" w:sz="4" w:space="0" w:color="auto"/>
              <w:left w:val="single" w:sz="4" w:space="0" w:color="auto"/>
              <w:bottom w:val="single" w:sz="4" w:space="0" w:color="auto"/>
              <w:right w:val="single" w:sz="4" w:space="0" w:color="auto"/>
            </w:tcBorders>
            <w:vAlign w:val="center"/>
          </w:tcPr>
          <w:p w:rsidR="00EE7DA4" w:rsidRDefault="00EE7DA4">
            <w:pPr>
              <w:jc w:val="left"/>
            </w:pPr>
            <w:r>
              <w:rPr>
                <w:rFonts w:hint="eastAsia"/>
              </w:rPr>
              <w:t>上海景熙资产管理有限公司－景熙－长阳</w:t>
            </w:r>
            <w:r>
              <w:t>9</w:t>
            </w:r>
            <w:r>
              <w:rPr>
                <w:rFonts w:hint="eastAsia"/>
              </w:rPr>
              <w:t>号私募证券投资基金</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EE7DA4" w:rsidRDefault="00EE7DA4">
            <w:pPr>
              <w:jc w:val="left"/>
            </w:pPr>
            <w:r>
              <w:rPr>
                <w:rFonts w:hint="eastAsia"/>
              </w:rPr>
              <w:t>其他</w:t>
            </w:r>
          </w:p>
        </w:tc>
        <w:tc>
          <w:tcPr>
            <w:tcW w:w="992" w:type="dxa"/>
            <w:tcBorders>
              <w:top w:val="single" w:sz="4" w:space="0" w:color="auto"/>
              <w:left w:val="single" w:sz="4" w:space="0" w:color="auto"/>
              <w:bottom w:val="single" w:sz="4" w:space="0" w:color="auto"/>
              <w:right w:val="single" w:sz="4" w:space="0" w:color="auto"/>
            </w:tcBorders>
            <w:vAlign w:val="center"/>
          </w:tcPr>
          <w:p w:rsidR="00EE7DA4" w:rsidRDefault="00EE7DA4">
            <w:pPr>
              <w:jc w:val="right"/>
            </w:pPr>
            <w:r>
              <w:t>1.76%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EE7DA4" w:rsidRDefault="00EE7DA4">
            <w:pPr>
              <w:jc w:val="right"/>
            </w:pPr>
            <w:r>
              <w:t>26,814,586</w:t>
            </w:r>
          </w:p>
        </w:tc>
        <w:tc>
          <w:tcPr>
            <w:tcW w:w="1275" w:type="dxa"/>
            <w:gridSpan w:val="3"/>
            <w:tcBorders>
              <w:top w:val="single" w:sz="4" w:space="0" w:color="auto"/>
              <w:left w:val="single" w:sz="4" w:space="0" w:color="auto"/>
              <w:bottom w:val="single" w:sz="4" w:space="0" w:color="auto"/>
              <w:right w:val="single" w:sz="4" w:space="0" w:color="auto"/>
            </w:tcBorders>
            <w:vAlign w:val="center"/>
          </w:tcPr>
          <w:p w:rsidR="00EE7DA4" w:rsidRDefault="00EE7DA4">
            <w:pPr>
              <w:jc w:val="right"/>
            </w:pPr>
            <w: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pPr>
          </w:p>
        </w:tc>
        <w:tc>
          <w:tcPr>
            <w:tcW w:w="498"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pPr>
          </w:p>
        </w:tc>
      </w:tr>
      <w:tr w:rsidR="00EE7DA4" w:rsidTr="00022B3D">
        <w:tblPrEx>
          <w:tblCellMar>
            <w:top w:w="0" w:type="dxa"/>
            <w:bottom w:w="0" w:type="dxa"/>
          </w:tblCellMar>
        </w:tblPrEx>
        <w:tc>
          <w:tcPr>
            <w:tcW w:w="3261" w:type="dxa"/>
            <w:gridSpan w:val="3"/>
            <w:tcBorders>
              <w:top w:val="single" w:sz="4" w:space="0" w:color="auto"/>
              <w:left w:val="single" w:sz="4" w:space="0" w:color="auto"/>
              <w:bottom w:val="single" w:sz="4" w:space="0" w:color="auto"/>
              <w:right w:val="single" w:sz="4" w:space="0" w:color="auto"/>
            </w:tcBorders>
            <w:vAlign w:val="center"/>
          </w:tcPr>
          <w:p w:rsidR="00EE7DA4" w:rsidRDefault="00EE7DA4">
            <w:pPr>
              <w:jc w:val="left"/>
            </w:pPr>
            <w:r>
              <w:rPr>
                <w:rFonts w:hint="eastAsia"/>
              </w:rPr>
              <w:t>泰达宏利基金－招商银行－长安国际信托－长安信托</w:t>
            </w:r>
            <w:r>
              <w:t>·</w:t>
            </w:r>
            <w:r>
              <w:rPr>
                <w:rFonts w:hint="eastAsia"/>
              </w:rPr>
              <w:t>华孚色纺定增单一资金信托</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EE7DA4" w:rsidRDefault="00EE7DA4">
            <w:pPr>
              <w:jc w:val="left"/>
            </w:pPr>
            <w:r>
              <w:rPr>
                <w:rFonts w:hint="eastAsia"/>
              </w:rPr>
              <w:t>其他</w:t>
            </w:r>
          </w:p>
        </w:tc>
        <w:tc>
          <w:tcPr>
            <w:tcW w:w="992" w:type="dxa"/>
            <w:tcBorders>
              <w:top w:val="single" w:sz="4" w:space="0" w:color="auto"/>
              <w:left w:val="single" w:sz="4" w:space="0" w:color="auto"/>
              <w:bottom w:val="single" w:sz="4" w:space="0" w:color="auto"/>
              <w:right w:val="single" w:sz="4" w:space="0" w:color="auto"/>
            </w:tcBorders>
            <w:vAlign w:val="center"/>
          </w:tcPr>
          <w:p w:rsidR="00EE7DA4" w:rsidRDefault="00EE7DA4">
            <w:pPr>
              <w:jc w:val="right"/>
            </w:pPr>
            <w:r>
              <w:t>1.71%</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EE7DA4" w:rsidRDefault="00EE7DA4">
            <w:pPr>
              <w:jc w:val="right"/>
            </w:pPr>
            <w:r>
              <w:t>25,921,002</w:t>
            </w:r>
          </w:p>
        </w:tc>
        <w:tc>
          <w:tcPr>
            <w:tcW w:w="1275" w:type="dxa"/>
            <w:gridSpan w:val="3"/>
            <w:tcBorders>
              <w:top w:val="single" w:sz="4" w:space="0" w:color="auto"/>
              <w:left w:val="single" w:sz="4" w:space="0" w:color="auto"/>
              <w:bottom w:val="single" w:sz="4" w:space="0" w:color="auto"/>
              <w:right w:val="single" w:sz="4" w:space="0" w:color="auto"/>
            </w:tcBorders>
            <w:vAlign w:val="center"/>
          </w:tcPr>
          <w:p w:rsidR="00EE7DA4" w:rsidRDefault="00EE7DA4">
            <w:pPr>
              <w:jc w:val="right"/>
            </w:pPr>
            <w: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pPr>
          </w:p>
        </w:tc>
        <w:tc>
          <w:tcPr>
            <w:tcW w:w="498"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pPr>
          </w:p>
        </w:tc>
      </w:tr>
      <w:tr w:rsidR="00EE7DA4" w:rsidTr="00022B3D">
        <w:tblPrEx>
          <w:tblCellMar>
            <w:top w:w="0" w:type="dxa"/>
            <w:bottom w:w="0" w:type="dxa"/>
          </w:tblCellMar>
        </w:tblPrEx>
        <w:tc>
          <w:tcPr>
            <w:tcW w:w="3261" w:type="dxa"/>
            <w:gridSpan w:val="3"/>
            <w:tcBorders>
              <w:top w:val="single" w:sz="4" w:space="0" w:color="auto"/>
              <w:left w:val="single" w:sz="4" w:space="0" w:color="auto"/>
              <w:bottom w:val="single" w:sz="4" w:space="0" w:color="auto"/>
              <w:right w:val="single" w:sz="4" w:space="0" w:color="auto"/>
            </w:tcBorders>
            <w:vAlign w:val="center"/>
          </w:tcPr>
          <w:p w:rsidR="00EE7DA4" w:rsidRDefault="00EE7DA4">
            <w:pPr>
              <w:jc w:val="left"/>
            </w:pPr>
            <w:r>
              <w:rPr>
                <w:rFonts w:hint="eastAsia"/>
              </w:rPr>
              <w:t>富安达基金－南京银行－厦门国际信托－财富共赢</w:t>
            </w:r>
            <w:r>
              <w:t>16</w:t>
            </w:r>
            <w:r>
              <w:rPr>
                <w:rFonts w:hint="eastAsia"/>
              </w:rPr>
              <w:t>号投资单一资金信托</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EE7DA4" w:rsidRDefault="00EE7DA4">
            <w:pPr>
              <w:jc w:val="left"/>
            </w:pPr>
            <w:r>
              <w:rPr>
                <w:rFonts w:hint="eastAsia"/>
              </w:rPr>
              <w:t>其他</w:t>
            </w:r>
          </w:p>
        </w:tc>
        <w:tc>
          <w:tcPr>
            <w:tcW w:w="992" w:type="dxa"/>
            <w:tcBorders>
              <w:top w:val="single" w:sz="4" w:space="0" w:color="auto"/>
              <w:left w:val="single" w:sz="4" w:space="0" w:color="auto"/>
              <w:bottom w:val="single" w:sz="4" w:space="0" w:color="auto"/>
              <w:right w:val="single" w:sz="4" w:space="0" w:color="auto"/>
            </w:tcBorders>
            <w:vAlign w:val="center"/>
          </w:tcPr>
          <w:p w:rsidR="00EE7DA4" w:rsidRDefault="00EE7DA4">
            <w:pPr>
              <w:jc w:val="right"/>
            </w:pPr>
            <w:r>
              <w:t>1.56%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EE7DA4" w:rsidRDefault="00EE7DA4">
            <w:pPr>
              <w:jc w:val="right"/>
            </w:pPr>
            <w:r>
              <w:t>23,771,790</w:t>
            </w:r>
          </w:p>
        </w:tc>
        <w:tc>
          <w:tcPr>
            <w:tcW w:w="1275" w:type="dxa"/>
            <w:gridSpan w:val="3"/>
            <w:tcBorders>
              <w:top w:val="single" w:sz="4" w:space="0" w:color="auto"/>
              <w:left w:val="single" w:sz="4" w:space="0" w:color="auto"/>
              <w:bottom w:val="single" w:sz="4" w:space="0" w:color="auto"/>
              <w:right w:val="single" w:sz="4" w:space="0" w:color="auto"/>
            </w:tcBorders>
            <w:vAlign w:val="center"/>
          </w:tcPr>
          <w:p w:rsidR="00EE7DA4" w:rsidRDefault="00EE7DA4">
            <w:pPr>
              <w:jc w:val="right"/>
            </w:pPr>
            <w: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pPr>
          </w:p>
        </w:tc>
        <w:tc>
          <w:tcPr>
            <w:tcW w:w="498"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pPr>
          </w:p>
        </w:tc>
      </w:tr>
      <w:tr w:rsidR="00EE7DA4">
        <w:tblPrEx>
          <w:tblCellMar>
            <w:top w:w="0" w:type="dxa"/>
            <w:bottom w:w="0" w:type="dxa"/>
          </w:tblCellMar>
        </w:tblPrEx>
        <w:tc>
          <w:tcPr>
            <w:tcW w:w="9570" w:type="dxa"/>
            <w:gridSpan w:val="14"/>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center"/>
            </w:pPr>
            <w:r>
              <w:rPr>
                <w:rFonts w:hint="eastAsia"/>
              </w:rPr>
              <w:t>前</w:t>
            </w:r>
            <w:r>
              <w:t>10</w:t>
            </w:r>
            <w:r>
              <w:rPr>
                <w:rFonts w:hint="eastAsia"/>
              </w:rPr>
              <w:t>名无限售条件股东持股情况</w:t>
            </w:r>
          </w:p>
        </w:tc>
      </w:tr>
      <w:tr w:rsidR="00EE7DA4" w:rsidTr="00022B3D">
        <w:tblPrEx>
          <w:tblCellMar>
            <w:top w:w="0" w:type="dxa"/>
            <w:bottom w:w="0" w:type="dxa"/>
          </w:tblCellMar>
        </w:tblPrEx>
        <w:tc>
          <w:tcPr>
            <w:tcW w:w="5954" w:type="dxa"/>
            <w:gridSpan w:val="7"/>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center"/>
            </w:pPr>
            <w:r>
              <w:rPr>
                <w:rFonts w:hint="eastAsia"/>
              </w:rPr>
              <w:t>股东名称</w:t>
            </w:r>
          </w:p>
        </w:tc>
        <w:tc>
          <w:tcPr>
            <w:tcW w:w="1276" w:type="dxa"/>
            <w:gridSpan w:val="3"/>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center"/>
            </w:pPr>
            <w:r>
              <w:rPr>
                <w:rFonts w:hint="eastAsia"/>
              </w:rPr>
              <w:t>持有无限售条件股份数量</w:t>
            </w:r>
          </w:p>
        </w:tc>
        <w:tc>
          <w:tcPr>
            <w:tcW w:w="2340" w:type="dxa"/>
            <w:gridSpan w:val="4"/>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center"/>
            </w:pPr>
            <w:r>
              <w:rPr>
                <w:rFonts w:hint="eastAsia"/>
              </w:rPr>
              <w:t>股份种类</w:t>
            </w:r>
          </w:p>
        </w:tc>
      </w:tr>
      <w:tr w:rsidR="00EE7DA4" w:rsidTr="00022B3D">
        <w:tblPrEx>
          <w:tblCellMar>
            <w:top w:w="0" w:type="dxa"/>
            <w:bottom w:w="0" w:type="dxa"/>
          </w:tblCellMar>
        </w:tblPrEx>
        <w:tc>
          <w:tcPr>
            <w:tcW w:w="5954" w:type="dxa"/>
            <w:gridSpan w:val="7"/>
            <w:vMerge/>
            <w:tcBorders>
              <w:top w:val="single" w:sz="4" w:space="0" w:color="auto"/>
              <w:left w:val="single" w:sz="4" w:space="0" w:color="auto"/>
              <w:bottom w:val="single" w:sz="4" w:space="0" w:color="auto"/>
              <w:right w:val="single" w:sz="4" w:space="0" w:color="auto"/>
            </w:tcBorders>
            <w:vAlign w:val="center"/>
          </w:tcPr>
          <w:p w:rsidR="00EE7DA4" w:rsidRDefault="00EE7DA4">
            <w:pPr>
              <w:jc w:val="center"/>
            </w:pPr>
          </w:p>
        </w:tc>
        <w:tc>
          <w:tcPr>
            <w:tcW w:w="1276" w:type="dxa"/>
            <w:gridSpan w:val="3"/>
            <w:vMerge/>
            <w:tcBorders>
              <w:top w:val="single" w:sz="4" w:space="0" w:color="auto"/>
              <w:left w:val="single" w:sz="4" w:space="0" w:color="auto"/>
              <w:bottom w:val="single" w:sz="4" w:space="0" w:color="auto"/>
              <w:right w:val="single" w:sz="4" w:space="0" w:color="auto"/>
            </w:tcBorders>
            <w:vAlign w:val="center"/>
          </w:tcPr>
          <w:p w:rsidR="00EE7DA4" w:rsidRDefault="00EE7DA4">
            <w:pPr>
              <w:jc w:val="cente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center"/>
            </w:pPr>
            <w:r>
              <w:rPr>
                <w:rFonts w:hint="eastAsia"/>
              </w:rPr>
              <w:t>股份种类</w:t>
            </w:r>
          </w:p>
        </w:tc>
        <w:tc>
          <w:tcPr>
            <w:tcW w:w="1065"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center"/>
            </w:pPr>
            <w:r>
              <w:rPr>
                <w:rFonts w:hint="eastAsia"/>
              </w:rPr>
              <w:t>数量</w:t>
            </w:r>
          </w:p>
        </w:tc>
      </w:tr>
      <w:tr w:rsidR="00EE7DA4" w:rsidTr="00022B3D">
        <w:tblPrEx>
          <w:tblCellMar>
            <w:top w:w="0" w:type="dxa"/>
            <w:bottom w:w="0" w:type="dxa"/>
          </w:tblCellMar>
        </w:tblPrEx>
        <w:tc>
          <w:tcPr>
            <w:tcW w:w="5954" w:type="dxa"/>
            <w:gridSpan w:val="7"/>
            <w:tcBorders>
              <w:top w:val="single" w:sz="4" w:space="0" w:color="auto"/>
              <w:left w:val="single" w:sz="4" w:space="0" w:color="auto"/>
              <w:bottom w:val="single" w:sz="4" w:space="0" w:color="auto"/>
              <w:right w:val="single" w:sz="4" w:space="0" w:color="auto"/>
            </w:tcBorders>
            <w:vAlign w:val="center"/>
          </w:tcPr>
          <w:p w:rsidR="00EE7DA4" w:rsidRDefault="00EE7DA4">
            <w:pPr>
              <w:jc w:val="left"/>
            </w:pPr>
            <w:r>
              <w:rPr>
                <w:rFonts w:hint="eastAsia"/>
              </w:rPr>
              <w:t>华孚控股有限公司</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EE7DA4" w:rsidRDefault="00EE7DA4">
            <w:pPr>
              <w:jc w:val="right"/>
            </w:pPr>
            <w:r>
              <w:t>520,705,950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left"/>
            </w:pPr>
            <w:r>
              <w:rPr>
                <w:rFonts w:hint="eastAsia"/>
              </w:rPr>
              <w:t>人民币普通股</w:t>
            </w:r>
          </w:p>
        </w:tc>
        <w:tc>
          <w:tcPr>
            <w:tcW w:w="106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pPr>
            <w:r>
              <w:t>520,705,950</w:t>
            </w:r>
          </w:p>
        </w:tc>
      </w:tr>
      <w:tr w:rsidR="00EE7DA4" w:rsidTr="00022B3D">
        <w:tblPrEx>
          <w:tblCellMar>
            <w:top w:w="0" w:type="dxa"/>
            <w:bottom w:w="0" w:type="dxa"/>
          </w:tblCellMar>
        </w:tblPrEx>
        <w:tc>
          <w:tcPr>
            <w:tcW w:w="5954" w:type="dxa"/>
            <w:gridSpan w:val="7"/>
            <w:tcBorders>
              <w:top w:val="single" w:sz="4" w:space="0" w:color="auto"/>
              <w:left w:val="single" w:sz="4" w:space="0" w:color="auto"/>
              <w:bottom w:val="single" w:sz="4" w:space="0" w:color="auto"/>
              <w:right w:val="single" w:sz="4" w:space="0" w:color="auto"/>
            </w:tcBorders>
            <w:vAlign w:val="center"/>
          </w:tcPr>
          <w:p w:rsidR="00EE7DA4" w:rsidRDefault="00EE7DA4">
            <w:pPr>
              <w:jc w:val="left"/>
            </w:pPr>
            <w:r>
              <w:rPr>
                <w:rFonts w:hint="eastAsia"/>
              </w:rPr>
              <w:t>安徽飞亚纺织有限公司</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EE7DA4" w:rsidRDefault="00EE7DA4">
            <w:pPr>
              <w:jc w:val="right"/>
            </w:pPr>
            <w:r>
              <w:t>129,058,312</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left"/>
            </w:pPr>
            <w:r>
              <w:rPr>
                <w:rFonts w:hint="eastAsia"/>
              </w:rPr>
              <w:t>人民币普通股</w:t>
            </w:r>
          </w:p>
        </w:tc>
        <w:tc>
          <w:tcPr>
            <w:tcW w:w="106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pPr>
            <w:r>
              <w:t>129,058,312</w:t>
            </w:r>
          </w:p>
        </w:tc>
      </w:tr>
      <w:tr w:rsidR="00EE7DA4" w:rsidTr="00022B3D">
        <w:tblPrEx>
          <w:tblCellMar>
            <w:top w:w="0" w:type="dxa"/>
            <w:bottom w:w="0" w:type="dxa"/>
          </w:tblCellMar>
        </w:tblPrEx>
        <w:tc>
          <w:tcPr>
            <w:tcW w:w="5954" w:type="dxa"/>
            <w:gridSpan w:val="7"/>
            <w:tcBorders>
              <w:top w:val="single" w:sz="4" w:space="0" w:color="auto"/>
              <w:left w:val="single" w:sz="4" w:space="0" w:color="auto"/>
              <w:bottom w:val="single" w:sz="4" w:space="0" w:color="auto"/>
              <w:right w:val="single" w:sz="4" w:space="0" w:color="auto"/>
            </w:tcBorders>
            <w:vAlign w:val="center"/>
          </w:tcPr>
          <w:p w:rsidR="00EE7DA4" w:rsidRDefault="00EE7DA4">
            <w:pPr>
              <w:jc w:val="left"/>
            </w:pPr>
            <w:r>
              <w:rPr>
                <w:rFonts w:hint="eastAsia"/>
              </w:rPr>
              <w:lastRenderedPageBreak/>
              <w:t>深圳市华人投资有限公司</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EE7DA4" w:rsidRDefault="00EE7DA4">
            <w:pPr>
              <w:jc w:val="right"/>
            </w:pPr>
            <w:r>
              <w:t>62,923,500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left"/>
            </w:pPr>
            <w:r>
              <w:rPr>
                <w:rFonts w:hint="eastAsia"/>
              </w:rPr>
              <w:t>人民币普通股</w:t>
            </w:r>
          </w:p>
        </w:tc>
        <w:tc>
          <w:tcPr>
            <w:tcW w:w="106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pPr>
            <w:r>
              <w:t>62,923,500</w:t>
            </w:r>
          </w:p>
        </w:tc>
      </w:tr>
      <w:tr w:rsidR="00EE7DA4" w:rsidTr="00022B3D">
        <w:tblPrEx>
          <w:tblCellMar>
            <w:top w:w="0" w:type="dxa"/>
            <w:bottom w:w="0" w:type="dxa"/>
          </w:tblCellMar>
        </w:tblPrEx>
        <w:tc>
          <w:tcPr>
            <w:tcW w:w="5954" w:type="dxa"/>
            <w:gridSpan w:val="7"/>
            <w:tcBorders>
              <w:top w:val="single" w:sz="4" w:space="0" w:color="auto"/>
              <w:left w:val="single" w:sz="4" w:space="0" w:color="auto"/>
              <w:bottom w:val="single" w:sz="4" w:space="0" w:color="auto"/>
              <w:right w:val="single" w:sz="4" w:space="0" w:color="auto"/>
            </w:tcBorders>
            <w:vAlign w:val="center"/>
          </w:tcPr>
          <w:p w:rsidR="00EE7DA4" w:rsidRDefault="00EE7DA4">
            <w:pPr>
              <w:jc w:val="left"/>
            </w:pPr>
            <w:r>
              <w:rPr>
                <w:rFonts w:hint="eastAsia"/>
              </w:rPr>
              <w:t>金元顺安基金－兴业银行－上海爱建信托－爱建信托欣欣</w:t>
            </w:r>
            <w:r>
              <w:t>7</w:t>
            </w:r>
            <w:r>
              <w:rPr>
                <w:rFonts w:hint="eastAsia"/>
              </w:rPr>
              <w:t>号定向增发事务管理类单一资金信托</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EE7DA4" w:rsidRDefault="00EE7DA4">
            <w:pPr>
              <w:jc w:val="right"/>
            </w:pPr>
            <w:r>
              <w:t>59,429,476</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left"/>
            </w:pPr>
            <w:r>
              <w:rPr>
                <w:rFonts w:hint="eastAsia"/>
              </w:rPr>
              <w:t>人民币普通股</w:t>
            </w:r>
          </w:p>
        </w:tc>
        <w:tc>
          <w:tcPr>
            <w:tcW w:w="106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pPr>
            <w:r>
              <w:t>59,429,476</w:t>
            </w:r>
          </w:p>
        </w:tc>
      </w:tr>
      <w:tr w:rsidR="00EE7DA4" w:rsidTr="00022B3D">
        <w:tblPrEx>
          <w:tblCellMar>
            <w:top w:w="0" w:type="dxa"/>
            <w:bottom w:w="0" w:type="dxa"/>
          </w:tblCellMar>
        </w:tblPrEx>
        <w:tc>
          <w:tcPr>
            <w:tcW w:w="5954" w:type="dxa"/>
            <w:gridSpan w:val="7"/>
            <w:tcBorders>
              <w:top w:val="single" w:sz="4" w:space="0" w:color="auto"/>
              <w:left w:val="single" w:sz="4" w:space="0" w:color="auto"/>
              <w:bottom w:val="single" w:sz="4" w:space="0" w:color="auto"/>
              <w:right w:val="single" w:sz="4" w:space="0" w:color="auto"/>
            </w:tcBorders>
            <w:vAlign w:val="center"/>
          </w:tcPr>
          <w:p w:rsidR="00EE7DA4" w:rsidRDefault="00EE7DA4">
            <w:pPr>
              <w:jc w:val="left"/>
            </w:pPr>
            <w:r>
              <w:rPr>
                <w:rFonts w:hint="eastAsia"/>
              </w:rPr>
              <w:t>金鹰基金－工商银行－万向信托－万向信托－星辰</w:t>
            </w:r>
            <w:r>
              <w:t>39</w:t>
            </w:r>
            <w:r>
              <w:rPr>
                <w:rFonts w:hint="eastAsia"/>
              </w:rPr>
              <w:t>号事务管理类单一资金信托</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EE7DA4" w:rsidRDefault="00EE7DA4">
            <w:pPr>
              <w:jc w:val="right"/>
            </w:pPr>
            <w:r>
              <w:t>59,429,476</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left"/>
            </w:pPr>
            <w:r>
              <w:rPr>
                <w:rFonts w:hint="eastAsia"/>
              </w:rPr>
              <w:t>人民币普通股</w:t>
            </w:r>
          </w:p>
        </w:tc>
        <w:tc>
          <w:tcPr>
            <w:tcW w:w="106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pPr>
            <w:r>
              <w:t>59,429,476</w:t>
            </w:r>
          </w:p>
        </w:tc>
      </w:tr>
      <w:tr w:rsidR="00EE7DA4" w:rsidTr="00022B3D">
        <w:tblPrEx>
          <w:tblCellMar>
            <w:top w:w="0" w:type="dxa"/>
            <w:bottom w:w="0" w:type="dxa"/>
          </w:tblCellMar>
        </w:tblPrEx>
        <w:tc>
          <w:tcPr>
            <w:tcW w:w="5954" w:type="dxa"/>
            <w:gridSpan w:val="7"/>
            <w:tcBorders>
              <w:top w:val="single" w:sz="4" w:space="0" w:color="auto"/>
              <w:left w:val="single" w:sz="4" w:space="0" w:color="auto"/>
              <w:bottom w:val="single" w:sz="4" w:space="0" w:color="auto"/>
              <w:right w:val="single" w:sz="4" w:space="0" w:color="auto"/>
            </w:tcBorders>
            <w:vAlign w:val="center"/>
          </w:tcPr>
          <w:p w:rsidR="00EE7DA4" w:rsidRDefault="00EE7DA4">
            <w:pPr>
              <w:jc w:val="left"/>
            </w:pPr>
            <w:r>
              <w:rPr>
                <w:rFonts w:hint="eastAsia"/>
              </w:rPr>
              <w:t>华孚时尚股份有限公司－第三期员工持股计划</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EE7DA4" w:rsidRDefault="00EE7DA4">
            <w:pPr>
              <w:jc w:val="right"/>
            </w:pPr>
            <w:r>
              <w:t>27,119,969</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left"/>
            </w:pPr>
            <w:r>
              <w:rPr>
                <w:rFonts w:hint="eastAsia"/>
              </w:rPr>
              <w:t>人民币普通股</w:t>
            </w:r>
          </w:p>
        </w:tc>
        <w:tc>
          <w:tcPr>
            <w:tcW w:w="106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pPr>
            <w:r>
              <w:t>27,119,969</w:t>
            </w:r>
          </w:p>
        </w:tc>
      </w:tr>
      <w:tr w:rsidR="00EE7DA4" w:rsidTr="00022B3D">
        <w:tblPrEx>
          <w:tblCellMar>
            <w:top w:w="0" w:type="dxa"/>
            <w:bottom w:w="0" w:type="dxa"/>
          </w:tblCellMar>
        </w:tblPrEx>
        <w:tc>
          <w:tcPr>
            <w:tcW w:w="5954" w:type="dxa"/>
            <w:gridSpan w:val="7"/>
            <w:tcBorders>
              <w:top w:val="single" w:sz="4" w:space="0" w:color="auto"/>
              <w:left w:val="single" w:sz="4" w:space="0" w:color="auto"/>
              <w:bottom w:val="single" w:sz="4" w:space="0" w:color="auto"/>
              <w:right w:val="single" w:sz="4" w:space="0" w:color="auto"/>
            </w:tcBorders>
            <w:vAlign w:val="center"/>
          </w:tcPr>
          <w:p w:rsidR="00EE7DA4" w:rsidRDefault="00EE7DA4">
            <w:pPr>
              <w:jc w:val="left"/>
            </w:pPr>
            <w:r>
              <w:rPr>
                <w:rFonts w:hint="eastAsia"/>
              </w:rPr>
              <w:t>富荣基金－深圳市前海富银城投基金管理有限公司－富荣卓越</w:t>
            </w:r>
            <w:r>
              <w:t>1</w:t>
            </w:r>
            <w:r>
              <w:rPr>
                <w:rFonts w:hint="eastAsia"/>
              </w:rPr>
              <w:t>号单一资产管理计划</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EE7DA4" w:rsidRDefault="00EE7DA4">
            <w:pPr>
              <w:jc w:val="right"/>
            </w:pPr>
            <w:r>
              <w:t>26,927,100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left"/>
            </w:pPr>
            <w:r>
              <w:rPr>
                <w:rFonts w:hint="eastAsia"/>
              </w:rPr>
              <w:t>人民币普通股</w:t>
            </w:r>
          </w:p>
        </w:tc>
        <w:tc>
          <w:tcPr>
            <w:tcW w:w="106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pPr>
            <w:r>
              <w:t>26,927,100</w:t>
            </w:r>
          </w:p>
        </w:tc>
      </w:tr>
      <w:tr w:rsidR="00EE7DA4" w:rsidTr="00022B3D">
        <w:tblPrEx>
          <w:tblCellMar>
            <w:top w:w="0" w:type="dxa"/>
            <w:bottom w:w="0" w:type="dxa"/>
          </w:tblCellMar>
        </w:tblPrEx>
        <w:tc>
          <w:tcPr>
            <w:tcW w:w="5954" w:type="dxa"/>
            <w:gridSpan w:val="7"/>
            <w:tcBorders>
              <w:top w:val="single" w:sz="4" w:space="0" w:color="auto"/>
              <w:left w:val="single" w:sz="4" w:space="0" w:color="auto"/>
              <w:bottom w:val="single" w:sz="4" w:space="0" w:color="auto"/>
              <w:right w:val="single" w:sz="4" w:space="0" w:color="auto"/>
            </w:tcBorders>
            <w:vAlign w:val="center"/>
          </w:tcPr>
          <w:p w:rsidR="00EE7DA4" w:rsidRDefault="00EE7DA4">
            <w:pPr>
              <w:jc w:val="left"/>
            </w:pPr>
            <w:r>
              <w:rPr>
                <w:rFonts w:hint="eastAsia"/>
              </w:rPr>
              <w:t>上海景熙资产管理有限公司－景熙－长阳</w:t>
            </w:r>
            <w:r>
              <w:t>9</w:t>
            </w:r>
            <w:r>
              <w:rPr>
                <w:rFonts w:hint="eastAsia"/>
              </w:rPr>
              <w:t>号私募证券投资基金</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EE7DA4" w:rsidRDefault="00EE7DA4">
            <w:pPr>
              <w:jc w:val="right"/>
            </w:pPr>
            <w:r>
              <w:t>26,814,586</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left"/>
            </w:pPr>
            <w:r>
              <w:rPr>
                <w:rFonts w:hint="eastAsia"/>
              </w:rPr>
              <w:t>人民币普通股</w:t>
            </w:r>
          </w:p>
        </w:tc>
        <w:tc>
          <w:tcPr>
            <w:tcW w:w="106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pPr>
            <w:r>
              <w:t>26,814,586</w:t>
            </w:r>
          </w:p>
        </w:tc>
      </w:tr>
      <w:tr w:rsidR="00EE7DA4" w:rsidTr="00022B3D">
        <w:tblPrEx>
          <w:tblCellMar>
            <w:top w:w="0" w:type="dxa"/>
            <w:bottom w:w="0" w:type="dxa"/>
          </w:tblCellMar>
        </w:tblPrEx>
        <w:tc>
          <w:tcPr>
            <w:tcW w:w="5954" w:type="dxa"/>
            <w:gridSpan w:val="7"/>
            <w:tcBorders>
              <w:top w:val="single" w:sz="4" w:space="0" w:color="auto"/>
              <w:left w:val="single" w:sz="4" w:space="0" w:color="auto"/>
              <w:bottom w:val="single" w:sz="4" w:space="0" w:color="auto"/>
              <w:right w:val="single" w:sz="4" w:space="0" w:color="auto"/>
            </w:tcBorders>
            <w:vAlign w:val="center"/>
          </w:tcPr>
          <w:p w:rsidR="00EE7DA4" w:rsidRDefault="00EE7DA4">
            <w:pPr>
              <w:jc w:val="left"/>
            </w:pPr>
            <w:r>
              <w:rPr>
                <w:rFonts w:hint="eastAsia"/>
              </w:rPr>
              <w:t>泰达宏利基金－招商银行－长安国际信托－长安信托</w:t>
            </w:r>
            <w:r>
              <w:t>·</w:t>
            </w:r>
            <w:r>
              <w:rPr>
                <w:rFonts w:hint="eastAsia"/>
              </w:rPr>
              <w:t>华孚色纺定增单一资金信托</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EE7DA4" w:rsidRDefault="00EE7DA4">
            <w:pPr>
              <w:jc w:val="right"/>
            </w:pPr>
            <w:r>
              <w:t>25,921,002</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left"/>
            </w:pPr>
            <w:r>
              <w:rPr>
                <w:rFonts w:hint="eastAsia"/>
              </w:rPr>
              <w:t>人民币普通股</w:t>
            </w:r>
          </w:p>
        </w:tc>
        <w:tc>
          <w:tcPr>
            <w:tcW w:w="106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pPr>
            <w:r>
              <w:t>25,921,002</w:t>
            </w:r>
          </w:p>
        </w:tc>
      </w:tr>
      <w:tr w:rsidR="00EE7DA4" w:rsidTr="00022B3D">
        <w:tblPrEx>
          <w:tblCellMar>
            <w:top w:w="0" w:type="dxa"/>
            <w:bottom w:w="0" w:type="dxa"/>
          </w:tblCellMar>
        </w:tblPrEx>
        <w:tc>
          <w:tcPr>
            <w:tcW w:w="5954" w:type="dxa"/>
            <w:gridSpan w:val="7"/>
            <w:tcBorders>
              <w:top w:val="single" w:sz="4" w:space="0" w:color="auto"/>
              <w:left w:val="single" w:sz="4" w:space="0" w:color="auto"/>
              <w:bottom w:val="single" w:sz="4" w:space="0" w:color="auto"/>
              <w:right w:val="single" w:sz="4" w:space="0" w:color="auto"/>
            </w:tcBorders>
            <w:vAlign w:val="center"/>
          </w:tcPr>
          <w:p w:rsidR="00EE7DA4" w:rsidRDefault="00EE7DA4">
            <w:pPr>
              <w:jc w:val="left"/>
            </w:pPr>
            <w:r>
              <w:rPr>
                <w:rFonts w:hint="eastAsia"/>
              </w:rPr>
              <w:t>富安达基金－南京银行－厦门国际信托－财富共赢</w:t>
            </w:r>
            <w:r>
              <w:t>16</w:t>
            </w:r>
            <w:r>
              <w:rPr>
                <w:rFonts w:hint="eastAsia"/>
              </w:rPr>
              <w:t>号投资单一资金信托</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EE7DA4" w:rsidRDefault="00EE7DA4">
            <w:pPr>
              <w:jc w:val="right"/>
            </w:pPr>
            <w:r>
              <w:t>23,771,790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left"/>
            </w:pPr>
            <w:r>
              <w:rPr>
                <w:rFonts w:hint="eastAsia"/>
              </w:rPr>
              <w:t>人民币普通股</w:t>
            </w:r>
          </w:p>
        </w:tc>
        <w:tc>
          <w:tcPr>
            <w:tcW w:w="106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pPr>
            <w:r>
              <w:t>23,771,790</w:t>
            </w:r>
          </w:p>
        </w:tc>
      </w:tr>
      <w:tr w:rsidR="00EE7DA4" w:rsidTr="00022B3D">
        <w:tblPrEx>
          <w:tblCellMar>
            <w:top w:w="0" w:type="dxa"/>
            <w:bottom w:w="0" w:type="dxa"/>
          </w:tblCellMar>
        </w:tblPrEx>
        <w:tc>
          <w:tcPr>
            <w:tcW w:w="1985"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pPr>
            <w:r>
              <w:rPr>
                <w:rFonts w:hint="eastAsia"/>
              </w:rPr>
              <w:t>上述股东关联关系或一致行动的说明</w:t>
            </w:r>
          </w:p>
        </w:tc>
        <w:tc>
          <w:tcPr>
            <w:tcW w:w="7585" w:type="dxa"/>
            <w:gridSpan w:val="13"/>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left"/>
            </w:pPr>
            <w:r>
              <w:rPr>
                <w:rFonts w:hint="eastAsia"/>
              </w:rPr>
              <w:t>上述股东中华孚控股有限公司、安徽飞亚纺织有限公司、深圳市华人投资有限公司为公司控股股东及一致行动人，华孚时尚股份有限公司</w:t>
            </w:r>
            <w:r>
              <w:t>-</w:t>
            </w:r>
            <w:r>
              <w:rPr>
                <w:rFonts w:hint="eastAsia"/>
              </w:rPr>
              <w:t>第三期员工持股计划为公司员工持股计划专用账户，其他流通股东与控股股东之间不存在关联关系，也不属于一致行动人。未知其他流通股股东之间是否存在关联关系或是否属于一致行动人。</w:t>
            </w:r>
          </w:p>
        </w:tc>
      </w:tr>
      <w:tr w:rsidR="00EE7DA4" w:rsidTr="00022B3D">
        <w:tblPrEx>
          <w:tblCellMar>
            <w:top w:w="0" w:type="dxa"/>
            <w:bottom w:w="0" w:type="dxa"/>
          </w:tblCellMar>
        </w:tblPrEx>
        <w:tc>
          <w:tcPr>
            <w:tcW w:w="1985"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pPr>
            <w:r>
              <w:rPr>
                <w:rFonts w:hint="eastAsia"/>
              </w:rPr>
              <w:t>前</w:t>
            </w:r>
            <w:r>
              <w:t>10</w:t>
            </w:r>
            <w:r>
              <w:rPr>
                <w:rFonts w:hint="eastAsia"/>
              </w:rPr>
              <w:t>名股东参与融资融券业务情况说明（如有）</w:t>
            </w:r>
          </w:p>
        </w:tc>
        <w:tc>
          <w:tcPr>
            <w:tcW w:w="7585" w:type="dxa"/>
            <w:gridSpan w:val="13"/>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left"/>
            </w:pPr>
            <w:r>
              <w:rPr>
                <w:rFonts w:hint="eastAsia"/>
              </w:rPr>
              <w:t>华孚控股有限公司、安徽飞亚纺织有限公司、深圳市华人投资有限公司、华孚时尚股份有限公司－第三期员工持股计划通过信用账户持有公司部分股份。</w:t>
            </w:r>
          </w:p>
        </w:tc>
      </w:tr>
    </w:tbl>
    <w:p w:rsidR="00EE7DA4" w:rsidRDefault="00EE7DA4">
      <w:pPr>
        <w:jc w:val="left"/>
      </w:pPr>
      <w:r>
        <w:rPr>
          <w:rFonts w:hint="eastAsia"/>
        </w:rPr>
        <w:t>公司前</w:t>
      </w:r>
      <w:r>
        <w:t>10</w:t>
      </w:r>
      <w:r>
        <w:rPr>
          <w:rFonts w:hint="eastAsia"/>
        </w:rPr>
        <w:t>名普通股股东、前</w:t>
      </w:r>
      <w:r>
        <w:t>10</w:t>
      </w:r>
      <w:r>
        <w:rPr>
          <w:rFonts w:hint="eastAsia"/>
        </w:rPr>
        <w:t>名无限售条件普通股股东在报告期内是否进行约定购回交易</w:t>
      </w:r>
    </w:p>
    <w:p w:rsidR="00EE7DA4" w:rsidRDefault="00EE7DA4">
      <w:pPr>
        <w:jc w:val="left"/>
      </w:pPr>
      <w:r>
        <w:t xml:space="preserve">□ </w:t>
      </w:r>
      <w:r>
        <w:rPr>
          <w:rFonts w:hint="eastAsia"/>
        </w:rPr>
        <w:t>是</w:t>
      </w:r>
      <w:r>
        <w:t xml:space="preserve"> √ </w:t>
      </w:r>
      <w:r>
        <w:rPr>
          <w:rFonts w:hint="eastAsia"/>
        </w:rPr>
        <w:t>否</w:t>
      </w:r>
      <w:r>
        <w:t xml:space="preserve"> </w:t>
      </w:r>
    </w:p>
    <w:p w:rsidR="00EE7DA4" w:rsidRDefault="00EE7DA4">
      <w:pPr>
        <w:jc w:val="left"/>
      </w:pPr>
      <w:r>
        <w:rPr>
          <w:rFonts w:hint="eastAsia"/>
        </w:rPr>
        <w:t>公司前</w:t>
      </w:r>
      <w:r>
        <w:t>10</w:t>
      </w:r>
      <w:r>
        <w:rPr>
          <w:rFonts w:hint="eastAsia"/>
        </w:rPr>
        <w:t>名普通股股东、前</w:t>
      </w:r>
      <w:r>
        <w:t>10</w:t>
      </w:r>
      <w:r>
        <w:rPr>
          <w:rFonts w:hint="eastAsia"/>
        </w:rPr>
        <w:t>名无限售条件普通股股东在报告期内未进行约定购回交易。</w:t>
      </w:r>
    </w:p>
    <w:p w:rsidR="00EE7DA4" w:rsidRDefault="00EE7DA4">
      <w:pPr>
        <w:pStyle w:val="Section"/>
        <w:outlineLvl w:val="2"/>
      </w:pPr>
      <w:r>
        <w:t>2</w:t>
      </w:r>
      <w:r>
        <w:rPr>
          <w:rFonts w:hint="eastAsia"/>
        </w:rPr>
        <w:t>、公司优先股股东总数及前</w:t>
      </w:r>
      <w:r>
        <w:t>10</w:t>
      </w:r>
      <w:r>
        <w:rPr>
          <w:rFonts w:hint="eastAsia"/>
        </w:rPr>
        <w:t>名优先股股东持股情况表</w:t>
      </w:r>
    </w:p>
    <w:p w:rsidR="00EE7DA4" w:rsidRDefault="00EE7DA4">
      <w:pPr>
        <w:jc w:val="left"/>
      </w:pPr>
      <w:r>
        <w:t xml:space="preserve">□ </w:t>
      </w:r>
      <w:r>
        <w:rPr>
          <w:rFonts w:hint="eastAsia"/>
        </w:rPr>
        <w:t>适用</w:t>
      </w:r>
      <w:r>
        <w:t xml:space="preserve"> √ </w:t>
      </w:r>
      <w:r>
        <w:rPr>
          <w:rFonts w:hint="eastAsia"/>
        </w:rPr>
        <w:t>不适用</w:t>
      </w:r>
      <w:r>
        <w:t xml:space="preserve"> </w:t>
      </w:r>
    </w:p>
    <w:p w:rsidR="00EE7DA4" w:rsidRDefault="00EE7DA4">
      <w:pPr>
        <w:jc w:val="left"/>
        <w:sectPr w:rsidR="00EE7DA4">
          <w:pgSz w:w="11906" w:h="16838"/>
          <w:pgMar w:top="1440" w:right="1134" w:bottom="1440" w:left="1134" w:header="851" w:footer="992" w:gutter="0"/>
          <w:cols w:space="425"/>
          <w:docGrid w:type="lines" w:linePitch="312"/>
        </w:sectPr>
      </w:pPr>
    </w:p>
    <w:p w:rsidR="00EE7DA4" w:rsidRDefault="00EE7DA4">
      <w:pPr>
        <w:pStyle w:val="a3"/>
        <w:outlineLvl w:val="0"/>
      </w:pPr>
      <w:bookmarkStart w:id="3" w:name="_Toc300000086"/>
      <w:r>
        <w:rPr>
          <w:rFonts w:hint="eastAsia"/>
        </w:rPr>
        <w:lastRenderedPageBreak/>
        <w:t>第三节</w:t>
      </w:r>
      <w:r>
        <w:t xml:space="preserve"> </w:t>
      </w:r>
      <w:r>
        <w:rPr>
          <w:rFonts w:hint="eastAsia"/>
        </w:rPr>
        <w:t>重要事项</w:t>
      </w:r>
      <w:bookmarkEnd w:id="3"/>
    </w:p>
    <w:p w:rsidR="00EE7DA4" w:rsidRDefault="00EE7DA4">
      <w:pPr>
        <w:pStyle w:val="Chapter"/>
        <w:outlineLvl w:val="1"/>
      </w:pPr>
      <w:r>
        <w:rPr>
          <w:rFonts w:hint="eastAsia"/>
        </w:rPr>
        <w:t>一、报告期主要财务数据、财务指标发生变动的情况及原因</w:t>
      </w:r>
    </w:p>
    <w:p w:rsidR="00EE7DA4" w:rsidRDefault="00EE7DA4">
      <w:pPr>
        <w:jc w:val="left"/>
      </w:pPr>
      <w:r>
        <w:t xml:space="preserve">√ </w:t>
      </w:r>
      <w:r>
        <w:rPr>
          <w:rFonts w:hint="eastAsia"/>
        </w:rPr>
        <w:t>适用</w:t>
      </w:r>
      <w:r>
        <w:t xml:space="preserve"> □ </w:t>
      </w:r>
      <w:r>
        <w:rPr>
          <w:rFonts w:hint="eastAsia"/>
        </w:rPr>
        <w:t>不适用</w:t>
      </w:r>
      <w:r>
        <w:t xml:space="preserve"> </w:t>
      </w:r>
    </w:p>
    <w:tbl>
      <w:tblPr>
        <w:tblW w:w="0" w:type="auto"/>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0" w:type="dxa"/>
          <w:left w:w="10" w:type="dxa"/>
          <w:bottom w:w="10" w:type="dxa"/>
          <w:right w:w="10" w:type="dxa"/>
        </w:tblCellMar>
        <w:tblLook w:val="0000" w:firstRow="0" w:lastRow="0" w:firstColumn="0" w:lastColumn="0" w:noHBand="0" w:noVBand="0"/>
      </w:tblPr>
      <w:tblGrid>
        <w:gridCol w:w="2294"/>
        <w:gridCol w:w="1560"/>
        <w:gridCol w:w="1560"/>
        <w:gridCol w:w="1080"/>
        <w:gridCol w:w="3586"/>
      </w:tblGrid>
      <w:tr w:rsidR="00EE7DA4">
        <w:tc>
          <w:tcPr>
            <w:tcW w:w="2294" w:type="dxa"/>
            <w:shd w:val="clear" w:color="auto" w:fill="FFFFFF"/>
          </w:tcPr>
          <w:p w:rsidR="00EE7DA4" w:rsidRDefault="00EE7DA4">
            <w:pPr>
              <w:autoSpaceDE w:val="0"/>
              <w:autoSpaceDN w:val="0"/>
              <w:adjustRightInd w:val="0"/>
              <w:spacing w:before="0" w:after="0"/>
              <w:jc w:val="left"/>
              <w:rPr>
                <w:rFonts w:eastAsia="Times New Roman"/>
                <w:b/>
                <w:bCs/>
                <w:kern w:val="0"/>
                <w:sz w:val="20"/>
                <w:szCs w:val="20"/>
                <w:lang w:val="zh-CN"/>
              </w:rPr>
            </w:pPr>
            <w:r>
              <w:rPr>
                <w:rFonts w:eastAsia="Times New Roman"/>
                <w:b/>
                <w:bCs/>
                <w:kern w:val="0"/>
                <w:sz w:val="20"/>
                <w:szCs w:val="20"/>
                <w:lang w:val="zh-CN"/>
              </w:rPr>
              <w:t>1.</w:t>
            </w:r>
            <w:r>
              <w:rPr>
                <w:rFonts w:eastAsia="Times New Roman"/>
                <w:bCs/>
                <w:kern w:val="0"/>
                <w:sz w:val="20"/>
                <w:szCs w:val="20"/>
                <w:lang w:val="zh-CN"/>
              </w:rPr>
              <w:t xml:space="preserve"> </w:t>
            </w:r>
            <w:r>
              <w:rPr>
                <w:rFonts w:ascii="宋体" w:hAnsi="宋体" w:cs="宋体" w:hint="eastAsia"/>
                <w:b/>
                <w:bCs/>
                <w:kern w:val="0"/>
                <w:sz w:val="20"/>
                <w:szCs w:val="20"/>
                <w:lang w:val="zh-CN"/>
              </w:rPr>
              <w:t>资产负债表：</w:t>
            </w:r>
          </w:p>
        </w:tc>
        <w:tc>
          <w:tcPr>
            <w:tcW w:w="1560" w:type="dxa"/>
            <w:shd w:val="clear" w:color="auto" w:fill="FFFFFF"/>
          </w:tcPr>
          <w:p w:rsidR="00EE7DA4" w:rsidRDefault="00EE7DA4">
            <w:pPr>
              <w:autoSpaceDE w:val="0"/>
              <w:autoSpaceDN w:val="0"/>
              <w:adjustRightInd w:val="0"/>
              <w:spacing w:before="0" w:after="0"/>
              <w:jc w:val="right"/>
              <w:rPr>
                <w:rFonts w:eastAsia="Times New Roman"/>
                <w:kern w:val="0"/>
                <w:sz w:val="20"/>
                <w:lang w:val="zh-CN"/>
              </w:rPr>
            </w:pPr>
          </w:p>
        </w:tc>
        <w:tc>
          <w:tcPr>
            <w:tcW w:w="1560" w:type="dxa"/>
            <w:shd w:val="clear" w:color="auto" w:fill="FFFFFF"/>
          </w:tcPr>
          <w:p w:rsidR="00EE7DA4" w:rsidRDefault="00EE7DA4">
            <w:pPr>
              <w:autoSpaceDE w:val="0"/>
              <w:autoSpaceDN w:val="0"/>
              <w:adjustRightInd w:val="0"/>
              <w:spacing w:before="0" w:after="0"/>
              <w:jc w:val="right"/>
              <w:rPr>
                <w:rFonts w:eastAsia="Times New Roman"/>
                <w:kern w:val="0"/>
                <w:sz w:val="20"/>
                <w:lang w:val="zh-CN"/>
              </w:rPr>
            </w:pPr>
          </w:p>
        </w:tc>
        <w:tc>
          <w:tcPr>
            <w:tcW w:w="1080" w:type="dxa"/>
            <w:shd w:val="clear" w:color="auto" w:fill="FFFFFF"/>
          </w:tcPr>
          <w:p w:rsidR="00EE7DA4" w:rsidRDefault="00EE7DA4">
            <w:pPr>
              <w:autoSpaceDE w:val="0"/>
              <w:autoSpaceDN w:val="0"/>
              <w:adjustRightInd w:val="0"/>
              <w:spacing w:before="0" w:after="0"/>
              <w:jc w:val="right"/>
              <w:rPr>
                <w:rFonts w:eastAsia="Times New Roman"/>
                <w:kern w:val="0"/>
                <w:sz w:val="20"/>
                <w:lang w:val="zh-CN"/>
              </w:rPr>
            </w:pPr>
          </w:p>
        </w:tc>
        <w:tc>
          <w:tcPr>
            <w:tcW w:w="3586" w:type="dxa"/>
            <w:shd w:val="clear" w:color="auto" w:fill="FFFFFF"/>
          </w:tcPr>
          <w:p w:rsidR="00EE7DA4" w:rsidRDefault="00EE7DA4">
            <w:pPr>
              <w:autoSpaceDE w:val="0"/>
              <w:autoSpaceDN w:val="0"/>
              <w:adjustRightInd w:val="0"/>
              <w:spacing w:before="0" w:after="0"/>
              <w:jc w:val="left"/>
              <w:rPr>
                <w:rFonts w:eastAsia="Times New Roman"/>
                <w:kern w:val="0"/>
                <w:sz w:val="20"/>
                <w:lang w:val="zh-CN"/>
              </w:rPr>
            </w:pPr>
          </w:p>
        </w:tc>
      </w:tr>
      <w:tr w:rsidR="00EE7DA4" w:rsidTr="00022B3D">
        <w:tc>
          <w:tcPr>
            <w:tcW w:w="2294" w:type="dxa"/>
            <w:shd w:val="clear" w:color="auto" w:fill="FFFFFF"/>
            <w:vAlign w:val="center"/>
          </w:tcPr>
          <w:p w:rsidR="00EE7DA4" w:rsidRDefault="00EE7DA4" w:rsidP="00022B3D">
            <w:pPr>
              <w:autoSpaceDE w:val="0"/>
              <w:autoSpaceDN w:val="0"/>
              <w:adjustRightInd w:val="0"/>
              <w:spacing w:before="0" w:after="0"/>
              <w:jc w:val="center"/>
              <w:rPr>
                <w:rFonts w:eastAsia="Times New Roman"/>
                <w:kern w:val="0"/>
                <w:sz w:val="20"/>
                <w:lang w:val="zh-CN"/>
              </w:rPr>
            </w:pPr>
            <w:r>
              <w:rPr>
                <w:rFonts w:ascii="宋体" w:hAnsi="宋体" w:cs="宋体" w:hint="eastAsia"/>
                <w:kern w:val="0"/>
                <w:sz w:val="20"/>
                <w:lang w:val="zh-CN"/>
              </w:rPr>
              <w:t>项目</w:t>
            </w:r>
          </w:p>
        </w:tc>
        <w:tc>
          <w:tcPr>
            <w:tcW w:w="1560" w:type="dxa"/>
            <w:shd w:val="clear" w:color="auto" w:fill="FFFFFF"/>
            <w:vAlign w:val="center"/>
          </w:tcPr>
          <w:p w:rsidR="00EE7DA4" w:rsidRDefault="00EE7DA4" w:rsidP="00022B3D">
            <w:pPr>
              <w:autoSpaceDE w:val="0"/>
              <w:autoSpaceDN w:val="0"/>
              <w:adjustRightInd w:val="0"/>
              <w:spacing w:before="0" w:after="0"/>
              <w:jc w:val="center"/>
              <w:rPr>
                <w:rFonts w:eastAsia="Times New Roman"/>
                <w:kern w:val="0"/>
                <w:sz w:val="20"/>
                <w:lang w:val="zh-CN"/>
              </w:rPr>
            </w:pPr>
            <w:r>
              <w:rPr>
                <w:rFonts w:ascii="宋体" w:hAnsi="宋体" w:cs="宋体" w:hint="eastAsia"/>
                <w:kern w:val="0"/>
                <w:sz w:val="20"/>
                <w:lang w:val="zh-CN"/>
              </w:rPr>
              <w:t>期末数</w:t>
            </w:r>
          </w:p>
        </w:tc>
        <w:tc>
          <w:tcPr>
            <w:tcW w:w="1560" w:type="dxa"/>
            <w:shd w:val="clear" w:color="auto" w:fill="FFFFFF"/>
            <w:vAlign w:val="center"/>
          </w:tcPr>
          <w:p w:rsidR="00EE7DA4" w:rsidRDefault="00EE7DA4" w:rsidP="00022B3D">
            <w:pPr>
              <w:autoSpaceDE w:val="0"/>
              <w:autoSpaceDN w:val="0"/>
              <w:adjustRightInd w:val="0"/>
              <w:spacing w:before="0" w:after="0"/>
              <w:jc w:val="center"/>
              <w:rPr>
                <w:rFonts w:eastAsia="Times New Roman"/>
                <w:kern w:val="0"/>
                <w:sz w:val="20"/>
                <w:lang w:val="zh-CN"/>
              </w:rPr>
            </w:pPr>
            <w:r>
              <w:rPr>
                <w:rFonts w:ascii="宋体" w:hAnsi="宋体" w:cs="宋体" w:hint="eastAsia"/>
                <w:kern w:val="0"/>
                <w:sz w:val="20"/>
                <w:lang w:val="zh-CN"/>
              </w:rPr>
              <w:t>期初数</w:t>
            </w:r>
          </w:p>
        </w:tc>
        <w:tc>
          <w:tcPr>
            <w:tcW w:w="1080" w:type="dxa"/>
            <w:shd w:val="clear" w:color="auto" w:fill="FFFFFF"/>
            <w:vAlign w:val="center"/>
          </w:tcPr>
          <w:p w:rsidR="00EE7DA4" w:rsidRDefault="00EE7DA4" w:rsidP="00022B3D">
            <w:pPr>
              <w:autoSpaceDE w:val="0"/>
              <w:autoSpaceDN w:val="0"/>
              <w:adjustRightInd w:val="0"/>
              <w:spacing w:before="0" w:after="0"/>
              <w:jc w:val="center"/>
              <w:rPr>
                <w:rFonts w:eastAsia="Times New Roman"/>
                <w:kern w:val="0"/>
                <w:sz w:val="20"/>
                <w:lang w:val="zh-CN"/>
              </w:rPr>
            </w:pPr>
            <w:r>
              <w:rPr>
                <w:rFonts w:ascii="宋体" w:hAnsi="宋体" w:cs="宋体" w:hint="eastAsia"/>
                <w:kern w:val="0"/>
                <w:sz w:val="20"/>
                <w:lang w:val="zh-CN"/>
              </w:rPr>
              <w:t>变动比率</w:t>
            </w:r>
          </w:p>
        </w:tc>
        <w:tc>
          <w:tcPr>
            <w:tcW w:w="3586" w:type="dxa"/>
            <w:shd w:val="clear" w:color="auto" w:fill="FFFFFF"/>
            <w:vAlign w:val="center"/>
          </w:tcPr>
          <w:p w:rsidR="00EE7DA4" w:rsidRDefault="00EE7DA4" w:rsidP="00022B3D">
            <w:pPr>
              <w:autoSpaceDE w:val="0"/>
              <w:autoSpaceDN w:val="0"/>
              <w:adjustRightInd w:val="0"/>
              <w:spacing w:before="0" w:after="0"/>
              <w:jc w:val="center"/>
              <w:rPr>
                <w:rFonts w:eastAsia="Times New Roman"/>
                <w:kern w:val="0"/>
                <w:sz w:val="20"/>
                <w:lang w:val="zh-CN"/>
              </w:rPr>
            </w:pPr>
            <w:r>
              <w:rPr>
                <w:rFonts w:ascii="宋体" w:hAnsi="宋体" w:cs="宋体" w:hint="eastAsia"/>
                <w:kern w:val="0"/>
                <w:sz w:val="20"/>
                <w:lang w:val="zh-CN"/>
              </w:rPr>
              <w:t>变动原因</w:t>
            </w:r>
          </w:p>
        </w:tc>
      </w:tr>
      <w:tr w:rsidR="00EE7DA4" w:rsidTr="00022B3D">
        <w:tc>
          <w:tcPr>
            <w:tcW w:w="2294" w:type="dxa"/>
            <w:shd w:val="clear" w:color="auto" w:fill="FFFFFF"/>
            <w:vAlign w:val="center"/>
          </w:tcPr>
          <w:p w:rsidR="00EE7DA4" w:rsidRDefault="00EE7DA4" w:rsidP="00022B3D">
            <w:pPr>
              <w:autoSpaceDE w:val="0"/>
              <w:autoSpaceDN w:val="0"/>
              <w:adjustRightInd w:val="0"/>
              <w:spacing w:before="0" w:after="0"/>
              <w:rPr>
                <w:rFonts w:eastAsia="Times New Roman"/>
                <w:kern w:val="0"/>
                <w:sz w:val="20"/>
                <w:lang w:val="zh-CN"/>
              </w:rPr>
            </w:pPr>
            <w:r>
              <w:rPr>
                <w:rFonts w:ascii="宋体" w:hAnsi="宋体" w:cs="宋体" w:hint="eastAsia"/>
                <w:kern w:val="0"/>
                <w:sz w:val="20"/>
                <w:lang w:val="zh-CN"/>
              </w:rPr>
              <w:t>交易性金融资产</w:t>
            </w:r>
          </w:p>
        </w:tc>
        <w:tc>
          <w:tcPr>
            <w:tcW w:w="1560" w:type="dxa"/>
            <w:shd w:val="clear" w:color="auto" w:fill="FFFFFF"/>
            <w:vAlign w:val="center"/>
          </w:tcPr>
          <w:p w:rsidR="00EE7DA4" w:rsidRDefault="00022B3D" w:rsidP="00022B3D">
            <w:pPr>
              <w:autoSpaceDE w:val="0"/>
              <w:autoSpaceDN w:val="0"/>
              <w:adjustRightInd w:val="0"/>
              <w:spacing w:before="0" w:after="0"/>
              <w:jc w:val="right"/>
              <w:rPr>
                <w:rFonts w:eastAsia="Times New Roman"/>
                <w:kern w:val="0"/>
                <w:sz w:val="20"/>
                <w:lang w:val="zh-CN"/>
              </w:rPr>
            </w:pPr>
            <w:r>
              <w:rPr>
                <w:rFonts w:eastAsia="Times New Roman"/>
                <w:kern w:val="0"/>
                <w:sz w:val="20"/>
                <w:lang w:val="zh-CN"/>
              </w:rPr>
              <w:t xml:space="preserve">   </w:t>
            </w:r>
            <w:r w:rsidR="00EE7DA4">
              <w:rPr>
                <w:rFonts w:eastAsia="Times New Roman"/>
                <w:kern w:val="0"/>
                <w:sz w:val="20"/>
                <w:lang w:val="zh-CN"/>
              </w:rPr>
              <w:t xml:space="preserve">286,864,413.45 </w:t>
            </w:r>
          </w:p>
        </w:tc>
        <w:tc>
          <w:tcPr>
            <w:tcW w:w="1560" w:type="dxa"/>
            <w:shd w:val="clear" w:color="auto" w:fill="FFFFFF"/>
            <w:vAlign w:val="center"/>
          </w:tcPr>
          <w:p w:rsidR="00EE7DA4" w:rsidRDefault="00022B3D" w:rsidP="00022B3D">
            <w:pPr>
              <w:autoSpaceDE w:val="0"/>
              <w:autoSpaceDN w:val="0"/>
              <w:adjustRightInd w:val="0"/>
              <w:spacing w:before="0" w:after="0"/>
              <w:jc w:val="right"/>
              <w:rPr>
                <w:rFonts w:eastAsia="Times New Roman"/>
                <w:kern w:val="0"/>
                <w:sz w:val="20"/>
                <w:lang w:val="zh-CN"/>
              </w:rPr>
            </w:pPr>
            <w:r>
              <w:rPr>
                <w:rFonts w:eastAsia="Times New Roman"/>
                <w:kern w:val="0"/>
                <w:sz w:val="20"/>
                <w:lang w:val="zh-CN"/>
              </w:rPr>
              <w:t xml:space="preserve">   </w:t>
            </w:r>
            <w:r w:rsidR="00EE7DA4">
              <w:rPr>
                <w:rFonts w:eastAsia="Times New Roman"/>
                <w:kern w:val="0"/>
                <w:sz w:val="20"/>
                <w:lang w:val="zh-CN"/>
              </w:rPr>
              <w:t xml:space="preserve">597,752,485.16 </w:t>
            </w:r>
          </w:p>
        </w:tc>
        <w:tc>
          <w:tcPr>
            <w:tcW w:w="1080" w:type="dxa"/>
            <w:shd w:val="clear" w:color="auto" w:fill="FFFFFF"/>
            <w:vAlign w:val="center"/>
          </w:tcPr>
          <w:p w:rsidR="00EE7DA4" w:rsidRDefault="00EE7DA4" w:rsidP="00022B3D">
            <w:pPr>
              <w:autoSpaceDE w:val="0"/>
              <w:autoSpaceDN w:val="0"/>
              <w:adjustRightInd w:val="0"/>
              <w:spacing w:before="0" w:after="0"/>
              <w:jc w:val="right"/>
              <w:rPr>
                <w:rFonts w:eastAsia="Times New Roman"/>
                <w:kern w:val="0"/>
                <w:sz w:val="20"/>
                <w:lang w:val="zh-CN"/>
              </w:rPr>
            </w:pPr>
            <w:r>
              <w:rPr>
                <w:rFonts w:eastAsia="Times New Roman"/>
                <w:kern w:val="0"/>
                <w:sz w:val="20"/>
                <w:lang w:val="zh-CN"/>
              </w:rPr>
              <w:t>-52.01%</w:t>
            </w:r>
          </w:p>
        </w:tc>
        <w:tc>
          <w:tcPr>
            <w:tcW w:w="3586" w:type="dxa"/>
            <w:shd w:val="clear" w:color="auto" w:fill="FFFFFF"/>
          </w:tcPr>
          <w:p w:rsidR="00EE7DA4" w:rsidRDefault="00EE7DA4">
            <w:pPr>
              <w:autoSpaceDE w:val="0"/>
              <w:autoSpaceDN w:val="0"/>
              <w:adjustRightInd w:val="0"/>
              <w:spacing w:before="0" w:after="0"/>
              <w:jc w:val="left"/>
              <w:rPr>
                <w:rFonts w:eastAsia="Times New Roman"/>
                <w:kern w:val="0"/>
                <w:sz w:val="20"/>
                <w:lang w:val="zh-CN"/>
              </w:rPr>
            </w:pPr>
            <w:r>
              <w:rPr>
                <w:rFonts w:ascii="宋体" w:hAnsi="宋体" w:cs="宋体" w:hint="eastAsia"/>
                <w:kern w:val="0"/>
                <w:sz w:val="20"/>
                <w:lang w:val="zh-CN"/>
              </w:rPr>
              <w:t>主要系期末理财产品减少所致。</w:t>
            </w:r>
          </w:p>
        </w:tc>
      </w:tr>
      <w:tr w:rsidR="00EE7DA4" w:rsidTr="00022B3D">
        <w:tc>
          <w:tcPr>
            <w:tcW w:w="2294" w:type="dxa"/>
            <w:shd w:val="clear" w:color="auto" w:fill="FFFFFF"/>
            <w:vAlign w:val="center"/>
          </w:tcPr>
          <w:p w:rsidR="00EE7DA4" w:rsidRDefault="00EE7DA4" w:rsidP="00022B3D">
            <w:pPr>
              <w:autoSpaceDE w:val="0"/>
              <w:autoSpaceDN w:val="0"/>
              <w:adjustRightInd w:val="0"/>
              <w:spacing w:before="0" w:after="0"/>
              <w:rPr>
                <w:rFonts w:eastAsia="Times New Roman"/>
                <w:kern w:val="0"/>
                <w:sz w:val="20"/>
                <w:lang w:val="zh-CN"/>
              </w:rPr>
            </w:pPr>
            <w:r>
              <w:rPr>
                <w:rFonts w:ascii="宋体" w:hAnsi="宋体" w:cs="宋体" w:hint="eastAsia"/>
                <w:kern w:val="0"/>
                <w:sz w:val="20"/>
                <w:lang w:val="zh-CN"/>
              </w:rPr>
              <w:t>其他非流动资产</w:t>
            </w:r>
          </w:p>
        </w:tc>
        <w:tc>
          <w:tcPr>
            <w:tcW w:w="1560" w:type="dxa"/>
            <w:shd w:val="clear" w:color="auto" w:fill="FFFFFF"/>
            <w:vAlign w:val="center"/>
          </w:tcPr>
          <w:p w:rsidR="00EE7DA4" w:rsidRDefault="00022B3D" w:rsidP="00022B3D">
            <w:pPr>
              <w:autoSpaceDE w:val="0"/>
              <w:autoSpaceDN w:val="0"/>
              <w:adjustRightInd w:val="0"/>
              <w:spacing w:before="0" w:after="0"/>
              <w:jc w:val="right"/>
              <w:rPr>
                <w:rFonts w:eastAsia="Times New Roman"/>
                <w:kern w:val="0"/>
                <w:sz w:val="20"/>
                <w:lang w:val="zh-CN"/>
              </w:rPr>
            </w:pPr>
            <w:r>
              <w:rPr>
                <w:rFonts w:eastAsia="Times New Roman"/>
                <w:kern w:val="0"/>
                <w:sz w:val="20"/>
                <w:lang w:val="zh-CN"/>
              </w:rPr>
              <w:t xml:space="preserve">   </w:t>
            </w:r>
            <w:r w:rsidR="00EE7DA4">
              <w:rPr>
                <w:rFonts w:eastAsia="Times New Roman"/>
                <w:kern w:val="0"/>
                <w:sz w:val="20"/>
                <w:lang w:val="zh-CN"/>
              </w:rPr>
              <w:t xml:space="preserve">195,299,495.89 </w:t>
            </w:r>
          </w:p>
        </w:tc>
        <w:tc>
          <w:tcPr>
            <w:tcW w:w="1560" w:type="dxa"/>
            <w:shd w:val="clear" w:color="auto" w:fill="FFFFFF"/>
            <w:vAlign w:val="center"/>
          </w:tcPr>
          <w:p w:rsidR="00EE7DA4" w:rsidRDefault="00022B3D" w:rsidP="00022B3D">
            <w:pPr>
              <w:autoSpaceDE w:val="0"/>
              <w:autoSpaceDN w:val="0"/>
              <w:adjustRightInd w:val="0"/>
              <w:spacing w:before="0" w:after="0"/>
              <w:jc w:val="right"/>
              <w:rPr>
                <w:rFonts w:eastAsia="Times New Roman"/>
                <w:kern w:val="0"/>
                <w:sz w:val="20"/>
                <w:lang w:val="zh-CN"/>
              </w:rPr>
            </w:pPr>
            <w:r>
              <w:rPr>
                <w:rFonts w:eastAsia="Times New Roman"/>
                <w:kern w:val="0"/>
                <w:sz w:val="20"/>
                <w:lang w:val="zh-CN"/>
              </w:rPr>
              <w:t xml:space="preserve">   </w:t>
            </w:r>
            <w:r w:rsidR="00EE7DA4">
              <w:rPr>
                <w:rFonts w:eastAsia="Times New Roman"/>
                <w:kern w:val="0"/>
                <w:sz w:val="20"/>
                <w:lang w:val="zh-CN"/>
              </w:rPr>
              <w:t xml:space="preserve">141,320,594.07 </w:t>
            </w:r>
          </w:p>
        </w:tc>
        <w:tc>
          <w:tcPr>
            <w:tcW w:w="1080" w:type="dxa"/>
            <w:shd w:val="clear" w:color="auto" w:fill="FFFFFF"/>
            <w:vAlign w:val="center"/>
          </w:tcPr>
          <w:p w:rsidR="00EE7DA4" w:rsidRDefault="00EE7DA4" w:rsidP="00022B3D">
            <w:pPr>
              <w:autoSpaceDE w:val="0"/>
              <w:autoSpaceDN w:val="0"/>
              <w:adjustRightInd w:val="0"/>
              <w:spacing w:before="0" w:after="0"/>
              <w:jc w:val="right"/>
              <w:rPr>
                <w:rFonts w:eastAsia="Times New Roman"/>
                <w:kern w:val="0"/>
                <w:sz w:val="20"/>
                <w:lang w:val="zh-CN"/>
              </w:rPr>
            </w:pPr>
            <w:r>
              <w:rPr>
                <w:rFonts w:eastAsia="Times New Roman"/>
                <w:kern w:val="0"/>
                <w:sz w:val="20"/>
                <w:lang w:val="zh-CN"/>
              </w:rPr>
              <w:t>38.20%</w:t>
            </w:r>
          </w:p>
        </w:tc>
        <w:tc>
          <w:tcPr>
            <w:tcW w:w="3586" w:type="dxa"/>
            <w:shd w:val="clear" w:color="auto" w:fill="FFFFFF"/>
          </w:tcPr>
          <w:p w:rsidR="00EE7DA4" w:rsidRDefault="00EE7DA4">
            <w:pPr>
              <w:autoSpaceDE w:val="0"/>
              <w:autoSpaceDN w:val="0"/>
              <w:adjustRightInd w:val="0"/>
              <w:spacing w:before="0" w:after="0"/>
              <w:jc w:val="left"/>
              <w:rPr>
                <w:rFonts w:eastAsia="Times New Roman"/>
                <w:kern w:val="0"/>
                <w:sz w:val="20"/>
                <w:lang w:val="zh-CN"/>
              </w:rPr>
            </w:pPr>
            <w:r>
              <w:rPr>
                <w:rFonts w:ascii="宋体" w:hAnsi="宋体" w:cs="宋体" w:hint="eastAsia"/>
                <w:kern w:val="0"/>
                <w:sz w:val="20"/>
                <w:lang w:val="zh-CN"/>
              </w:rPr>
              <w:t>主要系预付工程款增加所致。</w:t>
            </w:r>
          </w:p>
        </w:tc>
      </w:tr>
      <w:tr w:rsidR="00EE7DA4" w:rsidTr="00022B3D">
        <w:tc>
          <w:tcPr>
            <w:tcW w:w="2294" w:type="dxa"/>
            <w:shd w:val="clear" w:color="auto" w:fill="FFFFFF"/>
            <w:vAlign w:val="center"/>
          </w:tcPr>
          <w:p w:rsidR="00EE7DA4" w:rsidRDefault="00EE7DA4" w:rsidP="00022B3D">
            <w:pPr>
              <w:autoSpaceDE w:val="0"/>
              <w:autoSpaceDN w:val="0"/>
              <w:adjustRightInd w:val="0"/>
              <w:spacing w:before="0" w:after="0"/>
              <w:rPr>
                <w:rFonts w:eastAsia="Times New Roman"/>
                <w:kern w:val="0"/>
                <w:sz w:val="20"/>
                <w:lang w:val="zh-CN"/>
              </w:rPr>
            </w:pPr>
            <w:r>
              <w:rPr>
                <w:rFonts w:ascii="宋体" w:hAnsi="宋体" w:cs="宋体" w:hint="eastAsia"/>
                <w:kern w:val="0"/>
                <w:sz w:val="20"/>
                <w:lang w:val="zh-CN"/>
              </w:rPr>
              <w:t>应付票据</w:t>
            </w:r>
          </w:p>
        </w:tc>
        <w:tc>
          <w:tcPr>
            <w:tcW w:w="1560" w:type="dxa"/>
            <w:shd w:val="clear" w:color="auto" w:fill="FFFFFF"/>
            <w:vAlign w:val="center"/>
          </w:tcPr>
          <w:p w:rsidR="00EE7DA4" w:rsidRDefault="00022B3D" w:rsidP="00022B3D">
            <w:pPr>
              <w:autoSpaceDE w:val="0"/>
              <w:autoSpaceDN w:val="0"/>
              <w:adjustRightInd w:val="0"/>
              <w:spacing w:before="0" w:after="0"/>
              <w:jc w:val="right"/>
              <w:rPr>
                <w:rFonts w:eastAsia="Times New Roman"/>
                <w:kern w:val="0"/>
                <w:sz w:val="20"/>
                <w:lang w:val="zh-CN"/>
              </w:rPr>
            </w:pPr>
            <w:r>
              <w:rPr>
                <w:rFonts w:eastAsia="Times New Roman"/>
                <w:kern w:val="0"/>
                <w:sz w:val="20"/>
                <w:lang w:val="zh-CN"/>
              </w:rPr>
              <w:t xml:space="preserve">   </w:t>
            </w:r>
            <w:r w:rsidR="00EE7DA4">
              <w:rPr>
                <w:rFonts w:eastAsia="Times New Roman"/>
                <w:kern w:val="0"/>
                <w:sz w:val="20"/>
                <w:lang w:val="zh-CN"/>
              </w:rPr>
              <w:t xml:space="preserve">106,981,366.39 </w:t>
            </w:r>
          </w:p>
        </w:tc>
        <w:tc>
          <w:tcPr>
            <w:tcW w:w="1560" w:type="dxa"/>
            <w:shd w:val="clear" w:color="auto" w:fill="FFFFFF"/>
            <w:vAlign w:val="center"/>
          </w:tcPr>
          <w:p w:rsidR="00EE7DA4" w:rsidRDefault="00022B3D" w:rsidP="00022B3D">
            <w:pPr>
              <w:autoSpaceDE w:val="0"/>
              <w:autoSpaceDN w:val="0"/>
              <w:adjustRightInd w:val="0"/>
              <w:spacing w:before="0" w:after="0"/>
              <w:jc w:val="right"/>
              <w:rPr>
                <w:rFonts w:eastAsia="Times New Roman"/>
                <w:kern w:val="0"/>
                <w:sz w:val="20"/>
                <w:lang w:val="zh-CN"/>
              </w:rPr>
            </w:pPr>
            <w:r>
              <w:rPr>
                <w:rFonts w:eastAsia="Times New Roman"/>
                <w:kern w:val="0"/>
                <w:sz w:val="20"/>
                <w:lang w:val="zh-CN"/>
              </w:rPr>
              <w:t xml:space="preserve">    </w:t>
            </w:r>
            <w:r w:rsidR="00EE7DA4">
              <w:rPr>
                <w:rFonts w:eastAsia="Times New Roman"/>
                <w:kern w:val="0"/>
                <w:sz w:val="20"/>
                <w:lang w:val="zh-CN"/>
              </w:rPr>
              <w:t xml:space="preserve">67,790,773.32 </w:t>
            </w:r>
          </w:p>
        </w:tc>
        <w:tc>
          <w:tcPr>
            <w:tcW w:w="1080" w:type="dxa"/>
            <w:shd w:val="clear" w:color="auto" w:fill="FFFFFF"/>
            <w:vAlign w:val="center"/>
          </w:tcPr>
          <w:p w:rsidR="00EE7DA4" w:rsidRDefault="00EE7DA4" w:rsidP="00022B3D">
            <w:pPr>
              <w:autoSpaceDE w:val="0"/>
              <w:autoSpaceDN w:val="0"/>
              <w:adjustRightInd w:val="0"/>
              <w:spacing w:before="0" w:after="0"/>
              <w:jc w:val="right"/>
              <w:rPr>
                <w:rFonts w:eastAsia="Times New Roman"/>
                <w:kern w:val="0"/>
                <w:sz w:val="20"/>
                <w:lang w:val="zh-CN"/>
              </w:rPr>
            </w:pPr>
            <w:r>
              <w:rPr>
                <w:rFonts w:eastAsia="Times New Roman"/>
                <w:kern w:val="0"/>
                <w:sz w:val="20"/>
                <w:lang w:val="zh-CN"/>
              </w:rPr>
              <w:t>57.81%</w:t>
            </w:r>
          </w:p>
        </w:tc>
        <w:tc>
          <w:tcPr>
            <w:tcW w:w="3586" w:type="dxa"/>
            <w:shd w:val="clear" w:color="auto" w:fill="FFFFFF"/>
          </w:tcPr>
          <w:p w:rsidR="00EE7DA4" w:rsidRDefault="00EE7DA4">
            <w:pPr>
              <w:autoSpaceDE w:val="0"/>
              <w:autoSpaceDN w:val="0"/>
              <w:adjustRightInd w:val="0"/>
              <w:spacing w:before="0" w:after="0"/>
              <w:jc w:val="left"/>
              <w:rPr>
                <w:rFonts w:eastAsia="Times New Roman"/>
                <w:kern w:val="0"/>
                <w:sz w:val="20"/>
                <w:lang w:val="zh-CN"/>
              </w:rPr>
            </w:pPr>
            <w:r>
              <w:rPr>
                <w:rFonts w:ascii="宋体" w:hAnsi="宋体" w:cs="宋体" w:hint="eastAsia"/>
                <w:kern w:val="0"/>
                <w:sz w:val="20"/>
                <w:lang w:val="zh-CN"/>
              </w:rPr>
              <w:t>主要系银行承兑汇票增加所致。</w:t>
            </w:r>
          </w:p>
        </w:tc>
      </w:tr>
      <w:tr w:rsidR="00EE7DA4" w:rsidTr="00022B3D">
        <w:tc>
          <w:tcPr>
            <w:tcW w:w="2294" w:type="dxa"/>
            <w:shd w:val="clear" w:color="auto" w:fill="FFFFFF"/>
            <w:vAlign w:val="center"/>
          </w:tcPr>
          <w:p w:rsidR="00EE7DA4" w:rsidRDefault="00EE7DA4" w:rsidP="00022B3D">
            <w:pPr>
              <w:autoSpaceDE w:val="0"/>
              <w:autoSpaceDN w:val="0"/>
              <w:adjustRightInd w:val="0"/>
              <w:spacing w:before="0" w:after="0"/>
              <w:rPr>
                <w:rFonts w:eastAsia="Times New Roman"/>
                <w:kern w:val="0"/>
                <w:sz w:val="20"/>
                <w:lang w:val="zh-CN"/>
              </w:rPr>
            </w:pPr>
            <w:r>
              <w:rPr>
                <w:rFonts w:ascii="宋体" w:hAnsi="宋体" w:cs="宋体" w:hint="eastAsia"/>
                <w:kern w:val="0"/>
                <w:sz w:val="20"/>
                <w:lang w:val="zh-CN"/>
              </w:rPr>
              <w:t>应交税费</w:t>
            </w:r>
          </w:p>
        </w:tc>
        <w:tc>
          <w:tcPr>
            <w:tcW w:w="1560" w:type="dxa"/>
            <w:shd w:val="clear" w:color="auto" w:fill="FFFFFF"/>
            <w:vAlign w:val="center"/>
          </w:tcPr>
          <w:p w:rsidR="00EE7DA4" w:rsidRDefault="00022B3D" w:rsidP="00022B3D">
            <w:pPr>
              <w:autoSpaceDE w:val="0"/>
              <w:autoSpaceDN w:val="0"/>
              <w:adjustRightInd w:val="0"/>
              <w:spacing w:before="0" w:after="0"/>
              <w:jc w:val="right"/>
              <w:rPr>
                <w:rFonts w:eastAsia="Times New Roman"/>
                <w:kern w:val="0"/>
                <w:sz w:val="20"/>
                <w:lang w:val="zh-CN"/>
              </w:rPr>
            </w:pPr>
            <w:r>
              <w:rPr>
                <w:rFonts w:eastAsia="Times New Roman"/>
                <w:kern w:val="0"/>
                <w:sz w:val="20"/>
                <w:lang w:val="zh-CN"/>
              </w:rPr>
              <w:t xml:space="preserve">    </w:t>
            </w:r>
            <w:r w:rsidR="00EE7DA4">
              <w:rPr>
                <w:rFonts w:eastAsia="Times New Roman"/>
                <w:kern w:val="0"/>
                <w:sz w:val="20"/>
                <w:lang w:val="zh-CN"/>
              </w:rPr>
              <w:t xml:space="preserve">15,667,531.45 </w:t>
            </w:r>
          </w:p>
        </w:tc>
        <w:tc>
          <w:tcPr>
            <w:tcW w:w="1560" w:type="dxa"/>
            <w:shd w:val="clear" w:color="auto" w:fill="FFFFFF"/>
            <w:vAlign w:val="center"/>
          </w:tcPr>
          <w:p w:rsidR="00EE7DA4" w:rsidRDefault="00022B3D" w:rsidP="00022B3D">
            <w:pPr>
              <w:autoSpaceDE w:val="0"/>
              <w:autoSpaceDN w:val="0"/>
              <w:adjustRightInd w:val="0"/>
              <w:spacing w:before="0" w:after="0"/>
              <w:jc w:val="right"/>
              <w:rPr>
                <w:rFonts w:eastAsia="Times New Roman"/>
                <w:kern w:val="0"/>
                <w:sz w:val="20"/>
                <w:lang w:val="zh-CN"/>
              </w:rPr>
            </w:pPr>
            <w:r>
              <w:rPr>
                <w:rFonts w:eastAsia="Times New Roman"/>
                <w:kern w:val="0"/>
                <w:sz w:val="20"/>
                <w:lang w:val="zh-CN"/>
              </w:rPr>
              <w:t xml:space="preserve">    </w:t>
            </w:r>
            <w:r w:rsidR="00EE7DA4">
              <w:rPr>
                <w:rFonts w:eastAsia="Times New Roman"/>
                <w:kern w:val="0"/>
                <w:sz w:val="20"/>
                <w:lang w:val="zh-CN"/>
              </w:rPr>
              <w:t xml:space="preserve">74,677,670.91 </w:t>
            </w:r>
          </w:p>
        </w:tc>
        <w:tc>
          <w:tcPr>
            <w:tcW w:w="1080" w:type="dxa"/>
            <w:shd w:val="clear" w:color="auto" w:fill="FFFFFF"/>
            <w:vAlign w:val="center"/>
          </w:tcPr>
          <w:p w:rsidR="00EE7DA4" w:rsidRDefault="00EE7DA4" w:rsidP="00022B3D">
            <w:pPr>
              <w:autoSpaceDE w:val="0"/>
              <w:autoSpaceDN w:val="0"/>
              <w:adjustRightInd w:val="0"/>
              <w:spacing w:before="0" w:after="0"/>
              <w:jc w:val="right"/>
              <w:rPr>
                <w:rFonts w:eastAsia="Times New Roman"/>
                <w:kern w:val="0"/>
                <w:sz w:val="20"/>
                <w:lang w:val="zh-CN"/>
              </w:rPr>
            </w:pPr>
            <w:r>
              <w:rPr>
                <w:rFonts w:eastAsia="Times New Roman"/>
                <w:kern w:val="0"/>
                <w:sz w:val="20"/>
                <w:lang w:val="zh-CN"/>
              </w:rPr>
              <w:t>-79.02%</w:t>
            </w:r>
          </w:p>
        </w:tc>
        <w:tc>
          <w:tcPr>
            <w:tcW w:w="3586" w:type="dxa"/>
            <w:shd w:val="clear" w:color="auto" w:fill="FFFFFF"/>
          </w:tcPr>
          <w:p w:rsidR="00EE7DA4" w:rsidRDefault="00EE7DA4">
            <w:pPr>
              <w:autoSpaceDE w:val="0"/>
              <w:autoSpaceDN w:val="0"/>
              <w:adjustRightInd w:val="0"/>
              <w:spacing w:before="0" w:after="0"/>
              <w:jc w:val="left"/>
              <w:rPr>
                <w:rFonts w:eastAsia="Times New Roman"/>
                <w:kern w:val="0"/>
                <w:sz w:val="20"/>
                <w:lang w:val="zh-CN"/>
              </w:rPr>
            </w:pPr>
            <w:r>
              <w:rPr>
                <w:rFonts w:ascii="宋体" w:hAnsi="宋体" w:cs="宋体" w:hint="eastAsia"/>
                <w:kern w:val="0"/>
                <w:sz w:val="20"/>
                <w:lang w:val="zh-CN"/>
              </w:rPr>
              <w:t>主要系期末应交未交所得税余额减少所致。</w:t>
            </w:r>
          </w:p>
        </w:tc>
      </w:tr>
      <w:tr w:rsidR="00EE7DA4" w:rsidTr="00022B3D">
        <w:tc>
          <w:tcPr>
            <w:tcW w:w="2294" w:type="dxa"/>
            <w:shd w:val="clear" w:color="auto" w:fill="FFFFFF"/>
            <w:vAlign w:val="center"/>
          </w:tcPr>
          <w:p w:rsidR="00EE7DA4" w:rsidRDefault="00EE7DA4" w:rsidP="00022B3D">
            <w:pPr>
              <w:autoSpaceDE w:val="0"/>
              <w:autoSpaceDN w:val="0"/>
              <w:adjustRightInd w:val="0"/>
              <w:spacing w:before="0" w:after="0"/>
              <w:rPr>
                <w:rFonts w:eastAsia="Times New Roman"/>
                <w:kern w:val="0"/>
                <w:sz w:val="20"/>
                <w:lang w:val="zh-CN"/>
              </w:rPr>
            </w:pPr>
            <w:r>
              <w:rPr>
                <w:rFonts w:ascii="宋体" w:hAnsi="宋体" w:cs="宋体" w:hint="eastAsia"/>
                <w:kern w:val="0"/>
                <w:sz w:val="20"/>
                <w:lang w:val="zh-CN"/>
              </w:rPr>
              <w:t>递延收益</w:t>
            </w:r>
          </w:p>
        </w:tc>
        <w:tc>
          <w:tcPr>
            <w:tcW w:w="1560" w:type="dxa"/>
            <w:shd w:val="clear" w:color="auto" w:fill="FFFFFF"/>
            <w:vAlign w:val="center"/>
          </w:tcPr>
          <w:p w:rsidR="00EE7DA4" w:rsidRDefault="00022B3D" w:rsidP="00022B3D">
            <w:pPr>
              <w:autoSpaceDE w:val="0"/>
              <w:autoSpaceDN w:val="0"/>
              <w:adjustRightInd w:val="0"/>
              <w:spacing w:before="0" w:after="0"/>
              <w:jc w:val="right"/>
              <w:rPr>
                <w:rFonts w:eastAsia="Times New Roman"/>
                <w:kern w:val="0"/>
                <w:sz w:val="20"/>
                <w:lang w:val="zh-CN"/>
              </w:rPr>
            </w:pPr>
            <w:r>
              <w:rPr>
                <w:rFonts w:eastAsia="Times New Roman"/>
                <w:kern w:val="0"/>
                <w:sz w:val="20"/>
                <w:lang w:val="zh-CN"/>
              </w:rPr>
              <w:t xml:space="preserve">   </w:t>
            </w:r>
            <w:r w:rsidR="00EE7DA4">
              <w:rPr>
                <w:rFonts w:eastAsia="Times New Roman"/>
                <w:kern w:val="0"/>
                <w:sz w:val="20"/>
                <w:lang w:val="zh-CN"/>
              </w:rPr>
              <w:t xml:space="preserve">167,620,895.38 </w:t>
            </w:r>
          </w:p>
        </w:tc>
        <w:tc>
          <w:tcPr>
            <w:tcW w:w="1560" w:type="dxa"/>
            <w:shd w:val="clear" w:color="auto" w:fill="FFFFFF"/>
            <w:vAlign w:val="center"/>
          </w:tcPr>
          <w:p w:rsidR="00EE7DA4" w:rsidRDefault="00022B3D" w:rsidP="00022B3D">
            <w:pPr>
              <w:autoSpaceDE w:val="0"/>
              <w:autoSpaceDN w:val="0"/>
              <w:adjustRightInd w:val="0"/>
              <w:spacing w:before="0" w:after="0"/>
              <w:jc w:val="right"/>
              <w:rPr>
                <w:rFonts w:eastAsia="Times New Roman"/>
                <w:kern w:val="0"/>
                <w:sz w:val="20"/>
                <w:lang w:val="zh-CN"/>
              </w:rPr>
            </w:pPr>
            <w:r>
              <w:rPr>
                <w:rFonts w:eastAsia="Times New Roman"/>
                <w:kern w:val="0"/>
                <w:sz w:val="20"/>
                <w:lang w:val="zh-CN"/>
              </w:rPr>
              <w:t xml:space="preserve">   </w:t>
            </w:r>
            <w:r w:rsidR="00EE7DA4">
              <w:rPr>
                <w:rFonts w:eastAsia="Times New Roman"/>
                <w:kern w:val="0"/>
                <w:sz w:val="20"/>
                <w:lang w:val="zh-CN"/>
              </w:rPr>
              <w:t xml:space="preserve">100,148,483.72 </w:t>
            </w:r>
          </w:p>
        </w:tc>
        <w:tc>
          <w:tcPr>
            <w:tcW w:w="1080" w:type="dxa"/>
            <w:shd w:val="clear" w:color="auto" w:fill="FFFFFF"/>
            <w:vAlign w:val="center"/>
          </w:tcPr>
          <w:p w:rsidR="00EE7DA4" w:rsidRDefault="00EE7DA4" w:rsidP="00022B3D">
            <w:pPr>
              <w:autoSpaceDE w:val="0"/>
              <w:autoSpaceDN w:val="0"/>
              <w:adjustRightInd w:val="0"/>
              <w:spacing w:before="0" w:after="0"/>
              <w:jc w:val="right"/>
              <w:rPr>
                <w:rFonts w:eastAsia="Times New Roman"/>
                <w:kern w:val="0"/>
                <w:sz w:val="20"/>
                <w:lang w:val="zh-CN"/>
              </w:rPr>
            </w:pPr>
            <w:r>
              <w:rPr>
                <w:rFonts w:eastAsia="Times New Roman"/>
                <w:kern w:val="0"/>
                <w:sz w:val="20"/>
                <w:lang w:val="zh-CN"/>
              </w:rPr>
              <w:t>67.37%</w:t>
            </w:r>
          </w:p>
        </w:tc>
        <w:tc>
          <w:tcPr>
            <w:tcW w:w="3586" w:type="dxa"/>
            <w:shd w:val="clear" w:color="auto" w:fill="FFFFFF"/>
          </w:tcPr>
          <w:p w:rsidR="00EE7DA4" w:rsidRDefault="00EE7DA4">
            <w:pPr>
              <w:autoSpaceDE w:val="0"/>
              <w:autoSpaceDN w:val="0"/>
              <w:adjustRightInd w:val="0"/>
              <w:spacing w:before="0" w:after="0"/>
              <w:jc w:val="left"/>
              <w:rPr>
                <w:rFonts w:eastAsia="Times New Roman"/>
                <w:kern w:val="0"/>
                <w:sz w:val="20"/>
                <w:lang w:val="zh-CN"/>
              </w:rPr>
            </w:pPr>
            <w:r>
              <w:rPr>
                <w:rFonts w:ascii="宋体" w:hAnsi="宋体" w:cs="宋体" w:hint="eastAsia"/>
                <w:kern w:val="0"/>
                <w:sz w:val="20"/>
                <w:lang w:val="zh-CN"/>
              </w:rPr>
              <w:t>主要系本期递延收益增加所致。</w:t>
            </w:r>
          </w:p>
        </w:tc>
      </w:tr>
      <w:tr w:rsidR="00EE7DA4">
        <w:tc>
          <w:tcPr>
            <w:tcW w:w="2294" w:type="dxa"/>
            <w:shd w:val="clear" w:color="auto" w:fill="FFFFFF"/>
          </w:tcPr>
          <w:p w:rsidR="00EE7DA4" w:rsidRDefault="00EE7DA4">
            <w:pPr>
              <w:autoSpaceDE w:val="0"/>
              <w:autoSpaceDN w:val="0"/>
              <w:adjustRightInd w:val="0"/>
              <w:spacing w:before="0" w:after="0"/>
              <w:jc w:val="left"/>
              <w:rPr>
                <w:rFonts w:eastAsia="Times New Roman"/>
                <w:b/>
                <w:kern w:val="0"/>
                <w:sz w:val="21"/>
                <w:lang w:val="zh-CN"/>
              </w:rPr>
            </w:pPr>
            <w:r>
              <w:rPr>
                <w:rFonts w:eastAsia="Times New Roman"/>
                <w:b/>
                <w:kern w:val="0"/>
                <w:sz w:val="20"/>
                <w:lang w:val="zh-CN"/>
              </w:rPr>
              <w:t>2.</w:t>
            </w:r>
            <w:r>
              <w:rPr>
                <w:rFonts w:eastAsia="Times New Roman"/>
                <w:kern w:val="0"/>
                <w:sz w:val="21"/>
                <w:lang w:val="zh-CN"/>
              </w:rPr>
              <w:t xml:space="preserve"> </w:t>
            </w:r>
            <w:r>
              <w:rPr>
                <w:rFonts w:ascii="宋体" w:hAnsi="宋体" w:cs="宋体" w:hint="eastAsia"/>
                <w:b/>
                <w:kern w:val="0"/>
                <w:sz w:val="21"/>
                <w:lang w:val="zh-CN"/>
              </w:rPr>
              <w:t>利润表：</w:t>
            </w:r>
          </w:p>
        </w:tc>
        <w:tc>
          <w:tcPr>
            <w:tcW w:w="1560" w:type="dxa"/>
            <w:shd w:val="clear" w:color="auto" w:fill="FFFFFF"/>
          </w:tcPr>
          <w:p w:rsidR="00EE7DA4" w:rsidRDefault="00EE7DA4">
            <w:pPr>
              <w:autoSpaceDE w:val="0"/>
              <w:autoSpaceDN w:val="0"/>
              <w:adjustRightInd w:val="0"/>
              <w:spacing w:before="0" w:after="0"/>
              <w:jc w:val="right"/>
              <w:rPr>
                <w:rFonts w:eastAsia="Times New Roman"/>
                <w:kern w:val="0"/>
                <w:sz w:val="20"/>
                <w:lang w:val="zh-CN"/>
              </w:rPr>
            </w:pPr>
          </w:p>
        </w:tc>
        <w:tc>
          <w:tcPr>
            <w:tcW w:w="1560" w:type="dxa"/>
            <w:shd w:val="clear" w:color="auto" w:fill="FFFFFF"/>
          </w:tcPr>
          <w:p w:rsidR="00EE7DA4" w:rsidRDefault="00EE7DA4">
            <w:pPr>
              <w:autoSpaceDE w:val="0"/>
              <w:autoSpaceDN w:val="0"/>
              <w:adjustRightInd w:val="0"/>
              <w:spacing w:before="0" w:after="0"/>
              <w:jc w:val="right"/>
              <w:rPr>
                <w:rFonts w:eastAsia="Times New Roman"/>
                <w:kern w:val="0"/>
                <w:sz w:val="20"/>
                <w:lang w:val="zh-CN"/>
              </w:rPr>
            </w:pPr>
          </w:p>
        </w:tc>
        <w:tc>
          <w:tcPr>
            <w:tcW w:w="1080" w:type="dxa"/>
            <w:shd w:val="clear" w:color="auto" w:fill="FFFFFF"/>
          </w:tcPr>
          <w:p w:rsidR="00EE7DA4" w:rsidRDefault="00EE7DA4">
            <w:pPr>
              <w:autoSpaceDE w:val="0"/>
              <w:autoSpaceDN w:val="0"/>
              <w:adjustRightInd w:val="0"/>
              <w:spacing w:before="0" w:after="0"/>
              <w:jc w:val="right"/>
              <w:rPr>
                <w:rFonts w:eastAsia="Times New Roman"/>
                <w:kern w:val="0"/>
                <w:sz w:val="20"/>
                <w:lang w:val="zh-CN"/>
              </w:rPr>
            </w:pPr>
          </w:p>
        </w:tc>
        <w:tc>
          <w:tcPr>
            <w:tcW w:w="3586" w:type="dxa"/>
            <w:shd w:val="clear" w:color="auto" w:fill="FFFFFF"/>
          </w:tcPr>
          <w:p w:rsidR="00EE7DA4" w:rsidRDefault="00EE7DA4">
            <w:pPr>
              <w:autoSpaceDE w:val="0"/>
              <w:autoSpaceDN w:val="0"/>
              <w:adjustRightInd w:val="0"/>
              <w:spacing w:before="0" w:after="0"/>
              <w:jc w:val="left"/>
              <w:rPr>
                <w:rFonts w:eastAsia="Times New Roman"/>
                <w:kern w:val="0"/>
                <w:sz w:val="20"/>
                <w:lang w:val="zh-CN"/>
              </w:rPr>
            </w:pPr>
          </w:p>
        </w:tc>
      </w:tr>
      <w:tr w:rsidR="00EE7DA4">
        <w:tc>
          <w:tcPr>
            <w:tcW w:w="2294" w:type="dxa"/>
            <w:shd w:val="clear" w:color="auto" w:fill="FFFFFF"/>
          </w:tcPr>
          <w:p w:rsidR="00EE7DA4" w:rsidRDefault="00EE7DA4">
            <w:pPr>
              <w:autoSpaceDE w:val="0"/>
              <w:autoSpaceDN w:val="0"/>
              <w:adjustRightInd w:val="0"/>
              <w:spacing w:before="0" w:after="0"/>
              <w:jc w:val="left"/>
              <w:rPr>
                <w:rFonts w:eastAsia="Times New Roman"/>
                <w:kern w:val="0"/>
                <w:sz w:val="21"/>
                <w:lang w:val="zh-CN"/>
              </w:rPr>
            </w:pPr>
          </w:p>
        </w:tc>
        <w:tc>
          <w:tcPr>
            <w:tcW w:w="1560" w:type="dxa"/>
            <w:shd w:val="clear" w:color="auto" w:fill="FFFFFF"/>
          </w:tcPr>
          <w:p w:rsidR="00EE7DA4" w:rsidRDefault="00EE7DA4">
            <w:pPr>
              <w:autoSpaceDE w:val="0"/>
              <w:autoSpaceDN w:val="0"/>
              <w:adjustRightInd w:val="0"/>
              <w:spacing w:before="0" w:after="0"/>
              <w:jc w:val="right"/>
              <w:rPr>
                <w:rFonts w:eastAsia="Times New Roman"/>
                <w:kern w:val="0"/>
                <w:sz w:val="24"/>
                <w:lang w:val="zh-CN"/>
              </w:rPr>
            </w:pPr>
          </w:p>
        </w:tc>
        <w:tc>
          <w:tcPr>
            <w:tcW w:w="1560" w:type="dxa"/>
            <w:shd w:val="clear" w:color="auto" w:fill="FFFFFF"/>
          </w:tcPr>
          <w:p w:rsidR="00EE7DA4" w:rsidRDefault="00EE7DA4">
            <w:pPr>
              <w:autoSpaceDE w:val="0"/>
              <w:autoSpaceDN w:val="0"/>
              <w:adjustRightInd w:val="0"/>
              <w:spacing w:before="0" w:after="0"/>
              <w:jc w:val="right"/>
              <w:rPr>
                <w:rFonts w:eastAsia="Times New Roman"/>
                <w:kern w:val="0"/>
                <w:sz w:val="24"/>
                <w:lang w:val="zh-CN"/>
              </w:rPr>
            </w:pPr>
          </w:p>
        </w:tc>
        <w:tc>
          <w:tcPr>
            <w:tcW w:w="1080" w:type="dxa"/>
            <w:shd w:val="clear" w:color="auto" w:fill="FFFFFF"/>
          </w:tcPr>
          <w:p w:rsidR="00EE7DA4" w:rsidRDefault="00EE7DA4">
            <w:pPr>
              <w:autoSpaceDE w:val="0"/>
              <w:autoSpaceDN w:val="0"/>
              <w:adjustRightInd w:val="0"/>
              <w:spacing w:before="0" w:after="0"/>
              <w:jc w:val="right"/>
              <w:rPr>
                <w:rFonts w:eastAsia="Times New Roman"/>
                <w:kern w:val="0"/>
                <w:sz w:val="24"/>
                <w:lang w:val="zh-CN"/>
              </w:rPr>
            </w:pPr>
          </w:p>
        </w:tc>
        <w:tc>
          <w:tcPr>
            <w:tcW w:w="3586" w:type="dxa"/>
            <w:shd w:val="clear" w:color="auto" w:fill="FFFFFF"/>
          </w:tcPr>
          <w:p w:rsidR="00EE7DA4" w:rsidRDefault="00EE7DA4">
            <w:pPr>
              <w:autoSpaceDE w:val="0"/>
              <w:autoSpaceDN w:val="0"/>
              <w:adjustRightInd w:val="0"/>
              <w:spacing w:before="0" w:after="0"/>
              <w:jc w:val="left"/>
              <w:rPr>
                <w:rFonts w:eastAsia="Times New Roman"/>
                <w:kern w:val="0"/>
                <w:sz w:val="24"/>
                <w:lang w:val="zh-CN"/>
              </w:rPr>
            </w:pPr>
          </w:p>
        </w:tc>
      </w:tr>
      <w:tr w:rsidR="00EE7DA4" w:rsidTr="00022B3D">
        <w:tc>
          <w:tcPr>
            <w:tcW w:w="2294" w:type="dxa"/>
            <w:shd w:val="clear" w:color="auto" w:fill="FFFFFF"/>
            <w:vAlign w:val="center"/>
          </w:tcPr>
          <w:p w:rsidR="00EE7DA4" w:rsidRDefault="00EE7DA4" w:rsidP="00022B3D">
            <w:pPr>
              <w:autoSpaceDE w:val="0"/>
              <w:autoSpaceDN w:val="0"/>
              <w:adjustRightInd w:val="0"/>
              <w:spacing w:before="0" w:after="0"/>
              <w:jc w:val="center"/>
              <w:rPr>
                <w:rFonts w:eastAsia="Times New Roman"/>
                <w:kern w:val="0"/>
                <w:sz w:val="20"/>
                <w:lang w:val="zh-CN"/>
              </w:rPr>
            </w:pPr>
            <w:r>
              <w:rPr>
                <w:rFonts w:ascii="宋体" w:hAnsi="宋体" w:cs="宋体" w:hint="eastAsia"/>
                <w:kern w:val="0"/>
                <w:sz w:val="20"/>
                <w:lang w:val="zh-CN"/>
              </w:rPr>
              <w:t>项目</w:t>
            </w:r>
          </w:p>
        </w:tc>
        <w:tc>
          <w:tcPr>
            <w:tcW w:w="1560" w:type="dxa"/>
            <w:shd w:val="clear" w:color="auto" w:fill="FFFFFF"/>
            <w:vAlign w:val="center"/>
          </w:tcPr>
          <w:p w:rsidR="00EE7DA4" w:rsidRDefault="00EE7DA4" w:rsidP="00022B3D">
            <w:pPr>
              <w:autoSpaceDE w:val="0"/>
              <w:autoSpaceDN w:val="0"/>
              <w:adjustRightInd w:val="0"/>
              <w:spacing w:before="0" w:after="0"/>
              <w:jc w:val="center"/>
              <w:rPr>
                <w:rFonts w:eastAsia="Times New Roman"/>
                <w:kern w:val="0"/>
                <w:sz w:val="20"/>
                <w:lang w:val="zh-CN"/>
              </w:rPr>
            </w:pPr>
            <w:r>
              <w:rPr>
                <w:rFonts w:ascii="宋体" w:hAnsi="宋体" w:cs="宋体" w:hint="eastAsia"/>
                <w:kern w:val="0"/>
                <w:sz w:val="20"/>
                <w:lang w:val="zh-CN"/>
              </w:rPr>
              <w:t>本期发生额</w:t>
            </w:r>
          </w:p>
        </w:tc>
        <w:tc>
          <w:tcPr>
            <w:tcW w:w="1560" w:type="dxa"/>
            <w:shd w:val="clear" w:color="auto" w:fill="FFFFFF"/>
            <w:vAlign w:val="center"/>
          </w:tcPr>
          <w:p w:rsidR="00EE7DA4" w:rsidRDefault="00EE7DA4" w:rsidP="00022B3D">
            <w:pPr>
              <w:autoSpaceDE w:val="0"/>
              <w:autoSpaceDN w:val="0"/>
              <w:adjustRightInd w:val="0"/>
              <w:spacing w:before="0" w:after="0"/>
              <w:jc w:val="center"/>
              <w:rPr>
                <w:rFonts w:eastAsia="Times New Roman"/>
                <w:kern w:val="0"/>
                <w:sz w:val="20"/>
                <w:lang w:val="zh-CN"/>
              </w:rPr>
            </w:pPr>
            <w:r>
              <w:rPr>
                <w:rFonts w:ascii="宋体" w:hAnsi="宋体" w:cs="宋体" w:hint="eastAsia"/>
                <w:kern w:val="0"/>
                <w:sz w:val="20"/>
                <w:lang w:val="zh-CN"/>
              </w:rPr>
              <w:t>上期发生额</w:t>
            </w:r>
          </w:p>
        </w:tc>
        <w:tc>
          <w:tcPr>
            <w:tcW w:w="1080" w:type="dxa"/>
            <w:shd w:val="clear" w:color="auto" w:fill="FFFFFF"/>
            <w:vAlign w:val="center"/>
          </w:tcPr>
          <w:p w:rsidR="00EE7DA4" w:rsidRDefault="00EE7DA4" w:rsidP="00022B3D">
            <w:pPr>
              <w:autoSpaceDE w:val="0"/>
              <w:autoSpaceDN w:val="0"/>
              <w:adjustRightInd w:val="0"/>
              <w:spacing w:before="0" w:after="0"/>
              <w:jc w:val="center"/>
              <w:rPr>
                <w:rFonts w:eastAsia="Times New Roman"/>
                <w:kern w:val="0"/>
                <w:sz w:val="20"/>
                <w:lang w:val="zh-CN"/>
              </w:rPr>
            </w:pPr>
            <w:r>
              <w:rPr>
                <w:rFonts w:ascii="宋体" w:hAnsi="宋体" w:cs="宋体" w:hint="eastAsia"/>
                <w:kern w:val="0"/>
                <w:sz w:val="20"/>
                <w:lang w:val="zh-CN"/>
              </w:rPr>
              <w:t>变动比率</w:t>
            </w:r>
          </w:p>
        </w:tc>
        <w:tc>
          <w:tcPr>
            <w:tcW w:w="3586" w:type="dxa"/>
            <w:shd w:val="clear" w:color="auto" w:fill="FFFFFF"/>
            <w:vAlign w:val="center"/>
          </w:tcPr>
          <w:p w:rsidR="00EE7DA4" w:rsidRDefault="00EE7DA4" w:rsidP="00022B3D">
            <w:pPr>
              <w:autoSpaceDE w:val="0"/>
              <w:autoSpaceDN w:val="0"/>
              <w:adjustRightInd w:val="0"/>
              <w:spacing w:before="0" w:after="0"/>
              <w:jc w:val="center"/>
              <w:rPr>
                <w:rFonts w:eastAsia="Times New Roman"/>
                <w:kern w:val="0"/>
                <w:sz w:val="20"/>
                <w:lang w:val="zh-CN"/>
              </w:rPr>
            </w:pPr>
            <w:r>
              <w:rPr>
                <w:rFonts w:ascii="宋体" w:hAnsi="宋体" w:cs="宋体" w:hint="eastAsia"/>
                <w:kern w:val="0"/>
                <w:sz w:val="20"/>
                <w:lang w:val="zh-CN"/>
              </w:rPr>
              <w:t>变动原因</w:t>
            </w:r>
          </w:p>
        </w:tc>
      </w:tr>
      <w:tr w:rsidR="00EE7DA4" w:rsidTr="00022B3D">
        <w:tc>
          <w:tcPr>
            <w:tcW w:w="2294" w:type="dxa"/>
            <w:shd w:val="clear" w:color="auto" w:fill="FFFFFF"/>
            <w:vAlign w:val="center"/>
          </w:tcPr>
          <w:p w:rsidR="00EE7DA4" w:rsidRDefault="00EE7DA4" w:rsidP="00022B3D">
            <w:pPr>
              <w:autoSpaceDE w:val="0"/>
              <w:autoSpaceDN w:val="0"/>
              <w:adjustRightInd w:val="0"/>
              <w:spacing w:before="0" w:after="0"/>
              <w:rPr>
                <w:rFonts w:eastAsia="Times New Roman"/>
                <w:kern w:val="0"/>
                <w:sz w:val="20"/>
                <w:lang w:val="zh-CN"/>
              </w:rPr>
            </w:pPr>
            <w:r>
              <w:rPr>
                <w:rFonts w:ascii="宋体" w:hAnsi="宋体" w:cs="宋体" w:hint="eastAsia"/>
                <w:kern w:val="0"/>
                <w:sz w:val="20"/>
                <w:lang w:val="zh-CN"/>
              </w:rPr>
              <w:t>营业总收入</w:t>
            </w:r>
          </w:p>
        </w:tc>
        <w:tc>
          <w:tcPr>
            <w:tcW w:w="1560" w:type="dxa"/>
            <w:shd w:val="clear" w:color="auto" w:fill="FFFFFF"/>
          </w:tcPr>
          <w:p w:rsidR="00EE7DA4" w:rsidRDefault="00022B3D">
            <w:pPr>
              <w:autoSpaceDE w:val="0"/>
              <w:autoSpaceDN w:val="0"/>
              <w:adjustRightInd w:val="0"/>
              <w:spacing w:before="0" w:after="0"/>
              <w:jc w:val="right"/>
              <w:rPr>
                <w:rFonts w:eastAsia="Times New Roman"/>
                <w:kern w:val="0"/>
                <w:sz w:val="20"/>
                <w:lang w:val="zh-CN"/>
              </w:rPr>
            </w:pPr>
            <w:r>
              <w:rPr>
                <w:rFonts w:eastAsia="Times New Roman"/>
                <w:kern w:val="0"/>
                <w:sz w:val="20"/>
                <w:lang w:val="zh-CN"/>
              </w:rPr>
              <w:t xml:space="preserve"> </w:t>
            </w:r>
            <w:r w:rsidR="00EE7DA4">
              <w:rPr>
                <w:rFonts w:eastAsia="Times New Roman"/>
                <w:kern w:val="0"/>
                <w:sz w:val="20"/>
                <w:lang w:val="zh-CN"/>
              </w:rPr>
              <w:t xml:space="preserve">2,306,051,643.44 </w:t>
            </w:r>
          </w:p>
        </w:tc>
        <w:tc>
          <w:tcPr>
            <w:tcW w:w="1560" w:type="dxa"/>
            <w:shd w:val="clear" w:color="auto" w:fill="FFFFFF"/>
          </w:tcPr>
          <w:p w:rsidR="00EE7DA4" w:rsidRDefault="00022B3D">
            <w:pPr>
              <w:autoSpaceDE w:val="0"/>
              <w:autoSpaceDN w:val="0"/>
              <w:adjustRightInd w:val="0"/>
              <w:spacing w:before="0" w:after="0"/>
              <w:jc w:val="right"/>
              <w:rPr>
                <w:rFonts w:eastAsia="Times New Roman"/>
                <w:kern w:val="0"/>
                <w:sz w:val="20"/>
                <w:lang w:val="zh-CN"/>
              </w:rPr>
            </w:pPr>
            <w:r>
              <w:rPr>
                <w:rFonts w:eastAsia="Times New Roman"/>
                <w:kern w:val="0"/>
                <w:sz w:val="20"/>
                <w:lang w:val="zh-CN"/>
              </w:rPr>
              <w:t xml:space="preserve"> </w:t>
            </w:r>
            <w:r w:rsidR="00EE7DA4">
              <w:rPr>
                <w:rFonts w:eastAsia="Times New Roman"/>
                <w:kern w:val="0"/>
                <w:sz w:val="20"/>
                <w:lang w:val="zh-CN"/>
              </w:rPr>
              <w:t xml:space="preserve">3,634,310,612.28 </w:t>
            </w:r>
          </w:p>
        </w:tc>
        <w:tc>
          <w:tcPr>
            <w:tcW w:w="1080" w:type="dxa"/>
            <w:shd w:val="clear" w:color="auto" w:fill="FFFFFF"/>
          </w:tcPr>
          <w:p w:rsidR="00EE7DA4" w:rsidRDefault="00EE7DA4">
            <w:pPr>
              <w:autoSpaceDE w:val="0"/>
              <w:autoSpaceDN w:val="0"/>
              <w:adjustRightInd w:val="0"/>
              <w:spacing w:before="0" w:after="0"/>
              <w:jc w:val="right"/>
              <w:rPr>
                <w:rFonts w:eastAsia="Times New Roman"/>
                <w:kern w:val="0"/>
                <w:sz w:val="20"/>
                <w:lang w:val="zh-CN"/>
              </w:rPr>
            </w:pPr>
            <w:r>
              <w:rPr>
                <w:rFonts w:eastAsia="Times New Roman"/>
                <w:kern w:val="0"/>
                <w:sz w:val="20"/>
                <w:lang w:val="zh-CN"/>
              </w:rPr>
              <w:t>-36.55%</w:t>
            </w:r>
          </w:p>
        </w:tc>
        <w:tc>
          <w:tcPr>
            <w:tcW w:w="3586" w:type="dxa"/>
            <w:shd w:val="clear" w:color="auto" w:fill="FFFFFF"/>
          </w:tcPr>
          <w:p w:rsidR="00EE7DA4" w:rsidRDefault="00EE7DA4">
            <w:pPr>
              <w:autoSpaceDE w:val="0"/>
              <w:autoSpaceDN w:val="0"/>
              <w:adjustRightInd w:val="0"/>
              <w:spacing w:before="0" w:after="0"/>
              <w:jc w:val="left"/>
              <w:rPr>
                <w:rFonts w:eastAsia="Times New Roman"/>
                <w:kern w:val="0"/>
                <w:sz w:val="20"/>
                <w:lang w:val="zh-CN"/>
              </w:rPr>
            </w:pPr>
            <w:r>
              <w:rPr>
                <w:rFonts w:ascii="宋体" w:hAnsi="宋体" w:cs="宋体" w:hint="eastAsia"/>
                <w:kern w:val="0"/>
                <w:sz w:val="20"/>
                <w:lang w:val="zh-CN"/>
              </w:rPr>
              <w:t>主要系本期销售业务量下降所致。</w:t>
            </w:r>
          </w:p>
        </w:tc>
      </w:tr>
      <w:tr w:rsidR="00EE7DA4" w:rsidTr="00022B3D">
        <w:tc>
          <w:tcPr>
            <w:tcW w:w="2294" w:type="dxa"/>
            <w:shd w:val="clear" w:color="auto" w:fill="FFFFFF"/>
            <w:vAlign w:val="center"/>
          </w:tcPr>
          <w:p w:rsidR="00EE7DA4" w:rsidRDefault="00EE7DA4" w:rsidP="00022B3D">
            <w:pPr>
              <w:autoSpaceDE w:val="0"/>
              <w:autoSpaceDN w:val="0"/>
              <w:adjustRightInd w:val="0"/>
              <w:spacing w:before="0" w:after="0"/>
              <w:rPr>
                <w:rFonts w:eastAsia="Times New Roman"/>
                <w:kern w:val="0"/>
                <w:sz w:val="20"/>
                <w:lang w:val="zh-CN"/>
              </w:rPr>
            </w:pPr>
            <w:r>
              <w:rPr>
                <w:rFonts w:ascii="宋体" w:hAnsi="宋体" w:cs="宋体" w:hint="eastAsia"/>
                <w:kern w:val="0"/>
                <w:sz w:val="20"/>
                <w:lang w:val="zh-CN"/>
              </w:rPr>
              <w:t>营业成本</w:t>
            </w:r>
          </w:p>
        </w:tc>
        <w:tc>
          <w:tcPr>
            <w:tcW w:w="1560" w:type="dxa"/>
            <w:shd w:val="clear" w:color="auto" w:fill="FFFFFF"/>
          </w:tcPr>
          <w:p w:rsidR="00EE7DA4" w:rsidRDefault="00022B3D">
            <w:pPr>
              <w:autoSpaceDE w:val="0"/>
              <w:autoSpaceDN w:val="0"/>
              <w:adjustRightInd w:val="0"/>
              <w:spacing w:before="0" w:after="0"/>
              <w:jc w:val="right"/>
              <w:rPr>
                <w:rFonts w:eastAsia="Times New Roman"/>
                <w:kern w:val="0"/>
                <w:sz w:val="20"/>
                <w:lang w:val="zh-CN"/>
              </w:rPr>
            </w:pPr>
            <w:r>
              <w:rPr>
                <w:rFonts w:eastAsia="Times New Roman"/>
                <w:kern w:val="0"/>
                <w:sz w:val="20"/>
                <w:lang w:val="zh-CN"/>
              </w:rPr>
              <w:t xml:space="preserve"> </w:t>
            </w:r>
            <w:r w:rsidR="00EE7DA4">
              <w:rPr>
                <w:rFonts w:eastAsia="Times New Roman"/>
                <w:kern w:val="0"/>
                <w:sz w:val="20"/>
                <w:lang w:val="zh-CN"/>
              </w:rPr>
              <w:t xml:space="preserve">2,169,052,847.58 </w:t>
            </w:r>
          </w:p>
        </w:tc>
        <w:tc>
          <w:tcPr>
            <w:tcW w:w="1560" w:type="dxa"/>
            <w:shd w:val="clear" w:color="auto" w:fill="FFFFFF"/>
          </w:tcPr>
          <w:p w:rsidR="00EE7DA4" w:rsidRDefault="00022B3D">
            <w:pPr>
              <w:autoSpaceDE w:val="0"/>
              <w:autoSpaceDN w:val="0"/>
              <w:adjustRightInd w:val="0"/>
              <w:spacing w:before="0" w:after="0"/>
              <w:jc w:val="right"/>
              <w:rPr>
                <w:rFonts w:eastAsia="Times New Roman"/>
                <w:kern w:val="0"/>
                <w:sz w:val="20"/>
                <w:lang w:val="zh-CN"/>
              </w:rPr>
            </w:pPr>
            <w:r>
              <w:rPr>
                <w:rFonts w:eastAsia="Times New Roman"/>
                <w:kern w:val="0"/>
                <w:sz w:val="20"/>
                <w:lang w:val="zh-CN"/>
              </w:rPr>
              <w:t xml:space="preserve"> </w:t>
            </w:r>
            <w:r w:rsidR="00EE7DA4">
              <w:rPr>
                <w:rFonts w:eastAsia="Times New Roman"/>
                <w:kern w:val="0"/>
                <w:sz w:val="20"/>
                <w:lang w:val="zh-CN"/>
              </w:rPr>
              <w:t xml:space="preserve">3,254,753,101.89 </w:t>
            </w:r>
          </w:p>
        </w:tc>
        <w:tc>
          <w:tcPr>
            <w:tcW w:w="1080" w:type="dxa"/>
            <w:shd w:val="clear" w:color="auto" w:fill="FFFFFF"/>
          </w:tcPr>
          <w:p w:rsidR="00EE7DA4" w:rsidRDefault="00EE7DA4">
            <w:pPr>
              <w:autoSpaceDE w:val="0"/>
              <w:autoSpaceDN w:val="0"/>
              <w:adjustRightInd w:val="0"/>
              <w:spacing w:before="0" w:after="0"/>
              <w:jc w:val="right"/>
              <w:rPr>
                <w:rFonts w:eastAsia="Times New Roman"/>
                <w:kern w:val="0"/>
                <w:sz w:val="20"/>
                <w:lang w:val="zh-CN"/>
              </w:rPr>
            </w:pPr>
            <w:r>
              <w:rPr>
                <w:rFonts w:eastAsia="Times New Roman"/>
                <w:kern w:val="0"/>
                <w:sz w:val="20"/>
                <w:lang w:val="zh-CN"/>
              </w:rPr>
              <w:t>-33.36%</w:t>
            </w:r>
          </w:p>
        </w:tc>
        <w:tc>
          <w:tcPr>
            <w:tcW w:w="3586" w:type="dxa"/>
            <w:shd w:val="clear" w:color="auto" w:fill="FFFFFF"/>
          </w:tcPr>
          <w:p w:rsidR="00EE7DA4" w:rsidRDefault="00EE7DA4">
            <w:pPr>
              <w:autoSpaceDE w:val="0"/>
              <w:autoSpaceDN w:val="0"/>
              <w:adjustRightInd w:val="0"/>
              <w:spacing w:before="0" w:after="0"/>
              <w:jc w:val="left"/>
              <w:rPr>
                <w:rFonts w:eastAsia="Times New Roman"/>
                <w:kern w:val="0"/>
                <w:sz w:val="20"/>
                <w:lang w:val="zh-CN"/>
              </w:rPr>
            </w:pPr>
            <w:r>
              <w:rPr>
                <w:rFonts w:ascii="宋体" w:hAnsi="宋体" w:cs="宋体" w:hint="eastAsia"/>
                <w:kern w:val="0"/>
                <w:sz w:val="20"/>
                <w:lang w:val="zh-CN"/>
              </w:rPr>
              <w:t>主要系本期销售业务量下降所致。</w:t>
            </w:r>
          </w:p>
        </w:tc>
      </w:tr>
      <w:tr w:rsidR="00EE7DA4" w:rsidTr="00022B3D">
        <w:tc>
          <w:tcPr>
            <w:tcW w:w="2294" w:type="dxa"/>
            <w:shd w:val="clear" w:color="auto" w:fill="FFFFFF"/>
            <w:vAlign w:val="center"/>
          </w:tcPr>
          <w:p w:rsidR="00EE7DA4" w:rsidRDefault="00EE7DA4" w:rsidP="00022B3D">
            <w:pPr>
              <w:autoSpaceDE w:val="0"/>
              <w:autoSpaceDN w:val="0"/>
              <w:adjustRightInd w:val="0"/>
              <w:spacing w:before="0" w:after="0"/>
              <w:rPr>
                <w:rFonts w:eastAsia="Times New Roman"/>
                <w:kern w:val="0"/>
                <w:sz w:val="20"/>
                <w:lang w:val="zh-CN"/>
              </w:rPr>
            </w:pPr>
            <w:r>
              <w:rPr>
                <w:rFonts w:ascii="宋体" w:hAnsi="宋体" w:cs="宋体" w:hint="eastAsia"/>
                <w:kern w:val="0"/>
                <w:sz w:val="20"/>
                <w:lang w:val="zh-CN"/>
              </w:rPr>
              <w:t>销售费用</w:t>
            </w:r>
          </w:p>
        </w:tc>
        <w:tc>
          <w:tcPr>
            <w:tcW w:w="1560" w:type="dxa"/>
            <w:shd w:val="clear" w:color="auto" w:fill="FFFFFF"/>
          </w:tcPr>
          <w:p w:rsidR="00EE7DA4" w:rsidRDefault="00022B3D">
            <w:pPr>
              <w:autoSpaceDE w:val="0"/>
              <w:autoSpaceDN w:val="0"/>
              <w:adjustRightInd w:val="0"/>
              <w:spacing w:before="0" w:after="0"/>
              <w:jc w:val="right"/>
              <w:rPr>
                <w:rFonts w:eastAsia="Times New Roman"/>
                <w:kern w:val="0"/>
                <w:sz w:val="20"/>
                <w:lang w:val="zh-CN"/>
              </w:rPr>
            </w:pPr>
            <w:r>
              <w:rPr>
                <w:rFonts w:eastAsia="Times New Roman"/>
                <w:kern w:val="0"/>
                <w:sz w:val="20"/>
                <w:lang w:val="zh-CN"/>
              </w:rPr>
              <w:t xml:space="preserve">    </w:t>
            </w:r>
            <w:r w:rsidR="00EE7DA4">
              <w:rPr>
                <w:rFonts w:eastAsia="Times New Roman"/>
                <w:kern w:val="0"/>
                <w:sz w:val="20"/>
                <w:lang w:val="zh-CN"/>
              </w:rPr>
              <w:t xml:space="preserve">32,155,535.93 </w:t>
            </w:r>
          </w:p>
        </w:tc>
        <w:tc>
          <w:tcPr>
            <w:tcW w:w="1560" w:type="dxa"/>
            <w:shd w:val="clear" w:color="auto" w:fill="FFFFFF"/>
          </w:tcPr>
          <w:p w:rsidR="00EE7DA4" w:rsidRDefault="00022B3D">
            <w:pPr>
              <w:autoSpaceDE w:val="0"/>
              <w:autoSpaceDN w:val="0"/>
              <w:adjustRightInd w:val="0"/>
              <w:spacing w:before="0" w:after="0"/>
              <w:jc w:val="right"/>
              <w:rPr>
                <w:rFonts w:eastAsia="Times New Roman"/>
                <w:kern w:val="0"/>
                <w:sz w:val="20"/>
                <w:lang w:val="zh-CN"/>
              </w:rPr>
            </w:pPr>
            <w:r>
              <w:rPr>
                <w:rFonts w:eastAsia="Times New Roman"/>
                <w:kern w:val="0"/>
                <w:sz w:val="20"/>
                <w:lang w:val="zh-CN"/>
              </w:rPr>
              <w:t xml:space="preserve">    </w:t>
            </w:r>
            <w:r w:rsidR="00EE7DA4">
              <w:rPr>
                <w:rFonts w:eastAsia="Times New Roman"/>
                <w:kern w:val="0"/>
                <w:sz w:val="20"/>
                <w:lang w:val="zh-CN"/>
              </w:rPr>
              <w:t xml:space="preserve">55,666,004.02 </w:t>
            </w:r>
          </w:p>
        </w:tc>
        <w:tc>
          <w:tcPr>
            <w:tcW w:w="1080" w:type="dxa"/>
            <w:shd w:val="clear" w:color="auto" w:fill="FFFFFF"/>
          </w:tcPr>
          <w:p w:rsidR="00EE7DA4" w:rsidRDefault="00EE7DA4">
            <w:pPr>
              <w:autoSpaceDE w:val="0"/>
              <w:autoSpaceDN w:val="0"/>
              <w:adjustRightInd w:val="0"/>
              <w:spacing w:before="0" w:after="0"/>
              <w:jc w:val="right"/>
              <w:rPr>
                <w:rFonts w:eastAsia="Times New Roman"/>
                <w:kern w:val="0"/>
                <w:sz w:val="20"/>
                <w:lang w:val="zh-CN"/>
              </w:rPr>
            </w:pPr>
            <w:r>
              <w:rPr>
                <w:rFonts w:eastAsia="Times New Roman"/>
                <w:kern w:val="0"/>
                <w:sz w:val="20"/>
                <w:lang w:val="zh-CN"/>
              </w:rPr>
              <w:t>-42.23%</w:t>
            </w:r>
          </w:p>
        </w:tc>
        <w:tc>
          <w:tcPr>
            <w:tcW w:w="3586" w:type="dxa"/>
            <w:shd w:val="clear" w:color="auto" w:fill="FFFFFF"/>
          </w:tcPr>
          <w:p w:rsidR="00EE7DA4" w:rsidRDefault="00EE7DA4">
            <w:pPr>
              <w:autoSpaceDE w:val="0"/>
              <w:autoSpaceDN w:val="0"/>
              <w:adjustRightInd w:val="0"/>
              <w:spacing w:before="0" w:after="0"/>
              <w:jc w:val="left"/>
              <w:rPr>
                <w:rFonts w:eastAsia="Times New Roman"/>
                <w:kern w:val="0"/>
                <w:sz w:val="20"/>
                <w:lang w:val="zh-CN"/>
              </w:rPr>
            </w:pPr>
            <w:r>
              <w:rPr>
                <w:rFonts w:ascii="宋体" w:hAnsi="宋体" w:cs="宋体" w:hint="eastAsia"/>
                <w:kern w:val="0"/>
                <w:sz w:val="20"/>
                <w:lang w:val="zh-CN"/>
              </w:rPr>
              <w:t>主要系本期物流费用减少所致。</w:t>
            </w:r>
          </w:p>
        </w:tc>
      </w:tr>
      <w:tr w:rsidR="00EE7DA4" w:rsidTr="00022B3D">
        <w:tc>
          <w:tcPr>
            <w:tcW w:w="2294" w:type="dxa"/>
            <w:shd w:val="clear" w:color="auto" w:fill="FFFFFF"/>
            <w:vAlign w:val="center"/>
          </w:tcPr>
          <w:p w:rsidR="00EE7DA4" w:rsidRDefault="00EE7DA4" w:rsidP="00022B3D">
            <w:pPr>
              <w:autoSpaceDE w:val="0"/>
              <w:autoSpaceDN w:val="0"/>
              <w:adjustRightInd w:val="0"/>
              <w:spacing w:before="0" w:after="0"/>
              <w:rPr>
                <w:rFonts w:eastAsia="Times New Roman"/>
                <w:kern w:val="0"/>
                <w:sz w:val="20"/>
                <w:lang w:val="zh-CN"/>
              </w:rPr>
            </w:pPr>
            <w:r>
              <w:rPr>
                <w:rFonts w:ascii="宋体" w:hAnsi="宋体" w:cs="宋体" w:hint="eastAsia"/>
                <w:kern w:val="0"/>
                <w:sz w:val="20"/>
                <w:lang w:val="zh-CN"/>
              </w:rPr>
              <w:t>研发费用</w:t>
            </w:r>
          </w:p>
        </w:tc>
        <w:tc>
          <w:tcPr>
            <w:tcW w:w="1560" w:type="dxa"/>
            <w:shd w:val="clear" w:color="auto" w:fill="FFFFFF"/>
          </w:tcPr>
          <w:p w:rsidR="00EE7DA4" w:rsidRDefault="00022B3D">
            <w:pPr>
              <w:autoSpaceDE w:val="0"/>
              <w:autoSpaceDN w:val="0"/>
              <w:adjustRightInd w:val="0"/>
              <w:spacing w:before="0" w:after="0"/>
              <w:jc w:val="right"/>
              <w:rPr>
                <w:rFonts w:eastAsia="Times New Roman"/>
                <w:kern w:val="0"/>
                <w:sz w:val="20"/>
                <w:lang w:val="zh-CN"/>
              </w:rPr>
            </w:pPr>
            <w:r>
              <w:rPr>
                <w:rFonts w:eastAsia="Times New Roman"/>
                <w:kern w:val="0"/>
                <w:sz w:val="20"/>
                <w:lang w:val="zh-CN"/>
              </w:rPr>
              <w:t xml:space="preserve">    </w:t>
            </w:r>
            <w:r w:rsidR="00EE7DA4">
              <w:rPr>
                <w:rFonts w:eastAsia="Times New Roman"/>
                <w:kern w:val="0"/>
                <w:sz w:val="20"/>
                <w:lang w:val="zh-CN"/>
              </w:rPr>
              <w:t xml:space="preserve">22,725,228.36 </w:t>
            </w:r>
          </w:p>
        </w:tc>
        <w:tc>
          <w:tcPr>
            <w:tcW w:w="1560" w:type="dxa"/>
            <w:shd w:val="clear" w:color="auto" w:fill="FFFFFF"/>
          </w:tcPr>
          <w:p w:rsidR="00EE7DA4" w:rsidRDefault="00022B3D">
            <w:pPr>
              <w:autoSpaceDE w:val="0"/>
              <w:autoSpaceDN w:val="0"/>
              <w:adjustRightInd w:val="0"/>
              <w:spacing w:before="0" w:after="0"/>
              <w:jc w:val="right"/>
              <w:rPr>
                <w:rFonts w:eastAsia="Times New Roman"/>
                <w:kern w:val="0"/>
                <w:sz w:val="20"/>
                <w:lang w:val="zh-CN"/>
              </w:rPr>
            </w:pPr>
            <w:r>
              <w:rPr>
                <w:rFonts w:eastAsia="Times New Roman"/>
                <w:kern w:val="0"/>
                <w:sz w:val="20"/>
                <w:lang w:val="zh-CN"/>
              </w:rPr>
              <w:t xml:space="preserve">    </w:t>
            </w:r>
            <w:r w:rsidR="00EE7DA4">
              <w:rPr>
                <w:rFonts w:eastAsia="Times New Roman"/>
                <w:kern w:val="0"/>
                <w:sz w:val="20"/>
                <w:lang w:val="zh-CN"/>
              </w:rPr>
              <w:t xml:space="preserve">17,033,582.96 </w:t>
            </w:r>
          </w:p>
        </w:tc>
        <w:tc>
          <w:tcPr>
            <w:tcW w:w="1080" w:type="dxa"/>
            <w:shd w:val="clear" w:color="auto" w:fill="FFFFFF"/>
          </w:tcPr>
          <w:p w:rsidR="00EE7DA4" w:rsidRDefault="00EE7DA4">
            <w:pPr>
              <w:autoSpaceDE w:val="0"/>
              <w:autoSpaceDN w:val="0"/>
              <w:adjustRightInd w:val="0"/>
              <w:spacing w:before="0" w:after="0"/>
              <w:jc w:val="right"/>
              <w:rPr>
                <w:rFonts w:eastAsia="Times New Roman"/>
                <w:kern w:val="0"/>
                <w:sz w:val="20"/>
                <w:lang w:val="zh-CN"/>
              </w:rPr>
            </w:pPr>
            <w:r>
              <w:rPr>
                <w:rFonts w:eastAsia="Times New Roman"/>
                <w:kern w:val="0"/>
                <w:sz w:val="20"/>
                <w:lang w:val="zh-CN"/>
              </w:rPr>
              <w:t>33.41%</w:t>
            </w:r>
          </w:p>
        </w:tc>
        <w:tc>
          <w:tcPr>
            <w:tcW w:w="3586" w:type="dxa"/>
            <w:shd w:val="clear" w:color="auto" w:fill="FFFFFF"/>
          </w:tcPr>
          <w:p w:rsidR="00EE7DA4" w:rsidRDefault="00EE7DA4">
            <w:pPr>
              <w:autoSpaceDE w:val="0"/>
              <w:autoSpaceDN w:val="0"/>
              <w:adjustRightInd w:val="0"/>
              <w:spacing w:before="0" w:after="0"/>
              <w:jc w:val="left"/>
              <w:rPr>
                <w:rFonts w:eastAsia="Times New Roman"/>
                <w:kern w:val="0"/>
                <w:sz w:val="20"/>
                <w:lang w:val="zh-CN"/>
              </w:rPr>
            </w:pPr>
            <w:r>
              <w:rPr>
                <w:rFonts w:ascii="宋体" w:hAnsi="宋体" w:cs="宋体" w:hint="eastAsia"/>
                <w:kern w:val="0"/>
                <w:sz w:val="20"/>
                <w:lang w:val="zh-CN"/>
              </w:rPr>
              <w:t>主要系本期研发投入增加所致。</w:t>
            </w:r>
          </w:p>
        </w:tc>
      </w:tr>
      <w:tr w:rsidR="00EE7DA4" w:rsidTr="00022B3D">
        <w:tc>
          <w:tcPr>
            <w:tcW w:w="2294" w:type="dxa"/>
            <w:shd w:val="clear" w:color="auto" w:fill="FFFFFF"/>
            <w:vAlign w:val="center"/>
          </w:tcPr>
          <w:p w:rsidR="00EE7DA4" w:rsidRDefault="00EE7DA4" w:rsidP="00022B3D">
            <w:pPr>
              <w:autoSpaceDE w:val="0"/>
              <w:autoSpaceDN w:val="0"/>
              <w:adjustRightInd w:val="0"/>
              <w:spacing w:before="0" w:after="0"/>
              <w:rPr>
                <w:rFonts w:eastAsia="Times New Roman"/>
                <w:kern w:val="0"/>
                <w:sz w:val="20"/>
                <w:lang w:val="zh-CN"/>
              </w:rPr>
            </w:pPr>
            <w:r>
              <w:rPr>
                <w:rFonts w:ascii="宋体" w:hAnsi="宋体" w:cs="宋体" w:hint="eastAsia"/>
                <w:kern w:val="0"/>
                <w:sz w:val="20"/>
                <w:lang w:val="zh-CN"/>
              </w:rPr>
              <w:t>财务费用</w:t>
            </w:r>
          </w:p>
        </w:tc>
        <w:tc>
          <w:tcPr>
            <w:tcW w:w="1560" w:type="dxa"/>
            <w:shd w:val="clear" w:color="auto" w:fill="FFFFFF"/>
          </w:tcPr>
          <w:p w:rsidR="00EE7DA4" w:rsidRDefault="00022B3D">
            <w:pPr>
              <w:autoSpaceDE w:val="0"/>
              <w:autoSpaceDN w:val="0"/>
              <w:adjustRightInd w:val="0"/>
              <w:spacing w:before="0" w:after="0"/>
              <w:jc w:val="right"/>
              <w:rPr>
                <w:rFonts w:eastAsia="Times New Roman"/>
                <w:kern w:val="0"/>
                <w:sz w:val="20"/>
                <w:lang w:val="zh-CN"/>
              </w:rPr>
            </w:pPr>
            <w:r>
              <w:rPr>
                <w:rFonts w:eastAsia="Times New Roman"/>
                <w:kern w:val="0"/>
                <w:sz w:val="20"/>
                <w:lang w:val="zh-CN"/>
              </w:rPr>
              <w:t xml:space="preserve">    </w:t>
            </w:r>
            <w:r w:rsidR="00EE7DA4">
              <w:rPr>
                <w:rFonts w:eastAsia="Times New Roman"/>
                <w:kern w:val="0"/>
                <w:sz w:val="20"/>
                <w:lang w:val="zh-CN"/>
              </w:rPr>
              <w:t xml:space="preserve">61,331,889.51 </w:t>
            </w:r>
          </w:p>
        </w:tc>
        <w:tc>
          <w:tcPr>
            <w:tcW w:w="1560" w:type="dxa"/>
            <w:shd w:val="clear" w:color="auto" w:fill="FFFFFF"/>
          </w:tcPr>
          <w:p w:rsidR="00EE7DA4" w:rsidRDefault="00022B3D">
            <w:pPr>
              <w:autoSpaceDE w:val="0"/>
              <w:autoSpaceDN w:val="0"/>
              <w:adjustRightInd w:val="0"/>
              <w:spacing w:before="0" w:after="0"/>
              <w:jc w:val="right"/>
              <w:rPr>
                <w:rFonts w:eastAsia="Times New Roman"/>
                <w:kern w:val="0"/>
                <w:sz w:val="20"/>
                <w:lang w:val="zh-CN"/>
              </w:rPr>
            </w:pPr>
            <w:r>
              <w:rPr>
                <w:rFonts w:eastAsia="Times New Roman"/>
                <w:kern w:val="0"/>
                <w:sz w:val="20"/>
                <w:lang w:val="zh-CN"/>
              </w:rPr>
              <w:t xml:space="preserve">    </w:t>
            </w:r>
            <w:r w:rsidR="00EE7DA4">
              <w:rPr>
                <w:rFonts w:eastAsia="Times New Roman"/>
                <w:kern w:val="0"/>
                <w:sz w:val="20"/>
                <w:lang w:val="zh-CN"/>
              </w:rPr>
              <w:t xml:space="preserve">94,110,134.75 </w:t>
            </w:r>
          </w:p>
        </w:tc>
        <w:tc>
          <w:tcPr>
            <w:tcW w:w="1080" w:type="dxa"/>
            <w:shd w:val="clear" w:color="auto" w:fill="FFFFFF"/>
          </w:tcPr>
          <w:p w:rsidR="00EE7DA4" w:rsidRDefault="00EE7DA4">
            <w:pPr>
              <w:autoSpaceDE w:val="0"/>
              <w:autoSpaceDN w:val="0"/>
              <w:adjustRightInd w:val="0"/>
              <w:spacing w:before="0" w:after="0"/>
              <w:jc w:val="right"/>
              <w:rPr>
                <w:rFonts w:eastAsia="Times New Roman"/>
                <w:kern w:val="0"/>
                <w:sz w:val="20"/>
                <w:lang w:val="zh-CN"/>
              </w:rPr>
            </w:pPr>
            <w:r>
              <w:rPr>
                <w:rFonts w:eastAsia="Times New Roman"/>
                <w:kern w:val="0"/>
                <w:sz w:val="20"/>
                <w:lang w:val="zh-CN"/>
              </w:rPr>
              <w:t>-34.83%</w:t>
            </w:r>
          </w:p>
        </w:tc>
        <w:tc>
          <w:tcPr>
            <w:tcW w:w="3586" w:type="dxa"/>
            <w:shd w:val="clear" w:color="auto" w:fill="FFFFFF"/>
          </w:tcPr>
          <w:p w:rsidR="00EE7DA4" w:rsidRDefault="00EE7DA4">
            <w:pPr>
              <w:autoSpaceDE w:val="0"/>
              <w:autoSpaceDN w:val="0"/>
              <w:adjustRightInd w:val="0"/>
              <w:spacing w:before="0" w:after="0"/>
              <w:jc w:val="left"/>
              <w:rPr>
                <w:rFonts w:eastAsia="Times New Roman"/>
                <w:kern w:val="0"/>
                <w:sz w:val="20"/>
                <w:lang w:val="zh-CN"/>
              </w:rPr>
            </w:pPr>
            <w:r>
              <w:rPr>
                <w:rFonts w:ascii="宋体" w:hAnsi="宋体" w:cs="宋体" w:hint="eastAsia"/>
                <w:kern w:val="0"/>
                <w:sz w:val="20"/>
                <w:lang w:val="zh-CN"/>
              </w:rPr>
              <w:t>主要系本期汇兑损益变动所致。</w:t>
            </w:r>
          </w:p>
        </w:tc>
      </w:tr>
      <w:tr w:rsidR="00EE7DA4" w:rsidTr="00022B3D">
        <w:tc>
          <w:tcPr>
            <w:tcW w:w="2294" w:type="dxa"/>
            <w:shd w:val="clear" w:color="auto" w:fill="FFFFFF"/>
            <w:vAlign w:val="center"/>
          </w:tcPr>
          <w:p w:rsidR="00EE7DA4" w:rsidRDefault="00EE7DA4" w:rsidP="00022B3D">
            <w:pPr>
              <w:autoSpaceDE w:val="0"/>
              <w:autoSpaceDN w:val="0"/>
              <w:adjustRightInd w:val="0"/>
              <w:spacing w:before="0" w:after="0"/>
              <w:rPr>
                <w:rFonts w:eastAsia="Times New Roman"/>
                <w:kern w:val="0"/>
                <w:sz w:val="20"/>
                <w:lang w:val="zh-CN"/>
              </w:rPr>
            </w:pPr>
            <w:r>
              <w:rPr>
                <w:rFonts w:ascii="宋体" w:hAnsi="宋体" w:cs="宋体" w:hint="eastAsia"/>
                <w:kern w:val="0"/>
                <w:sz w:val="20"/>
                <w:lang w:val="zh-CN"/>
              </w:rPr>
              <w:t>其他收益</w:t>
            </w:r>
          </w:p>
        </w:tc>
        <w:tc>
          <w:tcPr>
            <w:tcW w:w="1560" w:type="dxa"/>
            <w:shd w:val="clear" w:color="auto" w:fill="FFFFFF"/>
          </w:tcPr>
          <w:p w:rsidR="00EE7DA4" w:rsidRDefault="00022B3D">
            <w:pPr>
              <w:autoSpaceDE w:val="0"/>
              <w:autoSpaceDN w:val="0"/>
              <w:adjustRightInd w:val="0"/>
              <w:spacing w:before="0" w:after="0"/>
              <w:jc w:val="right"/>
              <w:rPr>
                <w:rFonts w:eastAsia="Times New Roman"/>
                <w:kern w:val="0"/>
                <w:sz w:val="20"/>
                <w:lang w:val="zh-CN"/>
              </w:rPr>
            </w:pPr>
            <w:r>
              <w:rPr>
                <w:rFonts w:eastAsia="Times New Roman"/>
                <w:kern w:val="0"/>
                <w:sz w:val="20"/>
                <w:lang w:val="zh-CN"/>
              </w:rPr>
              <w:t xml:space="preserve">      </w:t>
            </w:r>
            <w:r w:rsidR="00EE7DA4">
              <w:rPr>
                <w:rFonts w:eastAsia="Times New Roman"/>
                <w:kern w:val="0"/>
                <w:sz w:val="20"/>
                <w:lang w:val="zh-CN"/>
              </w:rPr>
              <w:t xml:space="preserve">9,097,302.03 </w:t>
            </w:r>
          </w:p>
        </w:tc>
        <w:tc>
          <w:tcPr>
            <w:tcW w:w="1560" w:type="dxa"/>
            <w:shd w:val="clear" w:color="auto" w:fill="FFFFFF"/>
          </w:tcPr>
          <w:p w:rsidR="00EE7DA4" w:rsidRDefault="00022B3D">
            <w:pPr>
              <w:autoSpaceDE w:val="0"/>
              <w:autoSpaceDN w:val="0"/>
              <w:adjustRightInd w:val="0"/>
              <w:spacing w:before="0" w:after="0"/>
              <w:jc w:val="right"/>
              <w:rPr>
                <w:rFonts w:eastAsia="Times New Roman"/>
                <w:kern w:val="0"/>
                <w:sz w:val="20"/>
                <w:lang w:val="zh-CN"/>
              </w:rPr>
            </w:pPr>
            <w:r>
              <w:rPr>
                <w:rFonts w:eastAsia="Times New Roman"/>
                <w:kern w:val="0"/>
                <w:sz w:val="20"/>
                <w:lang w:val="zh-CN"/>
              </w:rPr>
              <w:t xml:space="preserve">    </w:t>
            </w:r>
            <w:r w:rsidR="00EE7DA4">
              <w:rPr>
                <w:rFonts w:eastAsia="Times New Roman"/>
                <w:kern w:val="0"/>
                <w:sz w:val="20"/>
                <w:lang w:val="zh-CN"/>
              </w:rPr>
              <w:t xml:space="preserve">65,618,661.25 </w:t>
            </w:r>
          </w:p>
        </w:tc>
        <w:tc>
          <w:tcPr>
            <w:tcW w:w="1080" w:type="dxa"/>
            <w:shd w:val="clear" w:color="auto" w:fill="FFFFFF"/>
          </w:tcPr>
          <w:p w:rsidR="00EE7DA4" w:rsidRDefault="00EE7DA4">
            <w:pPr>
              <w:autoSpaceDE w:val="0"/>
              <w:autoSpaceDN w:val="0"/>
              <w:adjustRightInd w:val="0"/>
              <w:spacing w:before="0" w:after="0"/>
              <w:jc w:val="right"/>
              <w:rPr>
                <w:rFonts w:eastAsia="Times New Roman"/>
                <w:kern w:val="0"/>
                <w:sz w:val="20"/>
                <w:lang w:val="zh-CN"/>
              </w:rPr>
            </w:pPr>
            <w:r>
              <w:rPr>
                <w:rFonts w:eastAsia="Times New Roman"/>
                <w:kern w:val="0"/>
                <w:sz w:val="20"/>
                <w:lang w:val="zh-CN"/>
              </w:rPr>
              <w:t>-86.14%</w:t>
            </w:r>
          </w:p>
        </w:tc>
        <w:tc>
          <w:tcPr>
            <w:tcW w:w="3586" w:type="dxa"/>
            <w:shd w:val="clear" w:color="auto" w:fill="FFFFFF"/>
          </w:tcPr>
          <w:p w:rsidR="00EE7DA4" w:rsidRDefault="00EE7DA4">
            <w:pPr>
              <w:autoSpaceDE w:val="0"/>
              <w:autoSpaceDN w:val="0"/>
              <w:adjustRightInd w:val="0"/>
              <w:spacing w:before="0" w:after="0"/>
              <w:jc w:val="left"/>
              <w:rPr>
                <w:rFonts w:eastAsia="Times New Roman"/>
                <w:kern w:val="0"/>
                <w:sz w:val="20"/>
                <w:lang w:val="zh-CN"/>
              </w:rPr>
            </w:pPr>
            <w:r>
              <w:rPr>
                <w:rFonts w:ascii="宋体" w:hAnsi="宋体" w:cs="宋体" w:hint="eastAsia"/>
                <w:kern w:val="0"/>
                <w:sz w:val="20"/>
                <w:lang w:val="zh-CN"/>
              </w:rPr>
              <w:t>主要系本期政补贴减少所致。</w:t>
            </w:r>
          </w:p>
        </w:tc>
      </w:tr>
      <w:tr w:rsidR="00EE7DA4" w:rsidTr="00022B3D">
        <w:tc>
          <w:tcPr>
            <w:tcW w:w="2294" w:type="dxa"/>
            <w:shd w:val="clear" w:color="auto" w:fill="FFFFFF"/>
            <w:vAlign w:val="center"/>
          </w:tcPr>
          <w:p w:rsidR="00EE7DA4" w:rsidRDefault="00EE7DA4" w:rsidP="00022B3D">
            <w:pPr>
              <w:autoSpaceDE w:val="0"/>
              <w:autoSpaceDN w:val="0"/>
              <w:adjustRightInd w:val="0"/>
              <w:spacing w:before="0" w:after="0"/>
              <w:rPr>
                <w:rFonts w:eastAsia="Times New Roman"/>
                <w:kern w:val="0"/>
                <w:sz w:val="20"/>
                <w:lang w:val="zh-CN"/>
              </w:rPr>
            </w:pPr>
            <w:r>
              <w:rPr>
                <w:rFonts w:ascii="宋体" w:hAnsi="宋体" w:cs="宋体" w:hint="eastAsia"/>
                <w:kern w:val="0"/>
                <w:sz w:val="20"/>
                <w:lang w:val="zh-CN"/>
              </w:rPr>
              <w:t>公允价值变动损益</w:t>
            </w:r>
          </w:p>
        </w:tc>
        <w:tc>
          <w:tcPr>
            <w:tcW w:w="1560" w:type="dxa"/>
            <w:shd w:val="clear" w:color="auto" w:fill="FFFFFF"/>
          </w:tcPr>
          <w:p w:rsidR="00EE7DA4" w:rsidRDefault="00022B3D">
            <w:pPr>
              <w:autoSpaceDE w:val="0"/>
              <w:autoSpaceDN w:val="0"/>
              <w:adjustRightInd w:val="0"/>
              <w:spacing w:before="0" w:after="0"/>
              <w:jc w:val="right"/>
              <w:rPr>
                <w:rFonts w:eastAsia="Times New Roman"/>
                <w:kern w:val="0"/>
                <w:sz w:val="20"/>
                <w:lang w:val="zh-CN"/>
              </w:rPr>
            </w:pPr>
            <w:r>
              <w:rPr>
                <w:rFonts w:eastAsia="Times New Roman"/>
                <w:kern w:val="0"/>
                <w:sz w:val="20"/>
                <w:lang w:val="zh-CN"/>
              </w:rPr>
              <w:t xml:space="preserve">      </w:t>
            </w:r>
            <w:r w:rsidR="00EE7DA4">
              <w:rPr>
                <w:rFonts w:eastAsia="Times New Roman"/>
                <w:kern w:val="0"/>
                <w:sz w:val="20"/>
                <w:lang w:val="zh-CN"/>
              </w:rPr>
              <w:t xml:space="preserve">3,748,209.67 </w:t>
            </w:r>
          </w:p>
        </w:tc>
        <w:tc>
          <w:tcPr>
            <w:tcW w:w="1560" w:type="dxa"/>
            <w:shd w:val="clear" w:color="auto" w:fill="FFFFFF"/>
          </w:tcPr>
          <w:p w:rsidR="00EE7DA4" w:rsidRDefault="00022B3D">
            <w:pPr>
              <w:autoSpaceDE w:val="0"/>
              <w:autoSpaceDN w:val="0"/>
              <w:adjustRightInd w:val="0"/>
              <w:spacing w:before="0" w:after="0"/>
              <w:jc w:val="right"/>
              <w:rPr>
                <w:rFonts w:eastAsia="Times New Roman"/>
                <w:kern w:val="0"/>
                <w:sz w:val="20"/>
                <w:lang w:val="zh-CN"/>
              </w:rPr>
            </w:pPr>
            <w:r>
              <w:rPr>
                <w:rFonts w:eastAsia="Times New Roman"/>
                <w:kern w:val="0"/>
                <w:sz w:val="20"/>
                <w:lang w:val="zh-CN"/>
              </w:rPr>
              <w:t xml:space="preserve">      </w:t>
            </w:r>
            <w:r w:rsidR="00EE7DA4">
              <w:rPr>
                <w:rFonts w:eastAsia="Times New Roman"/>
                <w:kern w:val="0"/>
                <w:sz w:val="20"/>
                <w:lang w:val="zh-CN"/>
              </w:rPr>
              <w:t xml:space="preserve">7,503,945.00 </w:t>
            </w:r>
          </w:p>
        </w:tc>
        <w:tc>
          <w:tcPr>
            <w:tcW w:w="1080" w:type="dxa"/>
            <w:shd w:val="clear" w:color="auto" w:fill="FFFFFF"/>
          </w:tcPr>
          <w:p w:rsidR="00EE7DA4" w:rsidRDefault="00EE7DA4">
            <w:pPr>
              <w:autoSpaceDE w:val="0"/>
              <w:autoSpaceDN w:val="0"/>
              <w:adjustRightInd w:val="0"/>
              <w:spacing w:before="0" w:after="0"/>
              <w:jc w:val="right"/>
              <w:rPr>
                <w:rFonts w:eastAsia="Times New Roman"/>
                <w:kern w:val="0"/>
                <w:sz w:val="20"/>
                <w:lang w:val="zh-CN"/>
              </w:rPr>
            </w:pPr>
            <w:r>
              <w:rPr>
                <w:rFonts w:eastAsia="Times New Roman"/>
                <w:kern w:val="0"/>
                <w:sz w:val="20"/>
                <w:lang w:val="zh-CN"/>
              </w:rPr>
              <w:t>-50.05%</w:t>
            </w:r>
          </w:p>
        </w:tc>
        <w:tc>
          <w:tcPr>
            <w:tcW w:w="3586" w:type="dxa"/>
            <w:shd w:val="clear" w:color="auto" w:fill="FFFFFF"/>
          </w:tcPr>
          <w:p w:rsidR="00EE7DA4" w:rsidRDefault="00EE7DA4">
            <w:pPr>
              <w:autoSpaceDE w:val="0"/>
              <w:autoSpaceDN w:val="0"/>
              <w:adjustRightInd w:val="0"/>
              <w:spacing w:before="0" w:after="0"/>
              <w:jc w:val="left"/>
              <w:rPr>
                <w:rFonts w:eastAsia="Times New Roman"/>
                <w:kern w:val="0"/>
                <w:sz w:val="20"/>
                <w:lang w:val="zh-CN"/>
              </w:rPr>
            </w:pPr>
            <w:r>
              <w:rPr>
                <w:rFonts w:ascii="宋体" w:hAnsi="宋体" w:cs="宋体" w:hint="eastAsia"/>
                <w:kern w:val="0"/>
                <w:sz w:val="20"/>
                <w:lang w:val="zh-CN"/>
              </w:rPr>
              <w:t>主要系期货公允价值变动所致。</w:t>
            </w:r>
          </w:p>
        </w:tc>
      </w:tr>
      <w:tr w:rsidR="00EE7DA4" w:rsidTr="00022B3D">
        <w:tc>
          <w:tcPr>
            <w:tcW w:w="2294" w:type="dxa"/>
            <w:shd w:val="clear" w:color="auto" w:fill="FFFFFF"/>
            <w:vAlign w:val="center"/>
          </w:tcPr>
          <w:p w:rsidR="00EE7DA4" w:rsidRDefault="00EE7DA4" w:rsidP="00022B3D">
            <w:pPr>
              <w:autoSpaceDE w:val="0"/>
              <w:autoSpaceDN w:val="0"/>
              <w:adjustRightInd w:val="0"/>
              <w:spacing w:before="0" w:after="0"/>
              <w:rPr>
                <w:rFonts w:eastAsia="Times New Roman"/>
                <w:kern w:val="0"/>
                <w:sz w:val="20"/>
                <w:lang w:val="zh-CN"/>
              </w:rPr>
            </w:pPr>
            <w:r>
              <w:rPr>
                <w:rFonts w:ascii="宋体" w:hAnsi="宋体" w:cs="宋体" w:hint="eastAsia"/>
                <w:kern w:val="0"/>
                <w:sz w:val="20"/>
                <w:lang w:val="zh-CN"/>
              </w:rPr>
              <w:t>资产减值损失</w:t>
            </w:r>
          </w:p>
        </w:tc>
        <w:tc>
          <w:tcPr>
            <w:tcW w:w="1560" w:type="dxa"/>
            <w:shd w:val="clear" w:color="auto" w:fill="FFFFFF"/>
          </w:tcPr>
          <w:p w:rsidR="00EE7DA4" w:rsidRDefault="00022B3D">
            <w:pPr>
              <w:autoSpaceDE w:val="0"/>
              <w:autoSpaceDN w:val="0"/>
              <w:adjustRightInd w:val="0"/>
              <w:spacing w:before="0" w:after="0"/>
              <w:jc w:val="right"/>
              <w:rPr>
                <w:rFonts w:eastAsia="Times New Roman"/>
                <w:kern w:val="0"/>
                <w:sz w:val="20"/>
                <w:lang w:val="zh-CN"/>
              </w:rPr>
            </w:pPr>
            <w:r>
              <w:rPr>
                <w:rFonts w:eastAsia="Times New Roman"/>
                <w:kern w:val="0"/>
                <w:sz w:val="20"/>
                <w:lang w:val="zh-CN"/>
              </w:rPr>
              <w:t xml:space="preserve">       </w:t>
            </w:r>
            <w:r w:rsidR="00EE7DA4">
              <w:rPr>
                <w:rFonts w:eastAsia="Times New Roman"/>
                <w:kern w:val="0"/>
                <w:sz w:val="20"/>
                <w:lang w:val="zh-CN"/>
              </w:rPr>
              <w:t xml:space="preserve">-397,309.21 </w:t>
            </w:r>
          </w:p>
        </w:tc>
        <w:tc>
          <w:tcPr>
            <w:tcW w:w="1560" w:type="dxa"/>
            <w:shd w:val="clear" w:color="auto" w:fill="FFFFFF"/>
          </w:tcPr>
          <w:p w:rsidR="00EE7DA4" w:rsidRDefault="00022B3D">
            <w:pPr>
              <w:autoSpaceDE w:val="0"/>
              <w:autoSpaceDN w:val="0"/>
              <w:adjustRightInd w:val="0"/>
              <w:spacing w:before="0" w:after="0"/>
              <w:jc w:val="right"/>
              <w:rPr>
                <w:rFonts w:eastAsia="Times New Roman"/>
                <w:kern w:val="0"/>
                <w:sz w:val="20"/>
                <w:lang w:val="zh-CN"/>
              </w:rPr>
            </w:pPr>
            <w:r>
              <w:rPr>
                <w:rFonts w:eastAsia="Times New Roman"/>
                <w:kern w:val="0"/>
                <w:sz w:val="20"/>
                <w:lang w:val="zh-CN"/>
              </w:rPr>
              <w:t xml:space="preserve">      </w:t>
            </w:r>
            <w:r w:rsidR="00EE7DA4">
              <w:rPr>
                <w:rFonts w:eastAsia="Times New Roman"/>
                <w:kern w:val="0"/>
                <w:sz w:val="20"/>
                <w:lang w:val="zh-CN"/>
              </w:rPr>
              <w:t xml:space="preserve">1,574,058.90 </w:t>
            </w:r>
          </w:p>
        </w:tc>
        <w:tc>
          <w:tcPr>
            <w:tcW w:w="1080" w:type="dxa"/>
            <w:shd w:val="clear" w:color="auto" w:fill="FFFFFF"/>
          </w:tcPr>
          <w:p w:rsidR="00EE7DA4" w:rsidRDefault="00EE7DA4">
            <w:pPr>
              <w:autoSpaceDE w:val="0"/>
              <w:autoSpaceDN w:val="0"/>
              <w:adjustRightInd w:val="0"/>
              <w:spacing w:before="0" w:after="0"/>
              <w:jc w:val="right"/>
              <w:rPr>
                <w:rFonts w:eastAsia="Times New Roman"/>
                <w:kern w:val="0"/>
                <w:sz w:val="20"/>
                <w:lang w:val="zh-CN"/>
              </w:rPr>
            </w:pPr>
            <w:r>
              <w:rPr>
                <w:rFonts w:eastAsia="Times New Roman"/>
                <w:kern w:val="0"/>
                <w:sz w:val="20"/>
                <w:lang w:val="zh-CN"/>
              </w:rPr>
              <w:t>-125.24%</w:t>
            </w:r>
          </w:p>
        </w:tc>
        <w:tc>
          <w:tcPr>
            <w:tcW w:w="3586" w:type="dxa"/>
            <w:shd w:val="clear" w:color="auto" w:fill="FFFFFF"/>
          </w:tcPr>
          <w:p w:rsidR="00EE7DA4" w:rsidRDefault="00EE7DA4">
            <w:pPr>
              <w:autoSpaceDE w:val="0"/>
              <w:autoSpaceDN w:val="0"/>
              <w:adjustRightInd w:val="0"/>
              <w:spacing w:before="0" w:after="0"/>
              <w:jc w:val="left"/>
              <w:rPr>
                <w:rFonts w:eastAsia="Times New Roman"/>
                <w:kern w:val="0"/>
                <w:sz w:val="20"/>
                <w:lang w:val="zh-CN"/>
              </w:rPr>
            </w:pPr>
            <w:r>
              <w:rPr>
                <w:rFonts w:ascii="宋体" w:hAnsi="宋体" w:cs="宋体" w:hint="eastAsia"/>
                <w:kern w:val="0"/>
                <w:sz w:val="20"/>
                <w:lang w:val="zh-CN"/>
              </w:rPr>
              <w:t>主要系会计政策变更所致。</w:t>
            </w:r>
          </w:p>
        </w:tc>
      </w:tr>
      <w:tr w:rsidR="00EE7DA4" w:rsidTr="00022B3D">
        <w:tc>
          <w:tcPr>
            <w:tcW w:w="2294" w:type="dxa"/>
            <w:shd w:val="clear" w:color="auto" w:fill="FFFFFF"/>
            <w:vAlign w:val="center"/>
          </w:tcPr>
          <w:p w:rsidR="00EE7DA4" w:rsidRDefault="00EE7DA4" w:rsidP="00022B3D">
            <w:pPr>
              <w:autoSpaceDE w:val="0"/>
              <w:autoSpaceDN w:val="0"/>
              <w:adjustRightInd w:val="0"/>
              <w:spacing w:before="0" w:after="0"/>
              <w:rPr>
                <w:rFonts w:eastAsia="Times New Roman"/>
                <w:kern w:val="0"/>
                <w:sz w:val="20"/>
                <w:lang w:val="zh-CN"/>
              </w:rPr>
            </w:pPr>
            <w:r>
              <w:rPr>
                <w:rFonts w:ascii="宋体" w:hAnsi="宋体" w:cs="宋体" w:hint="eastAsia"/>
                <w:kern w:val="0"/>
                <w:sz w:val="20"/>
                <w:lang w:val="zh-CN"/>
              </w:rPr>
              <w:t>营业外收入</w:t>
            </w:r>
          </w:p>
        </w:tc>
        <w:tc>
          <w:tcPr>
            <w:tcW w:w="1560" w:type="dxa"/>
            <w:shd w:val="clear" w:color="auto" w:fill="FFFFFF"/>
          </w:tcPr>
          <w:p w:rsidR="00EE7DA4" w:rsidRDefault="00022B3D">
            <w:pPr>
              <w:autoSpaceDE w:val="0"/>
              <w:autoSpaceDN w:val="0"/>
              <w:adjustRightInd w:val="0"/>
              <w:spacing w:before="0" w:after="0"/>
              <w:jc w:val="right"/>
              <w:rPr>
                <w:rFonts w:eastAsia="Times New Roman"/>
                <w:kern w:val="0"/>
                <w:sz w:val="20"/>
                <w:lang w:val="zh-CN"/>
              </w:rPr>
            </w:pPr>
            <w:r>
              <w:rPr>
                <w:rFonts w:eastAsia="Times New Roman"/>
                <w:kern w:val="0"/>
                <w:sz w:val="20"/>
                <w:lang w:val="zh-CN"/>
              </w:rPr>
              <w:t xml:space="preserve">      </w:t>
            </w:r>
            <w:r w:rsidR="00EE7DA4">
              <w:rPr>
                <w:rFonts w:eastAsia="Times New Roman"/>
                <w:kern w:val="0"/>
                <w:sz w:val="20"/>
                <w:lang w:val="zh-CN"/>
              </w:rPr>
              <w:t xml:space="preserve">4,882,746.02 </w:t>
            </w:r>
          </w:p>
        </w:tc>
        <w:tc>
          <w:tcPr>
            <w:tcW w:w="1560" w:type="dxa"/>
            <w:shd w:val="clear" w:color="auto" w:fill="FFFFFF"/>
          </w:tcPr>
          <w:p w:rsidR="00EE7DA4" w:rsidRDefault="00022B3D">
            <w:pPr>
              <w:autoSpaceDE w:val="0"/>
              <w:autoSpaceDN w:val="0"/>
              <w:adjustRightInd w:val="0"/>
              <w:spacing w:before="0" w:after="0"/>
              <w:jc w:val="right"/>
              <w:rPr>
                <w:rFonts w:eastAsia="Times New Roman"/>
                <w:kern w:val="0"/>
                <w:sz w:val="20"/>
                <w:lang w:val="zh-CN"/>
              </w:rPr>
            </w:pPr>
            <w:r>
              <w:rPr>
                <w:rFonts w:eastAsia="Times New Roman"/>
                <w:kern w:val="0"/>
                <w:sz w:val="20"/>
                <w:lang w:val="zh-CN"/>
              </w:rPr>
              <w:t xml:space="preserve">      </w:t>
            </w:r>
            <w:r w:rsidR="00EE7DA4">
              <w:rPr>
                <w:rFonts w:eastAsia="Times New Roman"/>
                <w:kern w:val="0"/>
                <w:sz w:val="20"/>
                <w:lang w:val="zh-CN"/>
              </w:rPr>
              <w:t xml:space="preserve">1,416,166.03 </w:t>
            </w:r>
          </w:p>
        </w:tc>
        <w:tc>
          <w:tcPr>
            <w:tcW w:w="1080" w:type="dxa"/>
            <w:shd w:val="clear" w:color="auto" w:fill="FFFFFF"/>
          </w:tcPr>
          <w:p w:rsidR="00EE7DA4" w:rsidRDefault="00EE7DA4">
            <w:pPr>
              <w:autoSpaceDE w:val="0"/>
              <w:autoSpaceDN w:val="0"/>
              <w:adjustRightInd w:val="0"/>
              <w:spacing w:before="0" w:after="0"/>
              <w:jc w:val="right"/>
              <w:rPr>
                <w:rFonts w:eastAsia="Times New Roman"/>
                <w:kern w:val="0"/>
                <w:sz w:val="20"/>
                <w:lang w:val="zh-CN"/>
              </w:rPr>
            </w:pPr>
            <w:r>
              <w:rPr>
                <w:rFonts w:eastAsia="Times New Roman"/>
                <w:kern w:val="0"/>
                <w:sz w:val="20"/>
                <w:lang w:val="zh-CN"/>
              </w:rPr>
              <w:t>244.79%</w:t>
            </w:r>
          </w:p>
        </w:tc>
        <w:tc>
          <w:tcPr>
            <w:tcW w:w="3586" w:type="dxa"/>
            <w:shd w:val="clear" w:color="auto" w:fill="FFFFFF"/>
          </w:tcPr>
          <w:p w:rsidR="00EE7DA4" w:rsidRDefault="00EE7DA4">
            <w:pPr>
              <w:autoSpaceDE w:val="0"/>
              <w:autoSpaceDN w:val="0"/>
              <w:adjustRightInd w:val="0"/>
              <w:spacing w:before="0" w:after="0"/>
              <w:jc w:val="left"/>
              <w:rPr>
                <w:rFonts w:eastAsia="Times New Roman"/>
                <w:kern w:val="0"/>
                <w:sz w:val="20"/>
                <w:lang w:val="zh-CN"/>
              </w:rPr>
            </w:pPr>
            <w:r>
              <w:rPr>
                <w:rFonts w:ascii="宋体" w:hAnsi="宋体" w:cs="宋体" w:hint="eastAsia"/>
                <w:kern w:val="0"/>
                <w:sz w:val="20"/>
                <w:lang w:val="zh-CN"/>
              </w:rPr>
              <w:t>主要系本期合同违约金收入增加所致。</w:t>
            </w:r>
          </w:p>
        </w:tc>
      </w:tr>
      <w:tr w:rsidR="00EE7DA4" w:rsidTr="00022B3D">
        <w:tc>
          <w:tcPr>
            <w:tcW w:w="2294" w:type="dxa"/>
            <w:shd w:val="clear" w:color="auto" w:fill="FFFFFF"/>
            <w:vAlign w:val="center"/>
          </w:tcPr>
          <w:p w:rsidR="00EE7DA4" w:rsidRDefault="00EE7DA4" w:rsidP="00022B3D">
            <w:pPr>
              <w:autoSpaceDE w:val="0"/>
              <w:autoSpaceDN w:val="0"/>
              <w:adjustRightInd w:val="0"/>
              <w:spacing w:before="0" w:after="0"/>
              <w:rPr>
                <w:rFonts w:eastAsia="Times New Roman"/>
                <w:kern w:val="0"/>
                <w:sz w:val="20"/>
                <w:lang w:val="zh-CN"/>
              </w:rPr>
            </w:pPr>
            <w:r>
              <w:rPr>
                <w:rFonts w:ascii="宋体" w:hAnsi="宋体" w:cs="宋体" w:hint="eastAsia"/>
                <w:kern w:val="0"/>
                <w:sz w:val="20"/>
                <w:lang w:val="zh-CN"/>
              </w:rPr>
              <w:t>营业外支出</w:t>
            </w:r>
          </w:p>
        </w:tc>
        <w:tc>
          <w:tcPr>
            <w:tcW w:w="1560" w:type="dxa"/>
            <w:shd w:val="clear" w:color="auto" w:fill="FFFFFF"/>
          </w:tcPr>
          <w:p w:rsidR="00EE7DA4" w:rsidRDefault="00022B3D">
            <w:pPr>
              <w:autoSpaceDE w:val="0"/>
              <w:autoSpaceDN w:val="0"/>
              <w:adjustRightInd w:val="0"/>
              <w:spacing w:before="0" w:after="0"/>
              <w:jc w:val="right"/>
              <w:rPr>
                <w:rFonts w:eastAsia="Times New Roman"/>
                <w:kern w:val="0"/>
                <w:sz w:val="20"/>
                <w:lang w:val="zh-CN"/>
              </w:rPr>
            </w:pPr>
            <w:r>
              <w:rPr>
                <w:rFonts w:eastAsia="Times New Roman"/>
                <w:kern w:val="0"/>
                <w:sz w:val="20"/>
                <w:lang w:val="zh-CN"/>
              </w:rPr>
              <w:t xml:space="preserve">       </w:t>
            </w:r>
            <w:r w:rsidR="00EE7DA4">
              <w:rPr>
                <w:rFonts w:eastAsia="Times New Roman"/>
                <w:kern w:val="0"/>
                <w:sz w:val="20"/>
                <w:lang w:val="zh-CN"/>
              </w:rPr>
              <w:t xml:space="preserve">579,295.60 </w:t>
            </w:r>
          </w:p>
        </w:tc>
        <w:tc>
          <w:tcPr>
            <w:tcW w:w="1560" w:type="dxa"/>
            <w:shd w:val="clear" w:color="auto" w:fill="FFFFFF"/>
          </w:tcPr>
          <w:p w:rsidR="00EE7DA4" w:rsidRDefault="00022B3D">
            <w:pPr>
              <w:autoSpaceDE w:val="0"/>
              <w:autoSpaceDN w:val="0"/>
              <w:adjustRightInd w:val="0"/>
              <w:spacing w:before="0" w:after="0"/>
              <w:jc w:val="right"/>
              <w:rPr>
                <w:rFonts w:eastAsia="Times New Roman"/>
                <w:kern w:val="0"/>
                <w:sz w:val="20"/>
                <w:lang w:val="zh-CN"/>
              </w:rPr>
            </w:pPr>
            <w:r>
              <w:rPr>
                <w:rFonts w:eastAsia="Times New Roman"/>
                <w:kern w:val="0"/>
                <w:sz w:val="20"/>
                <w:lang w:val="zh-CN"/>
              </w:rPr>
              <w:t xml:space="preserve">       </w:t>
            </w:r>
            <w:r w:rsidR="00EE7DA4">
              <w:rPr>
                <w:rFonts w:eastAsia="Times New Roman"/>
                <w:kern w:val="0"/>
                <w:sz w:val="20"/>
                <w:lang w:val="zh-CN"/>
              </w:rPr>
              <w:t xml:space="preserve">390,229.10 </w:t>
            </w:r>
          </w:p>
        </w:tc>
        <w:tc>
          <w:tcPr>
            <w:tcW w:w="1080" w:type="dxa"/>
            <w:shd w:val="clear" w:color="auto" w:fill="FFFFFF"/>
          </w:tcPr>
          <w:p w:rsidR="00EE7DA4" w:rsidRDefault="00EE7DA4">
            <w:pPr>
              <w:autoSpaceDE w:val="0"/>
              <w:autoSpaceDN w:val="0"/>
              <w:adjustRightInd w:val="0"/>
              <w:spacing w:before="0" w:after="0"/>
              <w:jc w:val="right"/>
              <w:rPr>
                <w:rFonts w:eastAsia="Times New Roman"/>
                <w:kern w:val="0"/>
                <w:sz w:val="20"/>
                <w:lang w:val="zh-CN"/>
              </w:rPr>
            </w:pPr>
            <w:r>
              <w:rPr>
                <w:rFonts w:eastAsia="Times New Roman"/>
                <w:kern w:val="0"/>
                <w:sz w:val="20"/>
                <w:lang w:val="zh-CN"/>
              </w:rPr>
              <w:t>48.45%</w:t>
            </w:r>
          </w:p>
        </w:tc>
        <w:tc>
          <w:tcPr>
            <w:tcW w:w="3586" w:type="dxa"/>
            <w:shd w:val="clear" w:color="auto" w:fill="FFFFFF"/>
          </w:tcPr>
          <w:p w:rsidR="00EE7DA4" w:rsidRDefault="00EE7DA4">
            <w:pPr>
              <w:autoSpaceDE w:val="0"/>
              <w:autoSpaceDN w:val="0"/>
              <w:adjustRightInd w:val="0"/>
              <w:spacing w:before="0" w:after="0"/>
              <w:jc w:val="left"/>
              <w:rPr>
                <w:rFonts w:eastAsia="Times New Roman"/>
                <w:kern w:val="0"/>
                <w:sz w:val="20"/>
                <w:lang w:val="zh-CN"/>
              </w:rPr>
            </w:pPr>
            <w:r>
              <w:rPr>
                <w:rFonts w:ascii="宋体" w:hAnsi="宋体" w:cs="宋体" w:hint="eastAsia"/>
                <w:kern w:val="0"/>
                <w:sz w:val="20"/>
                <w:lang w:val="zh-CN"/>
              </w:rPr>
              <w:t>主要系本期对外捐赠增加所致。</w:t>
            </w:r>
          </w:p>
        </w:tc>
      </w:tr>
      <w:tr w:rsidR="00EE7DA4" w:rsidTr="00022B3D">
        <w:tc>
          <w:tcPr>
            <w:tcW w:w="2294" w:type="dxa"/>
            <w:shd w:val="clear" w:color="auto" w:fill="FFFFFF"/>
            <w:vAlign w:val="center"/>
          </w:tcPr>
          <w:p w:rsidR="00EE7DA4" w:rsidRDefault="00EE7DA4" w:rsidP="00022B3D">
            <w:pPr>
              <w:autoSpaceDE w:val="0"/>
              <w:autoSpaceDN w:val="0"/>
              <w:adjustRightInd w:val="0"/>
              <w:spacing w:before="0" w:after="0"/>
              <w:rPr>
                <w:rFonts w:eastAsia="Times New Roman"/>
                <w:kern w:val="0"/>
                <w:sz w:val="20"/>
                <w:lang w:val="zh-CN"/>
              </w:rPr>
            </w:pPr>
            <w:r>
              <w:rPr>
                <w:rFonts w:ascii="宋体" w:hAnsi="宋体" w:cs="宋体" w:hint="eastAsia"/>
                <w:kern w:val="0"/>
                <w:sz w:val="20"/>
                <w:lang w:val="zh-CN"/>
              </w:rPr>
              <w:t>所得税费用</w:t>
            </w:r>
          </w:p>
        </w:tc>
        <w:tc>
          <w:tcPr>
            <w:tcW w:w="1560" w:type="dxa"/>
            <w:shd w:val="clear" w:color="auto" w:fill="FFFFFF"/>
          </w:tcPr>
          <w:p w:rsidR="00EE7DA4" w:rsidRDefault="00022B3D">
            <w:pPr>
              <w:autoSpaceDE w:val="0"/>
              <w:autoSpaceDN w:val="0"/>
              <w:adjustRightInd w:val="0"/>
              <w:spacing w:before="0" w:after="0"/>
              <w:jc w:val="right"/>
              <w:rPr>
                <w:rFonts w:eastAsia="Times New Roman"/>
                <w:kern w:val="0"/>
                <w:sz w:val="20"/>
                <w:lang w:val="zh-CN"/>
              </w:rPr>
            </w:pPr>
            <w:r>
              <w:rPr>
                <w:rFonts w:eastAsia="Times New Roman"/>
                <w:kern w:val="0"/>
                <w:sz w:val="20"/>
                <w:lang w:val="zh-CN"/>
              </w:rPr>
              <w:t xml:space="preserve">    </w:t>
            </w:r>
            <w:r w:rsidR="00EE7DA4">
              <w:rPr>
                <w:rFonts w:eastAsia="Times New Roman"/>
                <w:kern w:val="0"/>
                <w:sz w:val="20"/>
                <w:lang w:val="zh-CN"/>
              </w:rPr>
              <w:t xml:space="preserve">7,945,898.33 </w:t>
            </w:r>
          </w:p>
        </w:tc>
        <w:tc>
          <w:tcPr>
            <w:tcW w:w="1560" w:type="dxa"/>
            <w:shd w:val="clear" w:color="auto" w:fill="FFFFFF"/>
          </w:tcPr>
          <w:p w:rsidR="00EE7DA4" w:rsidRDefault="00022B3D">
            <w:pPr>
              <w:autoSpaceDE w:val="0"/>
              <w:autoSpaceDN w:val="0"/>
              <w:adjustRightInd w:val="0"/>
              <w:spacing w:before="0" w:after="0"/>
              <w:jc w:val="right"/>
              <w:rPr>
                <w:rFonts w:eastAsia="Times New Roman"/>
                <w:kern w:val="0"/>
                <w:sz w:val="20"/>
                <w:lang w:val="zh-CN"/>
              </w:rPr>
            </w:pPr>
            <w:r>
              <w:rPr>
                <w:rFonts w:eastAsia="Times New Roman"/>
                <w:kern w:val="0"/>
                <w:sz w:val="20"/>
                <w:lang w:val="zh-CN"/>
              </w:rPr>
              <w:t xml:space="preserve">    </w:t>
            </w:r>
            <w:r w:rsidR="00EE7DA4">
              <w:rPr>
                <w:rFonts w:eastAsia="Times New Roman"/>
                <w:kern w:val="0"/>
                <w:sz w:val="20"/>
                <w:lang w:val="zh-CN"/>
              </w:rPr>
              <w:t xml:space="preserve">13,382,944.56 </w:t>
            </w:r>
          </w:p>
        </w:tc>
        <w:tc>
          <w:tcPr>
            <w:tcW w:w="1080" w:type="dxa"/>
            <w:shd w:val="clear" w:color="auto" w:fill="FFFFFF"/>
          </w:tcPr>
          <w:p w:rsidR="00EE7DA4" w:rsidRDefault="00EE7DA4">
            <w:pPr>
              <w:autoSpaceDE w:val="0"/>
              <w:autoSpaceDN w:val="0"/>
              <w:adjustRightInd w:val="0"/>
              <w:spacing w:before="0" w:after="0"/>
              <w:jc w:val="right"/>
              <w:rPr>
                <w:rFonts w:eastAsia="Times New Roman"/>
                <w:kern w:val="0"/>
                <w:sz w:val="20"/>
                <w:lang w:val="zh-CN"/>
              </w:rPr>
            </w:pPr>
            <w:r>
              <w:rPr>
                <w:rFonts w:eastAsia="Times New Roman"/>
                <w:kern w:val="0"/>
                <w:sz w:val="20"/>
                <w:lang w:val="zh-CN"/>
              </w:rPr>
              <w:t>-40.63%</w:t>
            </w:r>
          </w:p>
        </w:tc>
        <w:tc>
          <w:tcPr>
            <w:tcW w:w="3586" w:type="dxa"/>
            <w:shd w:val="clear" w:color="auto" w:fill="FFFFFF"/>
          </w:tcPr>
          <w:p w:rsidR="00EE7DA4" w:rsidRDefault="00EE7DA4">
            <w:pPr>
              <w:autoSpaceDE w:val="0"/>
              <w:autoSpaceDN w:val="0"/>
              <w:adjustRightInd w:val="0"/>
              <w:spacing w:before="0" w:after="0"/>
              <w:jc w:val="left"/>
              <w:rPr>
                <w:rFonts w:eastAsia="Times New Roman"/>
                <w:kern w:val="0"/>
                <w:sz w:val="20"/>
                <w:lang w:val="zh-CN"/>
              </w:rPr>
            </w:pPr>
            <w:r>
              <w:rPr>
                <w:rFonts w:ascii="宋体" w:hAnsi="宋体" w:cs="宋体" w:hint="eastAsia"/>
                <w:kern w:val="0"/>
                <w:sz w:val="20"/>
                <w:lang w:val="zh-CN"/>
              </w:rPr>
              <w:t>主要系本期利润额下降，致本期企业所得税费用相应减少所致。</w:t>
            </w:r>
          </w:p>
        </w:tc>
      </w:tr>
      <w:tr w:rsidR="00EE7DA4">
        <w:tc>
          <w:tcPr>
            <w:tcW w:w="5414" w:type="dxa"/>
            <w:gridSpan w:val="3"/>
            <w:shd w:val="clear" w:color="auto" w:fill="FFFFFF"/>
          </w:tcPr>
          <w:p w:rsidR="00EE7DA4" w:rsidRDefault="00EE7DA4">
            <w:pPr>
              <w:autoSpaceDE w:val="0"/>
              <w:autoSpaceDN w:val="0"/>
              <w:adjustRightInd w:val="0"/>
              <w:spacing w:before="0" w:after="0"/>
              <w:jc w:val="left"/>
              <w:rPr>
                <w:rFonts w:eastAsia="Times New Roman"/>
                <w:b/>
                <w:kern w:val="0"/>
                <w:sz w:val="21"/>
                <w:lang w:val="zh-CN"/>
              </w:rPr>
            </w:pPr>
            <w:r>
              <w:rPr>
                <w:rFonts w:eastAsia="Times New Roman"/>
                <w:b/>
                <w:kern w:val="0"/>
                <w:sz w:val="20"/>
                <w:lang w:val="zh-CN"/>
              </w:rPr>
              <w:t>3.</w:t>
            </w:r>
            <w:r>
              <w:rPr>
                <w:rFonts w:ascii="宋体" w:hAnsi="宋体" w:cs="宋体" w:hint="eastAsia"/>
                <w:b/>
                <w:kern w:val="0"/>
                <w:sz w:val="21"/>
                <w:lang w:val="zh-CN"/>
              </w:rPr>
              <w:t>现金流量表变动原因说明</w:t>
            </w:r>
            <w:r>
              <w:rPr>
                <w:rFonts w:eastAsia="Times New Roman"/>
                <w:b/>
                <w:kern w:val="0"/>
                <w:sz w:val="21"/>
                <w:lang w:val="zh-CN"/>
              </w:rPr>
              <w:t>:</w:t>
            </w:r>
          </w:p>
        </w:tc>
        <w:tc>
          <w:tcPr>
            <w:tcW w:w="1080" w:type="dxa"/>
            <w:shd w:val="clear" w:color="auto" w:fill="FFFFFF"/>
          </w:tcPr>
          <w:p w:rsidR="00EE7DA4" w:rsidRDefault="00EE7DA4">
            <w:pPr>
              <w:autoSpaceDE w:val="0"/>
              <w:autoSpaceDN w:val="0"/>
              <w:adjustRightInd w:val="0"/>
              <w:spacing w:before="0" w:after="0"/>
              <w:jc w:val="right"/>
              <w:rPr>
                <w:rFonts w:eastAsia="Times New Roman"/>
                <w:kern w:val="0"/>
                <w:sz w:val="20"/>
                <w:lang w:val="zh-CN"/>
              </w:rPr>
            </w:pPr>
          </w:p>
        </w:tc>
        <w:tc>
          <w:tcPr>
            <w:tcW w:w="3586" w:type="dxa"/>
            <w:shd w:val="clear" w:color="auto" w:fill="FFFFFF"/>
          </w:tcPr>
          <w:p w:rsidR="00EE7DA4" w:rsidRDefault="00EE7DA4">
            <w:pPr>
              <w:autoSpaceDE w:val="0"/>
              <w:autoSpaceDN w:val="0"/>
              <w:adjustRightInd w:val="0"/>
              <w:spacing w:before="0" w:after="0"/>
              <w:jc w:val="left"/>
              <w:rPr>
                <w:rFonts w:eastAsia="Times New Roman"/>
                <w:kern w:val="0"/>
                <w:sz w:val="20"/>
                <w:lang w:val="zh-CN"/>
              </w:rPr>
            </w:pPr>
          </w:p>
        </w:tc>
      </w:tr>
      <w:tr w:rsidR="00EE7DA4">
        <w:tc>
          <w:tcPr>
            <w:tcW w:w="10080" w:type="dxa"/>
            <w:gridSpan w:val="5"/>
            <w:shd w:val="clear" w:color="auto" w:fill="FFFFFF"/>
          </w:tcPr>
          <w:p w:rsidR="00EE7DA4" w:rsidRDefault="00EE7DA4">
            <w:pPr>
              <w:autoSpaceDE w:val="0"/>
              <w:autoSpaceDN w:val="0"/>
              <w:adjustRightInd w:val="0"/>
              <w:spacing w:before="0" w:after="0"/>
              <w:jc w:val="left"/>
              <w:rPr>
                <w:rFonts w:eastAsia="Times New Roman"/>
                <w:kern w:val="0"/>
                <w:sz w:val="20"/>
                <w:lang w:val="zh-CN"/>
              </w:rPr>
            </w:pPr>
            <w:r>
              <w:rPr>
                <w:rFonts w:eastAsia="Times New Roman"/>
                <w:kern w:val="0"/>
                <w:sz w:val="20"/>
                <w:lang w:val="zh-CN"/>
              </w:rPr>
              <w:t>1</w:t>
            </w:r>
            <w:r>
              <w:rPr>
                <w:rFonts w:ascii="宋体" w:hAnsi="宋体" w:cs="宋体" w:hint="eastAsia"/>
                <w:kern w:val="0"/>
                <w:sz w:val="20"/>
                <w:lang w:val="zh-CN"/>
              </w:rPr>
              <w:t>、本期经营活动产生的现金流量净额为</w:t>
            </w:r>
            <w:r>
              <w:rPr>
                <w:rFonts w:eastAsia="Times New Roman"/>
                <w:kern w:val="0"/>
                <w:sz w:val="20"/>
                <w:lang w:val="zh-CN"/>
              </w:rPr>
              <w:t>375,254,214.61</w:t>
            </w:r>
            <w:r>
              <w:rPr>
                <w:rFonts w:ascii="宋体" w:hAnsi="宋体" w:cs="宋体" w:hint="eastAsia"/>
                <w:kern w:val="0"/>
                <w:sz w:val="20"/>
                <w:lang w:val="zh-CN"/>
              </w:rPr>
              <w:t>元，增幅为</w:t>
            </w:r>
            <w:r>
              <w:rPr>
                <w:rFonts w:eastAsia="Times New Roman"/>
                <w:kern w:val="0"/>
                <w:sz w:val="20"/>
                <w:lang w:val="zh-CN"/>
              </w:rPr>
              <w:t>898.39%</w:t>
            </w:r>
            <w:r>
              <w:rPr>
                <w:rFonts w:ascii="宋体" w:hAnsi="宋体" w:cs="宋体" w:hint="eastAsia"/>
                <w:kern w:val="0"/>
                <w:sz w:val="20"/>
                <w:lang w:val="zh-CN"/>
              </w:rPr>
              <w:t>，主要系本期回款增加所致。</w:t>
            </w:r>
          </w:p>
        </w:tc>
      </w:tr>
      <w:tr w:rsidR="00EE7DA4">
        <w:tc>
          <w:tcPr>
            <w:tcW w:w="10080" w:type="dxa"/>
            <w:gridSpan w:val="5"/>
            <w:shd w:val="clear" w:color="auto" w:fill="FFFFFF"/>
          </w:tcPr>
          <w:p w:rsidR="00EE7DA4" w:rsidRDefault="00EE7DA4">
            <w:pPr>
              <w:autoSpaceDE w:val="0"/>
              <w:autoSpaceDN w:val="0"/>
              <w:adjustRightInd w:val="0"/>
              <w:spacing w:before="0" w:after="0"/>
              <w:jc w:val="left"/>
              <w:rPr>
                <w:rFonts w:eastAsia="Times New Roman"/>
                <w:kern w:val="0"/>
                <w:sz w:val="20"/>
                <w:lang w:val="zh-CN"/>
              </w:rPr>
            </w:pPr>
            <w:r>
              <w:rPr>
                <w:rFonts w:eastAsia="Times New Roman"/>
                <w:kern w:val="0"/>
                <w:sz w:val="20"/>
                <w:lang w:val="zh-CN"/>
              </w:rPr>
              <w:t>2</w:t>
            </w:r>
            <w:r>
              <w:rPr>
                <w:rFonts w:ascii="宋体" w:hAnsi="宋体" w:cs="宋体" w:hint="eastAsia"/>
                <w:kern w:val="0"/>
                <w:sz w:val="20"/>
                <w:lang w:val="zh-CN"/>
              </w:rPr>
              <w:t>、本期投资活动产生的现金流量净额为</w:t>
            </w:r>
            <w:r>
              <w:rPr>
                <w:rFonts w:eastAsia="Times New Roman"/>
                <w:kern w:val="0"/>
                <w:sz w:val="20"/>
                <w:lang w:val="zh-CN"/>
              </w:rPr>
              <w:t>94,682,698.62</w:t>
            </w:r>
            <w:r>
              <w:rPr>
                <w:rFonts w:ascii="宋体" w:hAnsi="宋体" w:cs="宋体" w:hint="eastAsia"/>
                <w:kern w:val="0"/>
                <w:sz w:val="20"/>
                <w:lang w:val="zh-CN"/>
              </w:rPr>
              <w:t>元，减幅为</w:t>
            </w:r>
            <w:r>
              <w:rPr>
                <w:rFonts w:eastAsia="Times New Roman"/>
                <w:kern w:val="0"/>
                <w:sz w:val="20"/>
                <w:lang w:val="zh-CN"/>
              </w:rPr>
              <w:t>196.65%</w:t>
            </w:r>
            <w:r>
              <w:rPr>
                <w:rFonts w:ascii="宋体" w:hAnsi="宋体" w:cs="宋体" w:hint="eastAsia"/>
                <w:kern w:val="0"/>
                <w:sz w:val="20"/>
                <w:lang w:val="zh-CN"/>
              </w:rPr>
              <w:t>，主要系本期理财产品到期回款所致。</w:t>
            </w:r>
          </w:p>
        </w:tc>
      </w:tr>
      <w:tr w:rsidR="00EE7DA4">
        <w:tc>
          <w:tcPr>
            <w:tcW w:w="10080" w:type="dxa"/>
            <w:gridSpan w:val="5"/>
            <w:shd w:val="clear" w:color="auto" w:fill="FFFFFF"/>
          </w:tcPr>
          <w:p w:rsidR="00EE7DA4" w:rsidRDefault="00EE7DA4">
            <w:pPr>
              <w:autoSpaceDE w:val="0"/>
              <w:autoSpaceDN w:val="0"/>
              <w:adjustRightInd w:val="0"/>
              <w:spacing w:before="0" w:after="0"/>
              <w:jc w:val="left"/>
              <w:rPr>
                <w:rFonts w:eastAsia="Times New Roman"/>
                <w:kern w:val="0"/>
                <w:sz w:val="20"/>
                <w:lang w:val="zh-CN"/>
              </w:rPr>
            </w:pPr>
            <w:r>
              <w:rPr>
                <w:rFonts w:eastAsia="Times New Roman"/>
                <w:kern w:val="0"/>
                <w:sz w:val="20"/>
                <w:lang w:val="zh-CN"/>
              </w:rPr>
              <w:t>3</w:t>
            </w:r>
            <w:r>
              <w:rPr>
                <w:rFonts w:ascii="宋体" w:hAnsi="宋体" w:cs="宋体" w:hint="eastAsia"/>
                <w:kern w:val="0"/>
                <w:sz w:val="20"/>
                <w:lang w:val="zh-CN"/>
              </w:rPr>
              <w:t>、本期筹资活动产生的现金流量净额为</w:t>
            </w:r>
            <w:r>
              <w:rPr>
                <w:rFonts w:eastAsia="Times New Roman"/>
                <w:kern w:val="0"/>
                <w:sz w:val="20"/>
                <w:lang w:val="zh-CN"/>
              </w:rPr>
              <w:t xml:space="preserve"> -764,909,152.67</w:t>
            </w:r>
            <w:r>
              <w:rPr>
                <w:rFonts w:ascii="宋体" w:hAnsi="宋体" w:cs="宋体" w:hint="eastAsia"/>
                <w:kern w:val="0"/>
                <w:sz w:val="20"/>
                <w:lang w:val="zh-CN"/>
              </w:rPr>
              <w:t>元，增幅为</w:t>
            </w:r>
            <w:r>
              <w:rPr>
                <w:rFonts w:eastAsia="Times New Roman"/>
                <w:kern w:val="0"/>
                <w:sz w:val="20"/>
                <w:lang w:val="zh-CN"/>
              </w:rPr>
              <w:t>121.58%</w:t>
            </w:r>
            <w:r>
              <w:rPr>
                <w:rFonts w:ascii="宋体" w:hAnsi="宋体" w:cs="宋体" w:hint="eastAsia"/>
                <w:kern w:val="0"/>
                <w:sz w:val="20"/>
                <w:lang w:val="zh-CN"/>
              </w:rPr>
              <w:t>，主要系本期到期归还借款增加所致。</w:t>
            </w:r>
          </w:p>
        </w:tc>
      </w:tr>
    </w:tbl>
    <w:p w:rsidR="00EE7DA4" w:rsidRDefault="00EE7DA4">
      <w:pPr>
        <w:pStyle w:val="Chapter"/>
        <w:outlineLvl w:val="1"/>
        <w:rPr>
          <w:bCs w:val="0"/>
        </w:rPr>
      </w:pPr>
      <w:r>
        <w:rPr>
          <w:rFonts w:hint="eastAsia"/>
          <w:bCs w:val="0"/>
        </w:rPr>
        <w:t>二、重要事项进展情况及其影响和解决方案的分析说明</w:t>
      </w:r>
    </w:p>
    <w:p w:rsidR="00EE7DA4" w:rsidRDefault="00EE7DA4">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rsidR="00EE7DA4" w:rsidRDefault="00022B3D">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 xml:space="preserve">　　</w:t>
      </w:r>
      <w:r w:rsidR="00EE7DA4">
        <w:rPr>
          <w:rFonts w:ascii="宋体" w:hAnsi="宋体" w:cs="宋体" w:hint="eastAsia"/>
          <w:kern w:val="0"/>
          <w:szCs w:val="24"/>
          <w:lang w:val="zh-CN"/>
        </w:rPr>
        <w:t>公司于</w:t>
      </w:r>
      <w:r w:rsidR="00EE7DA4" w:rsidRPr="00022B3D">
        <w:rPr>
          <w:rFonts w:eastAsia="Times New Roman"/>
          <w:kern w:val="0"/>
          <w:szCs w:val="24"/>
        </w:rPr>
        <w:t>2019</w:t>
      </w:r>
      <w:r w:rsidR="00EE7DA4">
        <w:rPr>
          <w:rFonts w:ascii="宋体" w:hAnsi="宋体" w:cs="宋体" w:hint="eastAsia"/>
          <w:kern w:val="0"/>
          <w:szCs w:val="24"/>
          <w:lang w:val="zh-CN"/>
        </w:rPr>
        <w:t>年</w:t>
      </w:r>
      <w:r w:rsidR="00EE7DA4" w:rsidRPr="00022B3D">
        <w:rPr>
          <w:rFonts w:eastAsia="Times New Roman"/>
          <w:kern w:val="0"/>
          <w:szCs w:val="24"/>
        </w:rPr>
        <w:t>3</w:t>
      </w:r>
      <w:r w:rsidR="00EE7DA4">
        <w:rPr>
          <w:rFonts w:ascii="宋体" w:hAnsi="宋体" w:cs="宋体" w:hint="eastAsia"/>
          <w:kern w:val="0"/>
          <w:szCs w:val="24"/>
          <w:lang w:val="zh-CN"/>
        </w:rPr>
        <w:t>月</w:t>
      </w:r>
      <w:r w:rsidR="00EE7DA4" w:rsidRPr="00022B3D">
        <w:rPr>
          <w:rFonts w:eastAsia="Times New Roman"/>
          <w:kern w:val="0"/>
          <w:szCs w:val="24"/>
        </w:rPr>
        <w:t>15</w:t>
      </w:r>
      <w:r w:rsidR="00EE7DA4">
        <w:rPr>
          <w:rFonts w:ascii="宋体" w:hAnsi="宋体" w:cs="宋体" w:hint="eastAsia"/>
          <w:kern w:val="0"/>
          <w:szCs w:val="24"/>
          <w:lang w:val="zh-CN"/>
        </w:rPr>
        <w:t>日和</w:t>
      </w:r>
      <w:r w:rsidR="00EE7DA4" w:rsidRPr="00022B3D">
        <w:rPr>
          <w:rFonts w:eastAsia="Times New Roman"/>
          <w:kern w:val="0"/>
          <w:szCs w:val="24"/>
        </w:rPr>
        <w:t>2019</w:t>
      </w:r>
      <w:r w:rsidR="00EE7DA4">
        <w:rPr>
          <w:rFonts w:ascii="宋体" w:hAnsi="宋体" w:cs="宋体" w:hint="eastAsia"/>
          <w:kern w:val="0"/>
          <w:szCs w:val="24"/>
          <w:lang w:val="zh-CN"/>
        </w:rPr>
        <w:t>年</w:t>
      </w:r>
      <w:r w:rsidR="00EE7DA4" w:rsidRPr="00022B3D">
        <w:rPr>
          <w:rFonts w:eastAsia="Times New Roman"/>
          <w:kern w:val="0"/>
          <w:szCs w:val="24"/>
        </w:rPr>
        <w:t>4</w:t>
      </w:r>
      <w:r w:rsidR="00EE7DA4">
        <w:rPr>
          <w:rFonts w:ascii="宋体" w:hAnsi="宋体" w:cs="宋体" w:hint="eastAsia"/>
          <w:kern w:val="0"/>
          <w:szCs w:val="24"/>
          <w:lang w:val="zh-CN"/>
        </w:rPr>
        <w:t>月</w:t>
      </w:r>
      <w:r w:rsidR="00EE7DA4" w:rsidRPr="00022B3D">
        <w:rPr>
          <w:rFonts w:eastAsia="Times New Roman"/>
          <w:kern w:val="0"/>
          <w:szCs w:val="24"/>
        </w:rPr>
        <w:t>2</w:t>
      </w:r>
      <w:r w:rsidR="00EE7DA4">
        <w:rPr>
          <w:rFonts w:ascii="宋体" w:hAnsi="宋体" w:cs="宋体" w:hint="eastAsia"/>
          <w:kern w:val="0"/>
          <w:szCs w:val="24"/>
          <w:lang w:val="zh-CN"/>
        </w:rPr>
        <w:t>日分别召开第七届董事会</w:t>
      </w:r>
      <w:r w:rsidR="00EE7DA4" w:rsidRPr="00022B3D">
        <w:rPr>
          <w:rFonts w:eastAsia="Times New Roman"/>
          <w:kern w:val="0"/>
          <w:szCs w:val="24"/>
        </w:rPr>
        <w:t>2019</w:t>
      </w:r>
      <w:r w:rsidR="00EE7DA4">
        <w:rPr>
          <w:rFonts w:ascii="宋体" w:hAnsi="宋体" w:cs="宋体" w:hint="eastAsia"/>
          <w:kern w:val="0"/>
          <w:szCs w:val="24"/>
          <w:lang w:val="zh-CN"/>
        </w:rPr>
        <w:t>年第二次临时会议和</w:t>
      </w:r>
      <w:r w:rsidR="00EE7DA4" w:rsidRPr="00022B3D">
        <w:rPr>
          <w:rFonts w:eastAsia="Times New Roman"/>
          <w:kern w:val="0"/>
          <w:szCs w:val="24"/>
        </w:rPr>
        <w:t>2019</w:t>
      </w:r>
      <w:r w:rsidR="00EE7DA4">
        <w:rPr>
          <w:rFonts w:ascii="宋体" w:hAnsi="宋体" w:cs="宋体" w:hint="eastAsia"/>
          <w:kern w:val="0"/>
          <w:szCs w:val="24"/>
          <w:lang w:val="zh-CN"/>
        </w:rPr>
        <w:t>年第二次临时股东大会</w:t>
      </w:r>
      <w:r w:rsidR="00EE7DA4" w:rsidRPr="00022B3D">
        <w:rPr>
          <w:rFonts w:ascii="宋体" w:hAnsi="宋体" w:cs="宋体" w:hint="eastAsia"/>
          <w:kern w:val="0"/>
          <w:szCs w:val="24"/>
        </w:rPr>
        <w:t>，</w:t>
      </w:r>
      <w:r w:rsidR="00DE48A9">
        <w:rPr>
          <w:rFonts w:ascii="宋体" w:hAnsi="宋体" w:cs="宋体" w:hint="eastAsia"/>
          <w:kern w:val="0"/>
          <w:szCs w:val="24"/>
          <w:lang w:val="zh-CN"/>
        </w:rPr>
        <w:t>审议通过《关于公司</w:t>
      </w:r>
      <w:r w:rsidR="00EE7DA4">
        <w:rPr>
          <w:rFonts w:ascii="宋体" w:hAnsi="宋体" w:cs="宋体" w:hint="eastAsia"/>
          <w:kern w:val="0"/>
          <w:szCs w:val="24"/>
          <w:lang w:val="zh-CN"/>
        </w:rPr>
        <w:t>公开发行可转换公司债券的议案》</w:t>
      </w:r>
      <w:r w:rsidR="00EE7DA4" w:rsidRPr="00022B3D">
        <w:rPr>
          <w:rFonts w:ascii="宋体" w:hAnsi="宋体" w:cs="宋体" w:hint="eastAsia"/>
          <w:kern w:val="0"/>
          <w:szCs w:val="24"/>
        </w:rPr>
        <w:t>，</w:t>
      </w:r>
      <w:r w:rsidR="00EE7DA4">
        <w:rPr>
          <w:rFonts w:ascii="宋体" w:hAnsi="宋体" w:cs="宋体" w:hint="eastAsia"/>
          <w:kern w:val="0"/>
          <w:szCs w:val="24"/>
          <w:lang w:val="zh-CN"/>
        </w:rPr>
        <w:t>详见公司于</w:t>
      </w:r>
      <w:r w:rsidR="00EE7DA4" w:rsidRPr="00022B3D">
        <w:rPr>
          <w:rFonts w:eastAsia="Times New Roman"/>
          <w:kern w:val="0"/>
          <w:szCs w:val="24"/>
        </w:rPr>
        <w:t>2019</w:t>
      </w:r>
      <w:r w:rsidR="00EE7DA4">
        <w:rPr>
          <w:rFonts w:ascii="宋体" w:hAnsi="宋体" w:cs="宋体" w:hint="eastAsia"/>
          <w:kern w:val="0"/>
          <w:szCs w:val="24"/>
          <w:lang w:val="zh-CN"/>
        </w:rPr>
        <w:t>年</w:t>
      </w:r>
      <w:r w:rsidR="00EE7DA4" w:rsidRPr="00022B3D">
        <w:rPr>
          <w:rFonts w:eastAsia="Times New Roman"/>
          <w:kern w:val="0"/>
          <w:szCs w:val="24"/>
        </w:rPr>
        <w:t>3</w:t>
      </w:r>
      <w:r w:rsidR="00EE7DA4">
        <w:rPr>
          <w:rFonts w:ascii="宋体" w:hAnsi="宋体" w:cs="宋体" w:hint="eastAsia"/>
          <w:kern w:val="0"/>
          <w:szCs w:val="24"/>
          <w:lang w:val="zh-CN"/>
        </w:rPr>
        <w:t>月</w:t>
      </w:r>
      <w:r w:rsidR="00EE7DA4" w:rsidRPr="00022B3D">
        <w:rPr>
          <w:rFonts w:eastAsia="Times New Roman"/>
          <w:kern w:val="0"/>
          <w:szCs w:val="24"/>
        </w:rPr>
        <w:t>16</w:t>
      </w:r>
      <w:r w:rsidR="00EE7DA4">
        <w:rPr>
          <w:rFonts w:ascii="宋体" w:hAnsi="宋体" w:cs="宋体" w:hint="eastAsia"/>
          <w:kern w:val="0"/>
          <w:szCs w:val="24"/>
          <w:lang w:val="zh-CN"/>
        </w:rPr>
        <w:t>日和</w:t>
      </w:r>
      <w:r w:rsidR="00EE7DA4" w:rsidRPr="00022B3D">
        <w:rPr>
          <w:rFonts w:eastAsia="Times New Roman"/>
          <w:kern w:val="0"/>
          <w:szCs w:val="24"/>
        </w:rPr>
        <w:t>2019</w:t>
      </w:r>
      <w:r w:rsidR="00EE7DA4">
        <w:rPr>
          <w:rFonts w:ascii="宋体" w:hAnsi="宋体" w:cs="宋体" w:hint="eastAsia"/>
          <w:kern w:val="0"/>
          <w:szCs w:val="24"/>
          <w:lang w:val="zh-CN"/>
        </w:rPr>
        <w:t>年</w:t>
      </w:r>
      <w:r w:rsidR="00EE7DA4" w:rsidRPr="00022B3D">
        <w:rPr>
          <w:rFonts w:eastAsia="Times New Roman"/>
          <w:kern w:val="0"/>
          <w:szCs w:val="24"/>
        </w:rPr>
        <w:t>4</w:t>
      </w:r>
      <w:r w:rsidR="00EE7DA4">
        <w:rPr>
          <w:rFonts w:ascii="宋体" w:hAnsi="宋体" w:cs="宋体" w:hint="eastAsia"/>
          <w:kern w:val="0"/>
          <w:szCs w:val="24"/>
          <w:lang w:val="zh-CN"/>
        </w:rPr>
        <w:t>月</w:t>
      </w:r>
      <w:r w:rsidR="00EE7DA4" w:rsidRPr="00022B3D">
        <w:rPr>
          <w:rFonts w:eastAsia="Times New Roman"/>
          <w:kern w:val="0"/>
          <w:szCs w:val="24"/>
        </w:rPr>
        <w:t>3</w:t>
      </w:r>
      <w:r w:rsidR="00EE7DA4">
        <w:rPr>
          <w:rFonts w:ascii="宋体" w:hAnsi="宋体" w:cs="宋体" w:hint="eastAsia"/>
          <w:kern w:val="0"/>
          <w:szCs w:val="24"/>
          <w:lang w:val="zh-CN"/>
        </w:rPr>
        <w:t>日公布在《证券时报》、《中国证券报》及巨潮资讯网</w:t>
      </w:r>
      <w:r w:rsidR="00EE7DA4" w:rsidRPr="00022B3D">
        <w:rPr>
          <w:rFonts w:ascii="宋体" w:hAnsi="宋体" w:cs="宋体" w:hint="eastAsia"/>
          <w:kern w:val="0"/>
          <w:szCs w:val="24"/>
        </w:rPr>
        <w:t>（</w:t>
      </w:r>
      <w:r w:rsidR="00EE7DA4" w:rsidRPr="00022B3D">
        <w:rPr>
          <w:rFonts w:eastAsia="Times New Roman"/>
          <w:kern w:val="0"/>
          <w:szCs w:val="24"/>
        </w:rPr>
        <w:t>www.cninfo.com.cn</w:t>
      </w:r>
      <w:r w:rsidR="00EE7DA4" w:rsidRPr="00022B3D">
        <w:rPr>
          <w:rFonts w:ascii="宋体" w:hAnsi="宋体" w:cs="宋体" w:hint="eastAsia"/>
          <w:kern w:val="0"/>
          <w:szCs w:val="24"/>
        </w:rPr>
        <w:t>）</w:t>
      </w:r>
      <w:r w:rsidR="00EE7DA4">
        <w:rPr>
          <w:rFonts w:ascii="宋体" w:hAnsi="宋体" w:cs="宋体" w:hint="eastAsia"/>
          <w:kern w:val="0"/>
          <w:szCs w:val="24"/>
          <w:lang w:val="zh-CN"/>
        </w:rPr>
        <w:t>上的相关公告。公司后续会按照相关规定及时公布该事项进展情况。</w:t>
      </w:r>
    </w:p>
    <w:p w:rsidR="00EE7DA4" w:rsidRDefault="00EE7DA4">
      <w:pPr>
        <w:jc w:val="left"/>
        <w:rPr>
          <w:szCs w:val="24"/>
        </w:rPr>
      </w:pPr>
      <w:r>
        <w:rPr>
          <w:rFonts w:hint="eastAsia"/>
          <w:szCs w:val="24"/>
        </w:rPr>
        <w:lastRenderedPageBreak/>
        <w:t>股份回购的实施进展情况</w:t>
      </w:r>
    </w:p>
    <w:p w:rsidR="00EE7DA4" w:rsidRDefault="00EE7DA4">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rsidR="00EE7DA4" w:rsidRDefault="00EE7DA4">
      <w:pPr>
        <w:jc w:val="left"/>
        <w:rPr>
          <w:szCs w:val="24"/>
        </w:rPr>
      </w:pPr>
      <w:r>
        <w:rPr>
          <w:rFonts w:hint="eastAsia"/>
          <w:szCs w:val="24"/>
        </w:rPr>
        <w:t>采用集中竞价方式减持回购股份的实施进展情况</w:t>
      </w:r>
    </w:p>
    <w:p w:rsidR="00EE7DA4" w:rsidRDefault="00EE7DA4">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rsidR="00EE7DA4" w:rsidRDefault="00EE7DA4">
      <w:pPr>
        <w:pStyle w:val="Chapter"/>
        <w:outlineLvl w:val="1"/>
        <w:rPr>
          <w:bCs w:val="0"/>
        </w:rPr>
      </w:pPr>
      <w:r>
        <w:rPr>
          <w:rFonts w:hint="eastAsia"/>
          <w:bCs w:val="0"/>
        </w:rPr>
        <w:t>三、公司实际控制人、股东、关联方、收购人以及公司等承诺相关方在报告期内超期未履行完毕的承诺事项</w:t>
      </w:r>
    </w:p>
    <w:p w:rsidR="00EE7DA4" w:rsidRDefault="00EE7DA4">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rsidR="00EE7DA4" w:rsidRDefault="00EE7DA4">
      <w:pPr>
        <w:jc w:val="left"/>
        <w:rPr>
          <w:szCs w:val="24"/>
        </w:rPr>
      </w:pPr>
      <w:r>
        <w:rPr>
          <w:rFonts w:hint="eastAsia"/>
          <w:szCs w:val="24"/>
        </w:rPr>
        <w:t>公司报告期不存在公司实际控制人、股东、关联方、收购人以及公司等承诺相关方在报告期内超期未履行完毕的承诺事项。</w:t>
      </w:r>
    </w:p>
    <w:p w:rsidR="00EE7DA4" w:rsidRDefault="00EE7DA4">
      <w:pPr>
        <w:pStyle w:val="Chapter"/>
        <w:outlineLvl w:val="1"/>
        <w:rPr>
          <w:bCs w:val="0"/>
        </w:rPr>
      </w:pPr>
      <w:r>
        <w:rPr>
          <w:rFonts w:hint="eastAsia"/>
          <w:bCs w:val="0"/>
        </w:rPr>
        <w:t>四、证券投资情况</w:t>
      </w:r>
    </w:p>
    <w:p w:rsidR="00EE7DA4" w:rsidRDefault="00EE7DA4">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rsidR="00EE7DA4" w:rsidRDefault="00EE7DA4">
      <w:pPr>
        <w:jc w:val="left"/>
        <w:rPr>
          <w:szCs w:val="24"/>
        </w:rPr>
      </w:pPr>
      <w:r>
        <w:rPr>
          <w:rFonts w:hint="eastAsia"/>
          <w:szCs w:val="24"/>
        </w:rPr>
        <w:t>公司报告期不存在证券投资。</w:t>
      </w:r>
    </w:p>
    <w:p w:rsidR="00EE7DA4" w:rsidRDefault="00EE7DA4">
      <w:pPr>
        <w:pStyle w:val="Chapter"/>
        <w:outlineLvl w:val="1"/>
        <w:rPr>
          <w:bCs w:val="0"/>
        </w:rPr>
      </w:pPr>
      <w:r>
        <w:rPr>
          <w:rFonts w:hint="eastAsia"/>
          <w:bCs w:val="0"/>
        </w:rPr>
        <w:t>五、委托理财</w:t>
      </w:r>
    </w:p>
    <w:p w:rsidR="00EE7DA4" w:rsidRDefault="00EE7DA4">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rsidR="00EE7DA4" w:rsidRDefault="00EE7DA4">
      <w:pPr>
        <w:jc w:val="left"/>
        <w:rPr>
          <w:szCs w:val="24"/>
        </w:rPr>
      </w:pPr>
      <w:r>
        <w:rPr>
          <w:rFonts w:hint="eastAsia"/>
          <w:szCs w:val="24"/>
        </w:rPr>
        <w:t>公司报告期不存在委托理财。</w:t>
      </w:r>
    </w:p>
    <w:p w:rsidR="00EE7DA4" w:rsidRDefault="00EE7DA4">
      <w:pPr>
        <w:pStyle w:val="Chapter"/>
        <w:outlineLvl w:val="1"/>
        <w:rPr>
          <w:bCs w:val="0"/>
        </w:rPr>
      </w:pPr>
      <w:r>
        <w:rPr>
          <w:rFonts w:hint="eastAsia"/>
          <w:bCs w:val="0"/>
        </w:rPr>
        <w:t>六、衍生品投资情况</w:t>
      </w:r>
    </w:p>
    <w:p w:rsidR="00EE7DA4" w:rsidRDefault="00EE7DA4">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rsidR="00EE7DA4" w:rsidRDefault="00EE7DA4">
      <w:pPr>
        <w:jc w:val="right"/>
        <w:rPr>
          <w:szCs w:val="24"/>
        </w:rPr>
      </w:pPr>
      <w:r>
        <w:rPr>
          <w:rFonts w:hint="eastAsia"/>
          <w:szCs w:val="24"/>
        </w:rPr>
        <w:t>单位：万元</w:t>
      </w:r>
    </w:p>
    <w:tbl>
      <w:tblPr>
        <w:tblW w:w="0" w:type="auto"/>
        <w:tblInd w:w="28" w:type="dxa"/>
        <w:tblLayout w:type="fixed"/>
        <w:tblCellMar>
          <w:left w:w="28" w:type="dxa"/>
          <w:right w:w="28" w:type="dxa"/>
        </w:tblCellMar>
        <w:tblLook w:val="0000" w:firstRow="0" w:lastRow="0" w:firstColumn="0" w:lastColumn="0" w:noHBand="0" w:noVBand="0"/>
      </w:tblPr>
      <w:tblGrid>
        <w:gridCol w:w="681"/>
        <w:gridCol w:w="684"/>
        <w:gridCol w:w="682"/>
        <w:gridCol w:w="221"/>
        <w:gridCol w:w="541"/>
        <w:gridCol w:w="682"/>
        <w:gridCol w:w="683"/>
        <w:gridCol w:w="682"/>
        <w:gridCol w:w="683"/>
        <w:gridCol w:w="682"/>
        <w:gridCol w:w="682"/>
        <w:gridCol w:w="610"/>
        <w:gridCol w:w="72"/>
        <w:gridCol w:w="683"/>
        <w:gridCol w:w="682"/>
        <w:gridCol w:w="615"/>
      </w:tblGrid>
      <w:tr w:rsidR="00EE7DA4">
        <w:tblPrEx>
          <w:tblCellMar>
            <w:top w:w="0" w:type="dxa"/>
            <w:bottom w:w="0" w:type="dxa"/>
          </w:tblCellMar>
        </w:tblPrEx>
        <w:tc>
          <w:tcPr>
            <w:tcW w:w="681"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center"/>
              <w:rPr>
                <w:szCs w:val="24"/>
              </w:rPr>
            </w:pPr>
            <w:r>
              <w:rPr>
                <w:rFonts w:hint="eastAsia"/>
                <w:szCs w:val="24"/>
              </w:rPr>
              <w:t>衍生品投资操作方名称</w:t>
            </w:r>
          </w:p>
        </w:tc>
        <w:tc>
          <w:tcPr>
            <w:tcW w:w="684"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center"/>
              <w:rPr>
                <w:szCs w:val="24"/>
              </w:rPr>
            </w:pPr>
            <w:r>
              <w:rPr>
                <w:rFonts w:hint="eastAsia"/>
                <w:szCs w:val="24"/>
              </w:rPr>
              <w:t>关联关系</w:t>
            </w:r>
          </w:p>
        </w:tc>
        <w:tc>
          <w:tcPr>
            <w:tcW w:w="682"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center"/>
              <w:rPr>
                <w:szCs w:val="24"/>
              </w:rPr>
            </w:pPr>
            <w:r>
              <w:rPr>
                <w:rFonts w:hint="eastAsia"/>
                <w:szCs w:val="24"/>
              </w:rPr>
              <w:t>是否关联交易</w:t>
            </w:r>
          </w:p>
        </w:tc>
        <w:tc>
          <w:tcPr>
            <w:tcW w:w="762"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center"/>
              <w:rPr>
                <w:szCs w:val="24"/>
              </w:rPr>
            </w:pPr>
            <w:r>
              <w:rPr>
                <w:rFonts w:hint="eastAsia"/>
                <w:szCs w:val="24"/>
              </w:rPr>
              <w:t>衍生品投资类型</w:t>
            </w:r>
          </w:p>
        </w:tc>
        <w:tc>
          <w:tcPr>
            <w:tcW w:w="682"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center"/>
              <w:rPr>
                <w:szCs w:val="24"/>
              </w:rPr>
            </w:pPr>
            <w:r>
              <w:rPr>
                <w:rFonts w:hint="eastAsia"/>
                <w:szCs w:val="24"/>
              </w:rPr>
              <w:t>衍生品投资初始投资金额</w:t>
            </w:r>
          </w:p>
        </w:tc>
        <w:tc>
          <w:tcPr>
            <w:tcW w:w="683"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center"/>
              <w:rPr>
                <w:szCs w:val="24"/>
              </w:rPr>
            </w:pPr>
            <w:r>
              <w:rPr>
                <w:rFonts w:hint="eastAsia"/>
                <w:szCs w:val="24"/>
              </w:rPr>
              <w:t>起始日期</w:t>
            </w:r>
          </w:p>
        </w:tc>
        <w:tc>
          <w:tcPr>
            <w:tcW w:w="682"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center"/>
              <w:rPr>
                <w:szCs w:val="24"/>
              </w:rPr>
            </w:pPr>
            <w:r>
              <w:rPr>
                <w:rFonts w:hint="eastAsia"/>
                <w:szCs w:val="24"/>
              </w:rPr>
              <w:t>终止日期</w:t>
            </w:r>
          </w:p>
        </w:tc>
        <w:tc>
          <w:tcPr>
            <w:tcW w:w="683"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center"/>
              <w:rPr>
                <w:szCs w:val="24"/>
              </w:rPr>
            </w:pPr>
            <w:r>
              <w:rPr>
                <w:rFonts w:hint="eastAsia"/>
                <w:szCs w:val="24"/>
              </w:rPr>
              <w:t>期初投资金额</w:t>
            </w:r>
          </w:p>
        </w:tc>
        <w:tc>
          <w:tcPr>
            <w:tcW w:w="682"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center"/>
              <w:rPr>
                <w:szCs w:val="24"/>
              </w:rPr>
            </w:pPr>
            <w:r>
              <w:rPr>
                <w:rFonts w:hint="eastAsia"/>
                <w:szCs w:val="24"/>
              </w:rPr>
              <w:t>报告期内购入金额</w:t>
            </w:r>
          </w:p>
        </w:tc>
        <w:tc>
          <w:tcPr>
            <w:tcW w:w="682"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center"/>
              <w:rPr>
                <w:szCs w:val="24"/>
              </w:rPr>
            </w:pPr>
            <w:r>
              <w:rPr>
                <w:rFonts w:hint="eastAsia"/>
                <w:szCs w:val="24"/>
              </w:rPr>
              <w:t>报告期内售出金额</w:t>
            </w:r>
          </w:p>
        </w:tc>
        <w:tc>
          <w:tcPr>
            <w:tcW w:w="682"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center"/>
              <w:rPr>
                <w:szCs w:val="24"/>
              </w:rPr>
            </w:pPr>
            <w:r>
              <w:rPr>
                <w:rFonts w:hint="eastAsia"/>
                <w:szCs w:val="24"/>
              </w:rPr>
              <w:t>计提减值准备金额（如有）</w:t>
            </w:r>
          </w:p>
        </w:tc>
        <w:tc>
          <w:tcPr>
            <w:tcW w:w="683"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center"/>
              <w:rPr>
                <w:szCs w:val="24"/>
              </w:rPr>
            </w:pPr>
            <w:r>
              <w:rPr>
                <w:rFonts w:hint="eastAsia"/>
                <w:szCs w:val="24"/>
              </w:rPr>
              <w:t>期末投资金额</w:t>
            </w:r>
          </w:p>
        </w:tc>
        <w:tc>
          <w:tcPr>
            <w:tcW w:w="682"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center"/>
              <w:rPr>
                <w:szCs w:val="24"/>
              </w:rPr>
            </w:pPr>
            <w:r>
              <w:rPr>
                <w:rFonts w:hint="eastAsia"/>
                <w:szCs w:val="24"/>
              </w:rPr>
              <w:t>期末投资金额占公司报告期末净资产比例</w:t>
            </w:r>
          </w:p>
        </w:tc>
        <w:tc>
          <w:tcPr>
            <w:tcW w:w="615"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center"/>
              <w:rPr>
                <w:szCs w:val="24"/>
              </w:rPr>
            </w:pPr>
            <w:r>
              <w:rPr>
                <w:rFonts w:hint="eastAsia"/>
                <w:szCs w:val="24"/>
              </w:rPr>
              <w:t>报告期实际损益金额</w:t>
            </w:r>
          </w:p>
        </w:tc>
      </w:tr>
      <w:tr w:rsidR="00EE7DA4">
        <w:tblPrEx>
          <w:tblCellMar>
            <w:top w:w="0" w:type="dxa"/>
            <w:bottom w:w="0" w:type="dxa"/>
          </w:tblCellMar>
        </w:tblPrEx>
        <w:tc>
          <w:tcPr>
            <w:tcW w:w="68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left"/>
              <w:rPr>
                <w:szCs w:val="24"/>
              </w:rPr>
            </w:pPr>
            <w:r>
              <w:rPr>
                <w:rFonts w:hint="eastAsia"/>
                <w:szCs w:val="24"/>
              </w:rPr>
              <w:t>期货公司</w:t>
            </w:r>
          </w:p>
        </w:tc>
        <w:tc>
          <w:tcPr>
            <w:tcW w:w="684"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left"/>
              <w:rPr>
                <w:szCs w:val="24"/>
              </w:rPr>
            </w:pPr>
            <w:r>
              <w:rPr>
                <w:rFonts w:hint="eastAsia"/>
                <w:szCs w:val="24"/>
              </w:rPr>
              <w:t>非关联方</w:t>
            </w:r>
          </w:p>
        </w:tc>
        <w:tc>
          <w:tcPr>
            <w:tcW w:w="682"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left"/>
              <w:rPr>
                <w:szCs w:val="24"/>
              </w:rPr>
            </w:pPr>
            <w:r>
              <w:rPr>
                <w:rFonts w:hint="eastAsia"/>
                <w:szCs w:val="24"/>
              </w:rPr>
              <w:t>否</w:t>
            </w:r>
          </w:p>
        </w:tc>
        <w:tc>
          <w:tcPr>
            <w:tcW w:w="76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left"/>
              <w:rPr>
                <w:szCs w:val="24"/>
              </w:rPr>
            </w:pPr>
            <w:r>
              <w:rPr>
                <w:rFonts w:hint="eastAsia"/>
                <w:szCs w:val="24"/>
              </w:rPr>
              <w:t>棉花等期货合约</w:t>
            </w:r>
          </w:p>
        </w:tc>
        <w:tc>
          <w:tcPr>
            <w:tcW w:w="682"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left"/>
              <w:rPr>
                <w:szCs w:val="24"/>
              </w:rPr>
            </w:pPr>
            <w:r>
              <w:rPr>
                <w:szCs w:val="24"/>
              </w:rPr>
              <w:t>2020</w:t>
            </w:r>
            <w:r>
              <w:rPr>
                <w:rFonts w:hint="eastAsia"/>
                <w:szCs w:val="24"/>
              </w:rPr>
              <w:t>年</w:t>
            </w:r>
            <w:r>
              <w:rPr>
                <w:szCs w:val="24"/>
              </w:rPr>
              <w:t>01</w:t>
            </w:r>
            <w:r>
              <w:rPr>
                <w:rFonts w:hint="eastAsia"/>
                <w:szCs w:val="24"/>
              </w:rPr>
              <w:t>月</w:t>
            </w:r>
            <w:r>
              <w:rPr>
                <w:szCs w:val="24"/>
              </w:rPr>
              <w:t>01</w:t>
            </w:r>
            <w:r>
              <w:rPr>
                <w:rFonts w:hint="eastAsia"/>
                <w:szCs w:val="24"/>
              </w:rPr>
              <w:t>日</w:t>
            </w:r>
          </w:p>
        </w:tc>
        <w:tc>
          <w:tcPr>
            <w:tcW w:w="682"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left"/>
              <w:rPr>
                <w:szCs w:val="24"/>
              </w:rPr>
            </w:pPr>
            <w:r>
              <w:rPr>
                <w:szCs w:val="24"/>
              </w:rPr>
              <w:t>2020</w:t>
            </w:r>
            <w:r>
              <w:rPr>
                <w:rFonts w:hint="eastAsia"/>
                <w:szCs w:val="24"/>
              </w:rPr>
              <w:t>年</w:t>
            </w:r>
            <w:r>
              <w:rPr>
                <w:szCs w:val="24"/>
              </w:rPr>
              <w:t>03</w:t>
            </w:r>
            <w:r>
              <w:rPr>
                <w:rFonts w:hint="eastAsia"/>
                <w:szCs w:val="24"/>
              </w:rPr>
              <w:t>月</w:t>
            </w:r>
            <w:r>
              <w:rPr>
                <w:szCs w:val="24"/>
              </w:rPr>
              <w:t>31</w:t>
            </w:r>
            <w:r>
              <w:rPr>
                <w:rFonts w:hint="eastAsia"/>
                <w:szCs w:val="24"/>
              </w:rPr>
              <w:t>日</w:t>
            </w: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41,427,409.97</w:t>
            </w:r>
          </w:p>
        </w:tc>
        <w:tc>
          <w:tcPr>
            <w:tcW w:w="682"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850,691,069.86</w:t>
            </w:r>
          </w:p>
        </w:tc>
        <w:tc>
          <w:tcPr>
            <w:tcW w:w="682"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835,951,442.93</w:t>
            </w:r>
          </w:p>
        </w:tc>
        <w:tc>
          <w:tcPr>
            <w:tcW w:w="68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56,167,036.9</w:t>
            </w:r>
          </w:p>
        </w:tc>
        <w:tc>
          <w:tcPr>
            <w:tcW w:w="682"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0.90%</w:t>
            </w: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34,105,031.01</w:t>
            </w:r>
          </w:p>
        </w:tc>
      </w:tr>
      <w:tr w:rsidR="00EE7DA4">
        <w:tblPrEx>
          <w:tblCellMar>
            <w:top w:w="0" w:type="dxa"/>
            <w:bottom w:w="0" w:type="dxa"/>
          </w:tblCellMar>
        </w:tblPrEx>
        <w:tc>
          <w:tcPr>
            <w:tcW w:w="2809" w:type="dxa"/>
            <w:gridSpan w:val="5"/>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合计</w:t>
            </w:r>
          </w:p>
        </w:tc>
        <w:tc>
          <w:tcPr>
            <w:tcW w:w="682"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022B3D">
            <w:pPr>
              <w:jc w:val="right"/>
              <w:rPr>
                <w:szCs w:val="24"/>
              </w:rPr>
            </w:pPr>
            <w:r>
              <w:rPr>
                <w:szCs w:val="24"/>
              </w:rPr>
              <w:t>--</w:t>
            </w:r>
          </w:p>
        </w:tc>
        <w:tc>
          <w:tcPr>
            <w:tcW w:w="683"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center"/>
              <w:rPr>
                <w:szCs w:val="24"/>
              </w:rPr>
            </w:pPr>
            <w:r>
              <w:rPr>
                <w:szCs w:val="24"/>
              </w:rPr>
              <w:t>--</w:t>
            </w:r>
          </w:p>
        </w:tc>
        <w:tc>
          <w:tcPr>
            <w:tcW w:w="682"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center"/>
              <w:rPr>
                <w:szCs w:val="24"/>
              </w:rPr>
            </w:pPr>
            <w:r>
              <w:rPr>
                <w:szCs w:val="24"/>
              </w:rPr>
              <w:t>--</w:t>
            </w: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41,427,409.97</w:t>
            </w:r>
          </w:p>
        </w:tc>
        <w:tc>
          <w:tcPr>
            <w:tcW w:w="682"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850,691,069.86</w:t>
            </w:r>
          </w:p>
        </w:tc>
        <w:tc>
          <w:tcPr>
            <w:tcW w:w="682"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835,951,442.93</w:t>
            </w:r>
          </w:p>
        </w:tc>
        <w:tc>
          <w:tcPr>
            <w:tcW w:w="68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0</w:t>
            </w: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56,167,036.9</w:t>
            </w:r>
          </w:p>
        </w:tc>
        <w:tc>
          <w:tcPr>
            <w:tcW w:w="682"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0.90%</w:t>
            </w: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34,105,031.01</w:t>
            </w:r>
          </w:p>
        </w:tc>
      </w:tr>
      <w:tr w:rsidR="00EE7DA4" w:rsidTr="00022B3D">
        <w:tblPrEx>
          <w:tblCellMar>
            <w:top w:w="0" w:type="dxa"/>
            <w:bottom w:w="0" w:type="dxa"/>
          </w:tblCellMar>
        </w:tblPrEx>
        <w:tc>
          <w:tcPr>
            <w:tcW w:w="7513" w:type="dxa"/>
            <w:gridSpan w:val="12"/>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衍生品投资资金来源</w:t>
            </w:r>
          </w:p>
        </w:tc>
        <w:tc>
          <w:tcPr>
            <w:tcW w:w="205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left"/>
              <w:rPr>
                <w:szCs w:val="24"/>
              </w:rPr>
            </w:pPr>
            <w:r>
              <w:rPr>
                <w:rFonts w:hint="eastAsia"/>
                <w:szCs w:val="24"/>
              </w:rPr>
              <w:t>自筹</w:t>
            </w:r>
          </w:p>
        </w:tc>
      </w:tr>
      <w:tr w:rsidR="00EE7DA4" w:rsidTr="00022B3D">
        <w:tblPrEx>
          <w:tblCellMar>
            <w:top w:w="0" w:type="dxa"/>
            <w:bottom w:w="0" w:type="dxa"/>
          </w:tblCellMar>
        </w:tblPrEx>
        <w:tc>
          <w:tcPr>
            <w:tcW w:w="7513" w:type="dxa"/>
            <w:gridSpan w:val="12"/>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涉诉情况（如适用）</w:t>
            </w:r>
          </w:p>
        </w:tc>
        <w:tc>
          <w:tcPr>
            <w:tcW w:w="205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left"/>
              <w:rPr>
                <w:szCs w:val="24"/>
              </w:rPr>
            </w:pPr>
            <w:r>
              <w:rPr>
                <w:rFonts w:hint="eastAsia"/>
                <w:szCs w:val="24"/>
              </w:rPr>
              <w:t>不适用</w:t>
            </w:r>
          </w:p>
        </w:tc>
      </w:tr>
      <w:tr w:rsidR="00EE7DA4" w:rsidTr="00022B3D">
        <w:tblPrEx>
          <w:tblCellMar>
            <w:top w:w="0" w:type="dxa"/>
            <w:bottom w:w="0" w:type="dxa"/>
          </w:tblCellMar>
        </w:tblPrEx>
        <w:tc>
          <w:tcPr>
            <w:tcW w:w="7513" w:type="dxa"/>
            <w:gridSpan w:val="12"/>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衍生品投资审批董事会公告披露日期（如有</w:t>
            </w:r>
            <w:r>
              <w:rPr>
                <w:szCs w:val="24"/>
              </w:rPr>
              <w:t>)</w:t>
            </w:r>
          </w:p>
        </w:tc>
        <w:tc>
          <w:tcPr>
            <w:tcW w:w="205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left"/>
              <w:rPr>
                <w:szCs w:val="24"/>
              </w:rPr>
            </w:pPr>
            <w:r>
              <w:rPr>
                <w:szCs w:val="24"/>
              </w:rPr>
              <w:t>2019</w:t>
            </w:r>
            <w:r>
              <w:rPr>
                <w:rFonts w:hint="eastAsia"/>
                <w:szCs w:val="24"/>
              </w:rPr>
              <w:t>年</w:t>
            </w:r>
            <w:r>
              <w:rPr>
                <w:szCs w:val="24"/>
              </w:rPr>
              <w:t>04</w:t>
            </w:r>
            <w:r>
              <w:rPr>
                <w:rFonts w:hint="eastAsia"/>
                <w:szCs w:val="24"/>
              </w:rPr>
              <w:t>月</w:t>
            </w:r>
            <w:r>
              <w:rPr>
                <w:szCs w:val="24"/>
              </w:rPr>
              <w:t>25</w:t>
            </w:r>
            <w:r>
              <w:rPr>
                <w:rFonts w:hint="eastAsia"/>
                <w:szCs w:val="24"/>
              </w:rPr>
              <w:t>日</w:t>
            </w:r>
          </w:p>
        </w:tc>
      </w:tr>
      <w:tr w:rsidR="00EE7DA4" w:rsidTr="00022B3D">
        <w:tblPrEx>
          <w:tblCellMar>
            <w:top w:w="0" w:type="dxa"/>
            <w:bottom w:w="0" w:type="dxa"/>
          </w:tblCellMar>
        </w:tblPrEx>
        <w:tc>
          <w:tcPr>
            <w:tcW w:w="7513" w:type="dxa"/>
            <w:gridSpan w:val="12"/>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衍生品投资审批股东会公告披露日期（如有</w:t>
            </w:r>
            <w:r>
              <w:rPr>
                <w:szCs w:val="24"/>
              </w:rPr>
              <w:t>)</w:t>
            </w:r>
          </w:p>
        </w:tc>
        <w:tc>
          <w:tcPr>
            <w:tcW w:w="205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left"/>
              <w:rPr>
                <w:szCs w:val="24"/>
              </w:rPr>
            </w:pPr>
            <w:r>
              <w:rPr>
                <w:szCs w:val="24"/>
              </w:rPr>
              <w:t>2019</w:t>
            </w:r>
            <w:r>
              <w:rPr>
                <w:rFonts w:hint="eastAsia"/>
                <w:szCs w:val="24"/>
              </w:rPr>
              <w:t>年</w:t>
            </w:r>
            <w:r>
              <w:rPr>
                <w:szCs w:val="24"/>
              </w:rPr>
              <w:t>05</w:t>
            </w:r>
            <w:r>
              <w:rPr>
                <w:rFonts w:hint="eastAsia"/>
                <w:szCs w:val="24"/>
              </w:rPr>
              <w:t>月</w:t>
            </w:r>
            <w:r>
              <w:rPr>
                <w:szCs w:val="24"/>
              </w:rPr>
              <w:t>16</w:t>
            </w:r>
            <w:r>
              <w:rPr>
                <w:rFonts w:hint="eastAsia"/>
                <w:szCs w:val="24"/>
              </w:rPr>
              <w:t>日</w:t>
            </w:r>
          </w:p>
        </w:tc>
      </w:tr>
      <w:tr w:rsidR="00EE7DA4" w:rsidTr="00022B3D">
        <w:tblPrEx>
          <w:tblCellMar>
            <w:top w:w="0" w:type="dxa"/>
            <w:bottom w:w="0" w:type="dxa"/>
          </w:tblCellMar>
        </w:tblPrEx>
        <w:tc>
          <w:tcPr>
            <w:tcW w:w="7513" w:type="dxa"/>
            <w:gridSpan w:val="12"/>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报告期衍生品持仓的风险分析及控制措施说明（包括但不限于市场风险、流动性风险、信用风</w:t>
            </w:r>
            <w:r>
              <w:rPr>
                <w:rFonts w:hint="eastAsia"/>
                <w:szCs w:val="24"/>
              </w:rPr>
              <w:lastRenderedPageBreak/>
              <w:t>险、操作风险、法律风险等）</w:t>
            </w:r>
          </w:p>
        </w:tc>
        <w:tc>
          <w:tcPr>
            <w:tcW w:w="205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left"/>
              <w:rPr>
                <w:szCs w:val="24"/>
              </w:rPr>
            </w:pPr>
            <w:r>
              <w:rPr>
                <w:rFonts w:hint="eastAsia"/>
                <w:szCs w:val="24"/>
              </w:rPr>
              <w:lastRenderedPageBreak/>
              <w:t>不适用</w:t>
            </w:r>
          </w:p>
        </w:tc>
      </w:tr>
      <w:tr w:rsidR="00EE7DA4" w:rsidTr="00022B3D">
        <w:tblPrEx>
          <w:tblCellMar>
            <w:top w:w="0" w:type="dxa"/>
            <w:bottom w:w="0" w:type="dxa"/>
          </w:tblCellMar>
        </w:tblPrEx>
        <w:tc>
          <w:tcPr>
            <w:tcW w:w="7513" w:type="dxa"/>
            <w:gridSpan w:val="12"/>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lastRenderedPageBreak/>
              <w:t>已投资衍生品报告期内市场价格或产品公允价值变动的情况，对衍生品公允价值的分析应披露具体使用的方法及相关假设与参数的设定</w:t>
            </w:r>
          </w:p>
        </w:tc>
        <w:tc>
          <w:tcPr>
            <w:tcW w:w="205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left"/>
              <w:rPr>
                <w:szCs w:val="24"/>
              </w:rPr>
            </w:pPr>
            <w:r>
              <w:rPr>
                <w:rFonts w:hint="eastAsia"/>
                <w:szCs w:val="24"/>
              </w:rPr>
              <w:t>不适用</w:t>
            </w:r>
          </w:p>
        </w:tc>
      </w:tr>
      <w:tr w:rsidR="00EE7DA4" w:rsidTr="00022B3D">
        <w:tblPrEx>
          <w:tblCellMar>
            <w:top w:w="0" w:type="dxa"/>
            <w:bottom w:w="0" w:type="dxa"/>
          </w:tblCellMar>
        </w:tblPrEx>
        <w:tc>
          <w:tcPr>
            <w:tcW w:w="7513" w:type="dxa"/>
            <w:gridSpan w:val="12"/>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报告期公司衍生品的会计政策及会计核算具体原则与上一报告期相比是否发生重大变化的说明</w:t>
            </w:r>
          </w:p>
        </w:tc>
        <w:tc>
          <w:tcPr>
            <w:tcW w:w="205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left"/>
              <w:rPr>
                <w:szCs w:val="24"/>
              </w:rPr>
            </w:pPr>
            <w:r>
              <w:rPr>
                <w:rFonts w:hint="eastAsia"/>
                <w:szCs w:val="24"/>
              </w:rPr>
              <w:t>不适用</w:t>
            </w:r>
          </w:p>
        </w:tc>
      </w:tr>
      <w:tr w:rsidR="00EE7DA4" w:rsidTr="00022B3D">
        <w:tblPrEx>
          <w:tblCellMar>
            <w:top w:w="0" w:type="dxa"/>
            <w:bottom w:w="0" w:type="dxa"/>
          </w:tblCellMar>
        </w:tblPrEx>
        <w:tc>
          <w:tcPr>
            <w:tcW w:w="2268" w:type="dxa"/>
            <w:gridSpan w:val="4"/>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独立董事对公司衍生品投资及风险控制情况的专项意见</w:t>
            </w:r>
          </w:p>
        </w:tc>
        <w:tc>
          <w:tcPr>
            <w:tcW w:w="7297"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left"/>
              <w:rPr>
                <w:szCs w:val="24"/>
              </w:rPr>
            </w:pPr>
            <w:r>
              <w:rPr>
                <w:rFonts w:hint="eastAsia"/>
                <w:szCs w:val="24"/>
              </w:rPr>
              <w:t>详见公司于</w:t>
            </w:r>
            <w:r>
              <w:rPr>
                <w:szCs w:val="24"/>
              </w:rPr>
              <w:t>2019</w:t>
            </w:r>
            <w:r>
              <w:rPr>
                <w:rFonts w:hint="eastAsia"/>
                <w:szCs w:val="24"/>
              </w:rPr>
              <w:t>年</w:t>
            </w:r>
            <w:r>
              <w:rPr>
                <w:szCs w:val="24"/>
              </w:rPr>
              <w:t>4</w:t>
            </w:r>
            <w:r>
              <w:rPr>
                <w:rFonts w:hint="eastAsia"/>
                <w:szCs w:val="24"/>
              </w:rPr>
              <w:t>月</w:t>
            </w:r>
            <w:r>
              <w:rPr>
                <w:szCs w:val="24"/>
              </w:rPr>
              <w:t>25</w:t>
            </w:r>
            <w:r>
              <w:rPr>
                <w:rFonts w:hint="eastAsia"/>
                <w:szCs w:val="24"/>
              </w:rPr>
              <w:t>日披露在《证券时报》、《中国证券报》及巨潮资讯网的《独立董事关于第七届董事会第一次会议相关议案的独立意见及</w:t>
            </w:r>
            <w:r>
              <w:rPr>
                <w:szCs w:val="24"/>
              </w:rPr>
              <w:t xml:space="preserve"> </w:t>
            </w:r>
            <w:r>
              <w:rPr>
                <w:rFonts w:hint="eastAsia"/>
                <w:szCs w:val="24"/>
              </w:rPr>
              <w:t>控股股东及其他关联方占用公司资金和对外担保情况的专项说明》</w:t>
            </w:r>
          </w:p>
        </w:tc>
      </w:tr>
    </w:tbl>
    <w:p w:rsidR="00EE7DA4" w:rsidRDefault="00EE7DA4">
      <w:pPr>
        <w:pStyle w:val="Chapter"/>
        <w:outlineLvl w:val="1"/>
        <w:rPr>
          <w:bCs w:val="0"/>
        </w:rPr>
      </w:pPr>
      <w:r>
        <w:rPr>
          <w:rFonts w:hint="eastAsia"/>
          <w:bCs w:val="0"/>
        </w:rPr>
        <w:t>七、违规对外担保情况</w:t>
      </w:r>
    </w:p>
    <w:p w:rsidR="00EE7DA4" w:rsidRDefault="00EE7DA4">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rsidR="00EE7DA4" w:rsidRDefault="00EE7DA4">
      <w:pPr>
        <w:jc w:val="left"/>
        <w:rPr>
          <w:szCs w:val="24"/>
        </w:rPr>
      </w:pPr>
      <w:r>
        <w:rPr>
          <w:rFonts w:hint="eastAsia"/>
          <w:szCs w:val="24"/>
        </w:rPr>
        <w:t>公司报告期无违规对外担保情况。</w:t>
      </w:r>
    </w:p>
    <w:p w:rsidR="00EE7DA4" w:rsidRDefault="00EE7DA4">
      <w:pPr>
        <w:pStyle w:val="Chapter"/>
        <w:outlineLvl w:val="1"/>
        <w:rPr>
          <w:bCs w:val="0"/>
        </w:rPr>
      </w:pPr>
      <w:r>
        <w:rPr>
          <w:rFonts w:hint="eastAsia"/>
          <w:bCs w:val="0"/>
        </w:rPr>
        <w:t>八、控股股东及其关联方对上市公司的非经营性占用资金情况</w:t>
      </w:r>
    </w:p>
    <w:p w:rsidR="00EE7DA4" w:rsidRDefault="00EE7DA4">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rsidR="00EE7DA4" w:rsidRDefault="00EE7DA4">
      <w:pPr>
        <w:jc w:val="left"/>
        <w:rPr>
          <w:szCs w:val="24"/>
        </w:rPr>
      </w:pPr>
      <w:r>
        <w:rPr>
          <w:rFonts w:hint="eastAsia"/>
          <w:szCs w:val="24"/>
        </w:rPr>
        <w:t>公司报告期不存在控股股东及其关联方对上市公司的非经营性占用资金。</w:t>
      </w:r>
    </w:p>
    <w:p w:rsidR="00EE7DA4" w:rsidRDefault="00EE7DA4">
      <w:pPr>
        <w:pStyle w:val="Chapter"/>
        <w:outlineLvl w:val="1"/>
        <w:rPr>
          <w:bCs w:val="0"/>
        </w:rPr>
      </w:pPr>
      <w:r>
        <w:rPr>
          <w:rFonts w:hint="eastAsia"/>
          <w:bCs w:val="0"/>
        </w:rPr>
        <w:t>九、报告期内接待调研、沟通、采访等活动登记表</w:t>
      </w:r>
    </w:p>
    <w:p w:rsidR="00EE7DA4" w:rsidRDefault="00EE7DA4">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rsidR="00EE7DA4" w:rsidRDefault="00EE7DA4">
      <w:pPr>
        <w:jc w:val="left"/>
        <w:rPr>
          <w:szCs w:val="24"/>
        </w:rPr>
      </w:pPr>
      <w:r>
        <w:rPr>
          <w:rFonts w:hint="eastAsia"/>
          <w:szCs w:val="24"/>
        </w:rPr>
        <w:t>公司报告期内未发生接待调研、沟通、采访等活动。</w:t>
      </w:r>
    </w:p>
    <w:p w:rsidR="00EE7DA4" w:rsidRDefault="00EE7DA4">
      <w:pPr>
        <w:jc w:val="left"/>
        <w:rPr>
          <w:szCs w:val="24"/>
        </w:rPr>
        <w:sectPr w:rsidR="00EE7DA4">
          <w:pgSz w:w="11906" w:h="16838"/>
          <w:pgMar w:top="1440" w:right="1134" w:bottom="1440" w:left="1134" w:header="851" w:footer="992" w:gutter="0"/>
          <w:cols w:space="425"/>
          <w:docGrid w:type="lines" w:linePitch="312"/>
        </w:sectPr>
      </w:pPr>
    </w:p>
    <w:p w:rsidR="00EE7DA4" w:rsidRDefault="00EE7DA4">
      <w:pPr>
        <w:pStyle w:val="a3"/>
        <w:outlineLvl w:val="0"/>
        <w:rPr>
          <w:bCs w:val="0"/>
          <w:szCs w:val="24"/>
        </w:rPr>
      </w:pPr>
      <w:bookmarkStart w:id="4" w:name="_Toc300000087"/>
      <w:r>
        <w:rPr>
          <w:rFonts w:hint="eastAsia"/>
          <w:bCs w:val="0"/>
          <w:szCs w:val="24"/>
        </w:rPr>
        <w:lastRenderedPageBreak/>
        <w:t>第四节</w:t>
      </w:r>
      <w:r>
        <w:rPr>
          <w:bCs w:val="0"/>
          <w:szCs w:val="24"/>
        </w:rPr>
        <w:t xml:space="preserve"> </w:t>
      </w:r>
      <w:r>
        <w:rPr>
          <w:rFonts w:hint="eastAsia"/>
          <w:bCs w:val="0"/>
          <w:szCs w:val="24"/>
        </w:rPr>
        <w:t>财务报表</w:t>
      </w:r>
      <w:bookmarkEnd w:id="4"/>
    </w:p>
    <w:p w:rsidR="00EE7DA4" w:rsidRDefault="00EE7DA4">
      <w:pPr>
        <w:pStyle w:val="Chapter"/>
        <w:outlineLvl w:val="1"/>
        <w:rPr>
          <w:bCs w:val="0"/>
        </w:rPr>
      </w:pPr>
      <w:r>
        <w:rPr>
          <w:rFonts w:hint="eastAsia"/>
          <w:bCs w:val="0"/>
        </w:rPr>
        <w:t>一、财务报表</w:t>
      </w:r>
    </w:p>
    <w:p w:rsidR="00EE7DA4" w:rsidRDefault="00EE7DA4">
      <w:pPr>
        <w:pStyle w:val="Section"/>
        <w:outlineLvl w:val="2"/>
        <w:rPr>
          <w:bCs w:val="0"/>
          <w:szCs w:val="24"/>
        </w:rPr>
      </w:pPr>
      <w:r>
        <w:rPr>
          <w:bCs w:val="0"/>
          <w:szCs w:val="24"/>
        </w:rPr>
        <w:t>1</w:t>
      </w:r>
      <w:r>
        <w:rPr>
          <w:rFonts w:hint="eastAsia"/>
          <w:bCs w:val="0"/>
          <w:szCs w:val="24"/>
        </w:rPr>
        <w:t>、合并资产负债表</w:t>
      </w:r>
    </w:p>
    <w:p w:rsidR="00EE7DA4" w:rsidRDefault="00EE7DA4">
      <w:pPr>
        <w:jc w:val="left"/>
        <w:rPr>
          <w:szCs w:val="24"/>
        </w:rPr>
      </w:pPr>
      <w:r>
        <w:rPr>
          <w:rFonts w:hint="eastAsia"/>
          <w:szCs w:val="24"/>
        </w:rPr>
        <w:t>编制单位：华孚时尚股份有限公司</w:t>
      </w:r>
    </w:p>
    <w:p w:rsidR="00EE7DA4" w:rsidRDefault="00EE7DA4">
      <w:pPr>
        <w:jc w:val="right"/>
        <w:rPr>
          <w:szCs w:val="24"/>
        </w:rPr>
      </w:pPr>
      <w:r>
        <w:rPr>
          <w:rFonts w:hint="eastAsia"/>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2967"/>
        <w:gridCol w:w="3300"/>
        <w:gridCol w:w="3301"/>
      </w:tblGrid>
      <w:tr w:rsidR="00EE7DA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center"/>
              <w:rPr>
                <w:szCs w:val="24"/>
              </w:rPr>
            </w:pPr>
            <w:r>
              <w:rPr>
                <w:rFonts w:hint="eastAsia"/>
                <w:szCs w:val="24"/>
              </w:rPr>
              <w:t>项目</w:t>
            </w:r>
          </w:p>
        </w:tc>
        <w:tc>
          <w:tcPr>
            <w:tcW w:w="3300"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center"/>
              <w:rPr>
                <w:szCs w:val="24"/>
              </w:rPr>
            </w:pPr>
            <w:r>
              <w:rPr>
                <w:szCs w:val="24"/>
              </w:rPr>
              <w:t>2020</w:t>
            </w:r>
            <w:r>
              <w:rPr>
                <w:rFonts w:hint="eastAsia"/>
                <w:szCs w:val="24"/>
              </w:rPr>
              <w:t>年</w:t>
            </w:r>
            <w:r>
              <w:rPr>
                <w:szCs w:val="24"/>
              </w:rPr>
              <w:t>3</w:t>
            </w:r>
            <w:r>
              <w:rPr>
                <w:rFonts w:hint="eastAsia"/>
                <w:szCs w:val="24"/>
              </w:rPr>
              <w:t>月</w:t>
            </w:r>
            <w:r>
              <w:rPr>
                <w:szCs w:val="24"/>
              </w:rPr>
              <w:t>31</w:t>
            </w:r>
            <w:r>
              <w:rPr>
                <w:rFonts w:hint="eastAsia"/>
                <w:szCs w:val="24"/>
              </w:rPr>
              <w:t>日</w:t>
            </w: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center"/>
              <w:rPr>
                <w:szCs w:val="24"/>
              </w:rPr>
            </w:pPr>
            <w:r>
              <w:rPr>
                <w:szCs w:val="24"/>
              </w:rPr>
              <w:t>2019</w:t>
            </w:r>
            <w:r>
              <w:rPr>
                <w:rFonts w:hint="eastAsia"/>
                <w:szCs w:val="24"/>
              </w:rPr>
              <w:t>年</w:t>
            </w:r>
            <w:r>
              <w:rPr>
                <w:szCs w:val="24"/>
              </w:rPr>
              <w:t>12</w:t>
            </w:r>
            <w:r>
              <w:rPr>
                <w:rFonts w:hint="eastAsia"/>
                <w:szCs w:val="24"/>
              </w:rPr>
              <w:t>月</w:t>
            </w:r>
            <w:r>
              <w:rPr>
                <w:szCs w:val="24"/>
              </w:rPr>
              <w:t>31</w:t>
            </w:r>
            <w:r>
              <w:rPr>
                <w:rFonts w:hint="eastAsia"/>
                <w:szCs w:val="24"/>
              </w:rPr>
              <w:t>日</w:t>
            </w:r>
          </w:p>
        </w:tc>
      </w:tr>
      <w:tr w:rsidR="00EE7DA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流动资产：</w:t>
            </w:r>
          </w:p>
        </w:tc>
        <w:tc>
          <w:tcPr>
            <w:tcW w:w="3300"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p>
        </w:tc>
      </w:tr>
      <w:tr w:rsidR="00EE7DA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货币资金</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2,964,280,845.84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2,547,113,496.53</w:t>
            </w:r>
          </w:p>
        </w:tc>
      </w:tr>
      <w:tr w:rsidR="00EE7DA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结算备付金</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r>
      <w:tr w:rsidR="00EE7DA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拆出资金</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r>
      <w:tr w:rsidR="00EE7DA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交易性金融资产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286,864,413.45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597,752,485.16</w:t>
            </w:r>
          </w:p>
        </w:tc>
      </w:tr>
      <w:tr w:rsidR="00EE7DA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衍生金融资产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r>
      <w:tr w:rsidR="00EE7DA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应收票据</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77,340,606.61</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65,485,707.16</w:t>
            </w:r>
          </w:p>
        </w:tc>
      </w:tr>
      <w:tr w:rsidR="00EE7DA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应收账款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782,583,012.46</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756,313,986.56</w:t>
            </w:r>
          </w:p>
        </w:tc>
      </w:tr>
      <w:tr w:rsidR="00EE7DA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应收款项融资</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r>
      <w:tr w:rsidR="00EE7DA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预付款项</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937,771,765.68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854,490,979.79</w:t>
            </w:r>
          </w:p>
        </w:tc>
      </w:tr>
      <w:tr w:rsidR="00EE7DA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应收保费</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r>
      <w:tr w:rsidR="00EE7DA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应收分保账款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r>
      <w:tr w:rsidR="00EE7DA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应收分保合同准备金</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r>
      <w:tr w:rsidR="00EE7DA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其他应收款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635,044,276.82</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546,285,775.15</w:t>
            </w:r>
          </w:p>
        </w:tc>
      </w:tr>
      <w:tr w:rsidR="00EE7DA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其中：应收利息</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10,000.00</w:t>
            </w:r>
          </w:p>
        </w:tc>
      </w:tr>
      <w:tr w:rsidR="00EE7DA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应收股利</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r>
      <w:tr w:rsidR="00EE7DA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买入返售金融资产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r>
      <w:tr w:rsidR="00EE7DA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存货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5,191,550,668.67</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5,499,476,971.98</w:t>
            </w:r>
          </w:p>
        </w:tc>
      </w:tr>
      <w:tr w:rsidR="00EE7DA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合同资产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r>
      <w:tr w:rsidR="00EE7DA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持有待售资产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r>
      <w:tr w:rsidR="00EE7DA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一年内到期的非流动资产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r>
      <w:tr w:rsidR="00EE7DA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其他流动资产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506,135,130.78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492,502,166.44</w:t>
            </w:r>
          </w:p>
        </w:tc>
      </w:tr>
      <w:tr w:rsidR="00EE7DA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流动资产合计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11,381,570,720.31</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11,359,421,568.77</w:t>
            </w:r>
          </w:p>
        </w:tc>
      </w:tr>
      <w:tr w:rsidR="00EE7DA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非流动资产：</w:t>
            </w:r>
          </w:p>
        </w:tc>
        <w:tc>
          <w:tcPr>
            <w:tcW w:w="3300"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p>
        </w:tc>
      </w:tr>
      <w:tr w:rsidR="00EE7DA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发放贷款和垫款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r>
      <w:tr w:rsidR="00EE7DA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lastRenderedPageBreak/>
              <w:t xml:space="preserve">　　债权投资</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r>
      <w:tr w:rsidR="00EE7DA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其他债权投资</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r>
      <w:tr w:rsidR="00EE7DA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长期应收款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r>
      <w:tr w:rsidR="00EE7DA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长期股权投资</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179,917,445.66</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176,395,963.05</w:t>
            </w:r>
          </w:p>
        </w:tc>
      </w:tr>
      <w:tr w:rsidR="00EE7DA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其他权益工具投资</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87,986,227.99</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88,276,081.28</w:t>
            </w:r>
          </w:p>
        </w:tc>
      </w:tr>
      <w:tr w:rsidR="00EE7DA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其他非流动金融资产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r>
      <w:tr w:rsidR="00EE7DA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投资性房地产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r>
      <w:tr w:rsidR="00EE7DA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固定资产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5,166,527,566.97</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5,268,038,475.44</w:t>
            </w:r>
          </w:p>
        </w:tc>
      </w:tr>
      <w:tr w:rsidR="00EE7DA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在建工程</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348,531,871.77</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340,959,082.04</w:t>
            </w:r>
          </w:p>
        </w:tc>
      </w:tr>
      <w:tr w:rsidR="00EE7DA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生产性生物资产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r>
      <w:tr w:rsidR="00EE7DA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油气资产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r>
      <w:tr w:rsidR="00EE7DA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使用权资产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r>
      <w:tr w:rsidR="00EE7DA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无形资产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794,745,894.43</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799,044,443.48</w:t>
            </w:r>
          </w:p>
        </w:tc>
      </w:tr>
      <w:tr w:rsidR="00EE7DA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开发支出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r>
      <w:tr w:rsidR="00EE7DA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商誉</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9,585,820.23</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9,585,820.23</w:t>
            </w:r>
          </w:p>
        </w:tc>
      </w:tr>
      <w:tr w:rsidR="00EE7DA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长期待摊费用</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48,872,217.55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52,180,178.28</w:t>
            </w:r>
          </w:p>
        </w:tc>
      </w:tr>
      <w:tr w:rsidR="00EE7DA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递延所得税资产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87,520,184.71</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100,653,308.93</w:t>
            </w:r>
          </w:p>
        </w:tc>
      </w:tr>
      <w:tr w:rsidR="00EE7DA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其他非流动资产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195,299,495.89</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141,320,594.07</w:t>
            </w:r>
          </w:p>
        </w:tc>
      </w:tr>
      <w:tr w:rsidR="00EE7DA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非流动资产合计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6,918,986,725.20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6,976,453,946.80</w:t>
            </w:r>
          </w:p>
        </w:tc>
      </w:tr>
      <w:tr w:rsidR="00EE7DA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资产总计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18,300,557,445.51</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18,335,875,515.57</w:t>
            </w:r>
          </w:p>
        </w:tc>
      </w:tr>
      <w:tr w:rsidR="00EE7DA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流动负债：</w:t>
            </w:r>
          </w:p>
        </w:tc>
        <w:tc>
          <w:tcPr>
            <w:tcW w:w="3300"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p>
        </w:tc>
      </w:tr>
      <w:tr w:rsidR="00EE7DA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短期借款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8,362,457,734.27</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8,181,373,784.70</w:t>
            </w:r>
          </w:p>
        </w:tc>
      </w:tr>
      <w:tr w:rsidR="00EE7DA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向中央银行借款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r>
      <w:tr w:rsidR="00EE7DA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拆入资金</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r>
      <w:tr w:rsidR="00EE7DA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交易性金融负债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r>
      <w:tr w:rsidR="00EE7DA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衍生金融负债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r>
      <w:tr w:rsidR="00EE7DA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应付票据</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106,981,366.39</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67,790,773.32</w:t>
            </w:r>
          </w:p>
        </w:tc>
      </w:tr>
      <w:tr w:rsidR="00EE7DA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应付账款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505,140,077.82</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542,262,014.02</w:t>
            </w:r>
          </w:p>
        </w:tc>
      </w:tr>
      <w:tr w:rsidR="00EE7DA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预收款项</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1,037,925,827.22</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1,032,700,717.76</w:t>
            </w:r>
          </w:p>
        </w:tc>
      </w:tr>
      <w:tr w:rsidR="00EE7DA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合同负债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r>
      <w:tr w:rsidR="00EE7DA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卖出回购金融资产款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r>
      <w:tr w:rsidR="00EE7DA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吸收存款及同业存放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r>
      <w:tr w:rsidR="00EE7DA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代理买卖证券款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r>
      <w:tr w:rsidR="00EE7DA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代理承销证券款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r>
      <w:tr w:rsidR="00EE7DA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lastRenderedPageBreak/>
              <w:t xml:space="preserve">　　应付职工薪酬</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115,409,920.81</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98,681,838.35</w:t>
            </w:r>
          </w:p>
        </w:tc>
      </w:tr>
      <w:tr w:rsidR="00EE7DA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应交税费</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15,667,531.45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74,677,670.91</w:t>
            </w:r>
          </w:p>
        </w:tc>
      </w:tr>
      <w:tr w:rsidR="00EE7DA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其他应付款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250,167,438.47</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328,504,374.82</w:t>
            </w:r>
          </w:p>
        </w:tc>
      </w:tr>
      <w:tr w:rsidR="00EE7DA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其中：应付利息</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433,244.40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9,944,132.22</w:t>
            </w:r>
          </w:p>
        </w:tc>
      </w:tr>
      <w:tr w:rsidR="00EE7DA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应付股利</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300,000.00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300,000.00</w:t>
            </w:r>
          </w:p>
        </w:tc>
      </w:tr>
      <w:tr w:rsidR="00EE7DA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应付手续费及佣金</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r>
      <w:tr w:rsidR="00EE7DA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应付分保账款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r>
      <w:tr w:rsidR="00EE7DA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持有待售负债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r>
      <w:tr w:rsidR="00EE7DA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一年内到期的非流动负债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130,000,000.00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130,000,000.00</w:t>
            </w:r>
          </w:p>
        </w:tc>
      </w:tr>
      <w:tr w:rsidR="00EE7DA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其他流动负债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r>
      <w:tr w:rsidR="00EE7DA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流动负债合计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10,523,749,896.43</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10,455,991,173.88</w:t>
            </w:r>
          </w:p>
        </w:tc>
      </w:tr>
      <w:tr w:rsidR="00EE7DA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非流动负债：</w:t>
            </w:r>
          </w:p>
        </w:tc>
        <w:tc>
          <w:tcPr>
            <w:tcW w:w="3300"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p>
        </w:tc>
      </w:tr>
      <w:tr w:rsidR="00EE7DA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保险合同准备金</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r>
      <w:tr w:rsidR="00EE7DA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长期借款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1,009,610,568.00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1,062,236,818.00</w:t>
            </w:r>
          </w:p>
        </w:tc>
      </w:tr>
      <w:tr w:rsidR="00EE7DA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应付债券</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r>
      <w:tr w:rsidR="00EE7DA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其中：优先股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r>
      <w:tr w:rsidR="00EE7DA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永续债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r>
      <w:tr w:rsidR="00EE7DA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租赁负债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r>
      <w:tr w:rsidR="00EE7DA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长期应付款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4,367,138.45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4,367,138.45</w:t>
            </w:r>
          </w:p>
        </w:tc>
      </w:tr>
      <w:tr w:rsidR="00EE7DA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长期应付职工薪酬</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r>
      <w:tr w:rsidR="00EE7DA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预计负债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r>
      <w:tr w:rsidR="00EE7DA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递延收益</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167,620,895.38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100,148,483.72</w:t>
            </w:r>
          </w:p>
        </w:tc>
      </w:tr>
      <w:tr w:rsidR="00EE7DA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递延所得税负债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33,640,316.71</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33,490,660.12</w:t>
            </w:r>
          </w:p>
        </w:tc>
      </w:tr>
      <w:tr w:rsidR="00EE7DA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其他非流动负债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r>
      <w:tr w:rsidR="00EE7DA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非流动负债合计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1,215,238,918.54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1,200,243,100.29</w:t>
            </w:r>
          </w:p>
        </w:tc>
      </w:tr>
      <w:tr w:rsidR="00EE7DA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负债合计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11,738,988,814.97</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11,656,234,274.17</w:t>
            </w:r>
          </w:p>
        </w:tc>
      </w:tr>
      <w:tr w:rsidR="00EE7DA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所有者权益：</w:t>
            </w:r>
          </w:p>
        </w:tc>
        <w:tc>
          <w:tcPr>
            <w:tcW w:w="3300"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p>
        </w:tc>
      </w:tr>
      <w:tr w:rsidR="00EE7DA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股本</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1,519,375,555.00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1,519,375,555.00</w:t>
            </w:r>
          </w:p>
        </w:tc>
      </w:tr>
      <w:tr w:rsidR="00EE7DA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其他权益工具</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r>
      <w:tr w:rsidR="00EE7DA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其中：优先股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r>
      <w:tr w:rsidR="00EE7DA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永续债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r>
      <w:tr w:rsidR="00EE7DA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资本公积</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2,410,047,632.25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2,410,047,632.25</w:t>
            </w:r>
          </w:p>
        </w:tc>
      </w:tr>
      <w:tr w:rsidR="00EE7DA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减：库存股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600,011,142.54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600,011,142.54</w:t>
            </w:r>
          </w:p>
        </w:tc>
      </w:tr>
      <w:tr w:rsidR="00EE7DA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其他综合收益</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-56,205,557.72</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-399,476.20</w:t>
            </w:r>
          </w:p>
        </w:tc>
      </w:tr>
      <w:tr w:rsidR="00EE7DA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lastRenderedPageBreak/>
              <w:t xml:space="preserve">　　专项储备</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r>
      <w:tr w:rsidR="00EE7DA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盈余公积</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214,019,364.65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214,019,364.65</w:t>
            </w:r>
          </w:p>
        </w:tc>
      </w:tr>
      <w:tr w:rsidR="00EE7DA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一般风险准备</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r>
      <w:tr w:rsidR="00EE7DA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未分配利润</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2,727,069,760.30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2,757,712,156.60</w:t>
            </w:r>
          </w:p>
        </w:tc>
      </w:tr>
      <w:tr w:rsidR="00EE7DA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归属于母公司所有者权益合计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6,214,295,611.94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6,300,744,089.76</w:t>
            </w:r>
          </w:p>
        </w:tc>
      </w:tr>
      <w:tr w:rsidR="00EE7DA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少数股东权益</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347,273,018.60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378,897,151.64</w:t>
            </w:r>
          </w:p>
        </w:tc>
      </w:tr>
      <w:tr w:rsidR="00EE7DA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所有者权益合计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6,561,568,630.54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6,679,641,241.40</w:t>
            </w:r>
          </w:p>
        </w:tc>
      </w:tr>
      <w:tr w:rsidR="00EE7DA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负债和所有者权益总计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18,300,557,445.51</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18,335,875,515.57</w:t>
            </w:r>
          </w:p>
        </w:tc>
      </w:tr>
    </w:tbl>
    <w:p w:rsidR="00EE7DA4" w:rsidRDefault="00EE7DA4">
      <w:pPr>
        <w:spacing w:before="300"/>
        <w:rPr>
          <w:szCs w:val="24"/>
        </w:rPr>
      </w:pPr>
      <w:r>
        <w:rPr>
          <w:rFonts w:hint="eastAsia"/>
          <w:szCs w:val="24"/>
        </w:rPr>
        <w:t>法定代表人：孙伟挺</w:t>
      </w:r>
      <w:r>
        <w:rPr>
          <w:szCs w:val="24"/>
        </w:rPr>
        <w:t xml:space="preserve">                    </w:t>
      </w:r>
      <w:r>
        <w:rPr>
          <w:rFonts w:hint="eastAsia"/>
          <w:szCs w:val="24"/>
        </w:rPr>
        <w:t>主管会计工作负责人：陈玲芬</w:t>
      </w:r>
      <w:r>
        <w:rPr>
          <w:szCs w:val="24"/>
        </w:rPr>
        <w:t xml:space="preserve">                    </w:t>
      </w:r>
      <w:r>
        <w:rPr>
          <w:rFonts w:hint="eastAsia"/>
          <w:szCs w:val="24"/>
        </w:rPr>
        <w:t>会计机构负责人：王国友</w:t>
      </w:r>
    </w:p>
    <w:p w:rsidR="00EE7DA4" w:rsidRDefault="00EE7DA4">
      <w:pPr>
        <w:pStyle w:val="Section"/>
        <w:outlineLvl w:val="2"/>
        <w:rPr>
          <w:bCs w:val="0"/>
          <w:szCs w:val="24"/>
        </w:rPr>
      </w:pPr>
      <w:r>
        <w:rPr>
          <w:bCs w:val="0"/>
          <w:szCs w:val="24"/>
        </w:rPr>
        <w:t>2</w:t>
      </w:r>
      <w:r>
        <w:rPr>
          <w:rFonts w:hint="eastAsia"/>
          <w:bCs w:val="0"/>
          <w:szCs w:val="24"/>
        </w:rPr>
        <w:t>、母公司资产负债表</w:t>
      </w:r>
    </w:p>
    <w:p w:rsidR="00EE7DA4" w:rsidRDefault="00EE7DA4">
      <w:pPr>
        <w:jc w:val="right"/>
        <w:rPr>
          <w:szCs w:val="24"/>
        </w:rPr>
      </w:pPr>
      <w:r>
        <w:rPr>
          <w:rFonts w:hint="eastAsia"/>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2967"/>
        <w:gridCol w:w="3300"/>
        <w:gridCol w:w="3301"/>
      </w:tblGrid>
      <w:tr w:rsidR="00EE7DA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center"/>
              <w:rPr>
                <w:szCs w:val="24"/>
              </w:rPr>
            </w:pPr>
            <w:r>
              <w:rPr>
                <w:rFonts w:hint="eastAsia"/>
                <w:szCs w:val="24"/>
              </w:rPr>
              <w:t>项目</w:t>
            </w:r>
          </w:p>
        </w:tc>
        <w:tc>
          <w:tcPr>
            <w:tcW w:w="3300"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center"/>
              <w:rPr>
                <w:szCs w:val="24"/>
              </w:rPr>
            </w:pPr>
            <w:r>
              <w:rPr>
                <w:szCs w:val="24"/>
              </w:rPr>
              <w:t>2020</w:t>
            </w:r>
            <w:r>
              <w:rPr>
                <w:rFonts w:hint="eastAsia"/>
                <w:szCs w:val="24"/>
              </w:rPr>
              <w:t>年</w:t>
            </w:r>
            <w:r>
              <w:rPr>
                <w:szCs w:val="24"/>
              </w:rPr>
              <w:t>3</w:t>
            </w:r>
            <w:r>
              <w:rPr>
                <w:rFonts w:hint="eastAsia"/>
                <w:szCs w:val="24"/>
              </w:rPr>
              <w:t>月</w:t>
            </w:r>
            <w:r>
              <w:rPr>
                <w:szCs w:val="24"/>
              </w:rPr>
              <w:t>31</w:t>
            </w:r>
            <w:r>
              <w:rPr>
                <w:rFonts w:hint="eastAsia"/>
                <w:szCs w:val="24"/>
              </w:rPr>
              <w:t>日</w:t>
            </w: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center"/>
              <w:rPr>
                <w:szCs w:val="24"/>
              </w:rPr>
            </w:pPr>
            <w:r>
              <w:rPr>
                <w:szCs w:val="24"/>
              </w:rPr>
              <w:t>2019</w:t>
            </w:r>
            <w:r>
              <w:rPr>
                <w:rFonts w:hint="eastAsia"/>
                <w:szCs w:val="24"/>
              </w:rPr>
              <w:t>年</w:t>
            </w:r>
            <w:r>
              <w:rPr>
                <w:szCs w:val="24"/>
              </w:rPr>
              <w:t>12</w:t>
            </w:r>
            <w:r>
              <w:rPr>
                <w:rFonts w:hint="eastAsia"/>
                <w:szCs w:val="24"/>
              </w:rPr>
              <w:t>月</w:t>
            </w:r>
            <w:r>
              <w:rPr>
                <w:szCs w:val="24"/>
              </w:rPr>
              <w:t>31</w:t>
            </w:r>
            <w:r>
              <w:rPr>
                <w:rFonts w:hint="eastAsia"/>
                <w:szCs w:val="24"/>
              </w:rPr>
              <w:t>日</w:t>
            </w:r>
          </w:p>
        </w:tc>
      </w:tr>
      <w:tr w:rsidR="00EE7DA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流动资产：</w:t>
            </w:r>
          </w:p>
        </w:tc>
        <w:tc>
          <w:tcPr>
            <w:tcW w:w="3300"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p>
        </w:tc>
      </w:tr>
      <w:tr w:rsidR="00EE7DA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货币资金</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111,404,832.17</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183,459,675.36</w:t>
            </w:r>
          </w:p>
        </w:tc>
      </w:tr>
      <w:tr w:rsidR="00EE7DA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交易性金融资产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r>
      <w:tr w:rsidR="00EE7DA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衍生金融资产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r>
      <w:tr w:rsidR="00EE7DA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应收票据</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1,200,000.00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1,786,413.80</w:t>
            </w:r>
          </w:p>
        </w:tc>
      </w:tr>
      <w:tr w:rsidR="00EE7DA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应收账款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92,752,126.71</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94,317,306.87</w:t>
            </w:r>
          </w:p>
        </w:tc>
      </w:tr>
      <w:tr w:rsidR="00EE7DA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应收款项融资</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r>
      <w:tr w:rsidR="00EE7DA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预付款项</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372,258,029.91</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166,385,135.72</w:t>
            </w:r>
          </w:p>
        </w:tc>
      </w:tr>
      <w:tr w:rsidR="00EE7DA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其他应收款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26,220,810.15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21,223,574.12</w:t>
            </w:r>
          </w:p>
        </w:tc>
      </w:tr>
      <w:tr w:rsidR="00EE7DA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其中：应收利息</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r>
      <w:tr w:rsidR="00EE7DA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应收股利</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r>
      <w:tr w:rsidR="00EE7DA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存货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164,749,210.62</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167,709,289.35</w:t>
            </w:r>
          </w:p>
        </w:tc>
      </w:tr>
      <w:tr w:rsidR="00EE7DA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合同资产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r>
      <w:tr w:rsidR="00EE7DA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持有待售资产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r>
      <w:tr w:rsidR="00EE7DA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一年内到期的非流动资产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r>
      <w:tr w:rsidR="00EE7DA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其他流动资产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5,551,474.87</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r>
      <w:tr w:rsidR="00EE7DA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流动资产合计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774,136,484.43</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634,881,395.22</w:t>
            </w:r>
          </w:p>
        </w:tc>
      </w:tr>
      <w:tr w:rsidR="00EE7DA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非流动资产：</w:t>
            </w:r>
          </w:p>
        </w:tc>
        <w:tc>
          <w:tcPr>
            <w:tcW w:w="3300"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p>
        </w:tc>
      </w:tr>
      <w:tr w:rsidR="00EE7DA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债权投资</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r>
      <w:tr w:rsidR="00EE7DA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其他债权投资</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r>
      <w:tr w:rsidR="00EE7DA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长期应收款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r>
      <w:tr w:rsidR="00EE7DA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lastRenderedPageBreak/>
              <w:t xml:space="preserve">　　长期股权投资</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4,419,619,838.57</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4,419,619,838.57</w:t>
            </w:r>
          </w:p>
        </w:tc>
      </w:tr>
      <w:tr w:rsidR="00EE7DA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其他权益工具投资</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64,524,282.09</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65,314,135.38</w:t>
            </w:r>
          </w:p>
        </w:tc>
      </w:tr>
      <w:tr w:rsidR="00EE7DA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其他非流动金融资产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r>
      <w:tr w:rsidR="00EE7DA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投资性房地产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r>
      <w:tr w:rsidR="00EE7DA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固定资产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394,158,813.14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402,018,363.85</w:t>
            </w:r>
          </w:p>
        </w:tc>
      </w:tr>
      <w:tr w:rsidR="00EE7DA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在建工程</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1,325,433.30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1,376,332.05</w:t>
            </w:r>
          </w:p>
        </w:tc>
      </w:tr>
      <w:tr w:rsidR="00EE7DA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生产性生物资产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r>
      <w:tr w:rsidR="00EE7DA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油气资产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r>
      <w:tr w:rsidR="00EE7DA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使用权资产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r>
      <w:tr w:rsidR="00EE7DA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无形资产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139,246,202.02</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140,213,075.61</w:t>
            </w:r>
          </w:p>
        </w:tc>
      </w:tr>
      <w:tr w:rsidR="00EE7DA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开发支出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r>
      <w:tr w:rsidR="00EE7DA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商誉</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r>
      <w:tr w:rsidR="00EE7DA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长期待摊费用</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r>
      <w:tr w:rsidR="00EE7DA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递延所得税资产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1,869,485.42</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1,869,616.86</w:t>
            </w:r>
          </w:p>
        </w:tc>
      </w:tr>
      <w:tr w:rsidR="00EE7DA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其他非流动资产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184,494.95</w:t>
            </w:r>
          </w:p>
        </w:tc>
      </w:tr>
      <w:tr w:rsidR="00EE7DA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非流动资产合计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5,020,744,054.54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5,030,595,857.27</w:t>
            </w:r>
          </w:p>
        </w:tc>
      </w:tr>
      <w:tr w:rsidR="00EE7DA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资产总计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5,794,880,538.97</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5,665,477,252.49</w:t>
            </w:r>
          </w:p>
        </w:tc>
      </w:tr>
      <w:tr w:rsidR="00EE7DA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流动负债：</w:t>
            </w:r>
          </w:p>
        </w:tc>
        <w:tc>
          <w:tcPr>
            <w:tcW w:w="3300"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p>
        </w:tc>
      </w:tr>
      <w:tr w:rsidR="00EE7DA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短期借款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564,000,000.00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400,000,000.00</w:t>
            </w:r>
          </w:p>
        </w:tc>
      </w:tr>
      <w:tr w:rsidR="00EE7DA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交易性金融负债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r>
      <w:tr w:rsidR="00EE7DA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衍生金融负债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r>
      <w:tr w:rsidR="00EE7DA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应付票据</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400,000,000.00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362,000,000.00</w:t>
            </w:r>
          </w:p>
        </w:tc>
      </w:tr>
      <w:tr w:rsidR="00EE7DA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应付账款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119,413,979.95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96,474,836.00</w:t>
            </w:r>
          </w:p>
        </w:tc>
      </w:tr>
      <w:tr w:rsidR="00EE7DA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预收款项</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345,510,199.00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447,107,851.48</w:t>
            </w:r>
          </w:p>
        </w:tc>
      </w:tr>
      <w:tr w:rsidR="00EE7DA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合同负债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r>
      <w:tr w:rsidR="00EE7DA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应付职工薪酬</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8,897,243.17</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7,880,133.27</w:t>
            </w:r>
          </w:p>
        </w:tc>
      </w:tr>
      <w:tr w:rsidR="00EE7DA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应交税费</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2,725,771.88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4,298,197.56</w:t>
            </w:r>
          </w:p>
        </w:tc>
      </w:tr>
      <w:tr w:rsidR="00EE7DA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其他应付款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227,970,549.63</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215,084,702.86</w:t>
            </w:r>
          </w:p>
        </w:tc>
      </w:tr>
      <w:tr w:rsidR="00EE7DA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其中：应付利息</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1,491,004.65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2,550,124.99</w:t>
            </w:r>
          </w:p>
        </w:tc>
      </w:tr>
      <w:tr w:rsidR="00EE7DA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应付股利</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r>
      <w:tr w:rsidR="00EE7DA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持有待售负债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r>
      <w:tr w:rsidR="00EE7DA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一年内到期的非流动负债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r>
      <w:tr w:rsidR="00EE7DA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其他流动负债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r>
      <w:tr w:rsidR="00EE7DA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流动负债合计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1,668,517,743.63</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1,532,845,721.17</w:t>
            </w:r>
          </w:p>
        </w:tc>
      </w:tr>
      <w:tr w:rsidR="00EE7DA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lastRenderedPageBreak/>
              <w:t>非流动负债：</w:t>
            </w:r>
          </w:p>
        </w:tc>
        <w:tc>
          <w:tcPr>
            <w:tcW w:w="3300"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p>
        </w:tc>
      </w:tr>
      <w:tr w:rsidR="00EE7DA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长期借款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2,581,818.00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2,581,818.00</w:t>
            </w:r>
          </w:p>
        </w:tc>
      </w:tr>
      <w:tr w:rsidR="00EE7DA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应付债券</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r>
      <w:tr w:rsidR="00EE7DA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其中：优先股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r>
      <w:tr w:rsidR="00EE7DA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永续债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r>
      <w:tr w:rsidR="00EE7DA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租赁负债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r>
      <w:tr w:rsidR="00EE7DA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长期应付款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r>
      <w:tr w:rsidR="00EE7DA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长期应付职工薪酬</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r>
      <w:tr w:rsidR="00EE7DA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预计负债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r>
      <w:tr w:rsidR="00EE7DA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递延收益</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9,403,317.00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9,568,056.00</w:t>
            </w:r>
          </w:p>
        </w:tc>
      </w:tr>
      <w:tr w:rsidR="00EE7DA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递延所得税负债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3,936,622.83</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4,055,100.82</w:t>
            </w:r>
          </w:p>
        </w:tc>
      </w:tr>
      <w:tr w:rsidR="00EE7DA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其他非流动负债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r>
      <w:tr w:rsidR="00EE7DA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非流动负债合计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15,921,757.83</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16,204,974.82</w:t>
            </w:r>
          </w:p>
        </w:tc>
      </w:tr>
      <w:tr w:rsidR="00EE7DA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负债合计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1,684,439,501.46</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1,549,050,695.99</w:t>
            </w:r>
          </w:p>
        </w:tc>
      </w:tr>
      <w:tr w:rsidR="00EE7DA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所有者权益：</w:t>
            </w:r>
          </w:p>
        </w:tc>
        <w:tc>
          <w:tcPr>
            <w:tcW w:w="3300"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p>
        </w:tc>
      </w:tr>
      <w:tr w:rsidR="00EE7DA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股本</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1,519,375,555.00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1,519,375,555.00</w:t>
            </w:r>
          </w:p>
        </w:tc>
      </w:tr>
      <w:tr w:rsidR="00EE7DA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其他权益工具</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r>
      <w:tr w:rsidR="00EE7DA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其中：优先股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r>
      <w:tr w:rsidR="00EE7DA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永续债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r>
      <w:tr w:rsidR="00EE7DA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资本公积</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2,761,872,315.95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2,761,872,315.95</w:t>
            </w:r>
          </w:p>
        </w:tc>
      </w:tr>
      <w:tr w:rsidR="00EE7DA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减：库存股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600,011,142.54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600,011,142.54</w:t>
            </w:r>
          </w:p>
        </w:tc>
      </w:tr>
      <w:tr w:rsidR="00EE7DA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其他综合收益</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22,307,529.26</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22,978,904.56</w:t>
            </w:r>
          </w:p>
        </w:tc>
      </w:tr>
      <w:tr w:rsidR="00EE7DA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专项储备</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r>
      <w:tr w:rsidR="00EE7DA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盈余公积</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182,423,926.12</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182,423,926.12</w:t>
            </w:r>
          </w:p>
        </w:tc>
      </w:tr>
      <w:tr w:rsidR="00EE7DA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未分配利润</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224,472,853.72</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229,786,997.41</w:t>
            </w:r>
          </w:p>
        </w:tc>
      </w:tr>
      <w:tr w:rsidR="00EE7DA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所有者权益合计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4,110,441,037.51</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4,116,426,556.50</w:t>
            </w:r>
          </w:p>
        </w:tc>
      </w:tr>
      <w:tr w:rsidR="00EE7DA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负债和所有者权益总计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5,794,880,538.97</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5,665,477,252.49</w:t>
            </w:r>
          </w:p>
        </w:tc>
      </w:tr>
    </w:tbl>
    <w:p w:rsidR="00EE7DA4" w:rsidRDefault="00EE7DA4">
      <w:pPr>
        <w:pStyle w:val="Section"/>
        <w:outlineLvl w:val="2"/>
        <w:rPr>
          <w:bCs w:val="0"/>
          <w:szCs w:val="24"/>
        </w:rPr>
      </w:pPr>
      <w:r>
        <w:rPr>
          <w:bCs w:val="0"/>
          <w:szCs w:val="24"/>
        </w:rPr>
        <w:t>3</w:t>
      </w:r>
      <w:r>
        <w:rPr>
          <w:rFonts w:hint="eastAsia"/>
          <w:bCs w:val="0"/>
          <w:szCs w:val="24"/>
        </w:rPr>
        <w:t>、合并利润表</w:t>
      </w:r>
    </w:p>
    <w:p w:rsidR="00EE7DA4" w:rsidRDefault="00EE7DA4">
      <w:pPr>
        <w:jc w:val="right"/>
        <w:rPr>
          <w:szCs w:val="24"/>
        </w:rPr>
      </w:pPr>
      <w:r>
        <w:rPr>
          <w:rFonts w:hint="eastAsia"/>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3080"/>
        <w:gridCol w:w="3210"/>
        <w:gridCol w:w="3277"/>
      </w:tblGrid>
      <w:tr w:rsidR="00EE7DA4">
        <w:tblPrEx>
          <w:tblCellMar>
            <w:top w:w="0" w:type="dxa"/>
            <w:bottom w:w="0" w:type="dxa"/>
          </w:tblCellMar>
        </w:tblPrEx>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center"/>
              <w:rPr>
                <w:szCs w:val="24"/>
              </w:rPr>
            </w:pPr>
            <w:r>
              <w:rPr>
                <w:rFonts w:hint="eastAsia"/>
                <w:szCs w:val="24"/>
              </w:rPr>
              <w:t>项目</w:t>
            </w:r>
          </w:p>
        </w:tc>
        <w:tc>
          <w:tcPr>
            <w:tcW w:w="3210"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center"/>
              <w:rPr>
                <w:szCs w:val="24"/>
              </w:rPr>
            </w:pPr>
            <w:r>
              <w:rPr>
                <w:rFonts w:hint="eastAsia"/>
                <w:szCs w:val="24"/>
              </w:rPr>
              <w:t>本期发生额</w:t>
            </w:r>
          </w:p>
        </w:tc>
        <w:tc>
          <w:tcPr>
            <w:tcW w:w="3277"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center"/>
              <w:rPr>
                <w:szCs w:val="24"/>
              </w:rPr>
            </w:pPr>
            <w:r>
              <w:rPr>
                <w:rFonts w:hint="eastAsia"/>
                <w:szCs w:val="24"/>
              </w:rPr>
              <w:t>上期发生额</w:t>
            </w:r>
          </w:p>
        </w:tc>
      </w:tr>
      <w:tr w:rsidR="00EE7DA4">
        <w:tblPrEx>
          <w:tblCellMar>
            <w:top w:w="0" w:type="dxa"/>
            <w:bottom w:w="0" w:type="dxa"/>
          </w:tblCellMar>
        </w:tblPrEx>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一、营业总收入</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2,306,051,643.44</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3,634,310,612.28</w:t>
            </w:r>
          </w:p>
        </w:tc>
      </w:tr>
      <w:tr w:rsidR="00EE7DA4">
        <w:tblPrEx>
          <w:tblCellMar>
            <w:top w:w="0" w:type="dxa"/>
            <w:bottom w:w="0" w:type="dxa"/>
          </w:tblCellMar>
        </w:tblPrEx>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其中：营业收入</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2,306,051,643.44</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3,634,310,612.28</w:t>
            </w:r>
          </w:p>
        </w:tc>
      </w:tr>
      <w:tr w:rsidR="00EE7DA4">
        <w:tblPrEx>
          <w:tblCellMar>
            <w:top w:w="0" w:type="dxa"/>
            <w:bottom w:w="0" w:type="dxa"/>
          </w:tblCellMar>
        </w:tblPrEx>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利息收入</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r>
      <w:tr w:rsidR="00EE7DA4">
        <w:tblPrEx>
          <w:tblCellMar>
            <w:top w:w="0" w:type="dxa"/>
            <w:bottom w:w="0" w:type="dxa"/>
          </w:tblCellMar>
        </w:tblPrEx>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lastRenderedPageBreak/>
              <w:t xml:space="preserve">　　　　　已赚保费</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r>
      <w:tr w:rsidR="00EE7DA4">
        <w:tblPrEx>
          <w:tblCellMar>
            <w:top w:w="0" w:type="dxa"/>
            <w:bottom w:w="0" w:type="dxa"/>
          </w:tblCellMar>
        </w:tblPrEx>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手续费及佣金收入</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r>
      <w:tr w:rsidR="00EE7DA4">
        <w:tblPrEx>
          <w:tblCellMar>
            <w:top w:w="0" w:type="dxa"/>
            <w:bottom w:w="0" w:type="dxa"/>
          </w:tblCellMar>
        </w:tblPrEx>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二、营业总成本</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2,380,061,843.65</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3,544,268,669.22</w:t>
            </w:r>
          </w:p>
        </w:tc>
      </w:tr>
      <w:tr w:rsidR="00EE7DA4">
        <w:tblPrEx>
          <w:tblCellMar>
            <w:top w:w="0" w:type="dxa"/>
            <w:bottom w:w="0" w:type="dxa"/>
          </w:tblCellMar>
        </w:tblPrEx>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其中：营业成本</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2,169,052,847.58</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3,254,753,101.89</w:t>
            </w:r>
          </w:p>
        </w:tc>
      </w:tr>
      <w:tr w:rsidR="00EE7DA4">
        <w:tblPrEx>
          <w:tblCellMar>
            <w:top w:w="0" w:type="dxa"/>
            <w:bottom w:w="0" w:type="dxa"/>
          </w:tblCellMar>
        </w:tblPrEx>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利息支出</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r>
      <w:tr w:rsidR="00EE7DA4">
        <w:tblPrEx>
          <w:tblCellMar>
            <w:top w:w="0" w:type="dxa"/>
            <w:bottom w:w="0" w:type="dxa"/>
          </w:tblCellMar>
        </w:tblPrEx>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手续费及佣金支出</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r>
      <w:tr w:rsidR="00EE7DA4">
        <w:tblPrEx>
          <w:tblCellMar>
            <w:top w:w="0" w:type="dxa"/>
            <w:bottom w:w="0" w:type="dxa"/>
          </w:tblCellMar>
        </w:tblPrEx>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退保金</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r>
      <w:tr w:rsidR="00EE7DA4">
        <w:tblPrEx>
          <w:tblCellMar>
            <w:top w:w="0" w:type="dxa"/>
            <w:bottom w:w="0" w:type="dxa"/>
          </w:tblCellMar>
        </w:tblPrEx>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赔付支出净额</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r>
      <w:tr w:rsidR="00EE7DA4">
        <w:tblPrEx>
          <w:tblCellMar>
            <w:top w:w="0" w:type="dxa"/>
            <w:bottom w:w="0" w:type="dxa"/>
          </w:tblCellMar>
        </w:tblPrEx>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提取保险责任准备金净额</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r>
      <w:tr w:rsidR="00EE7DA4">
        <w:tblPrEx>
          <w:tblCellMar>
            <w:top w:w="0" w:type="dxa"/>
            <w:bottom w:w="0" w:type="dxa"/>
          </w:tblCellMar>
        </w:tblPrEx>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保单红利支出</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r>
      <w:tr w:rsidR="00EE7DA4">
        <w:tblPrEx>
          <w:tblCellMar>
            <w:top w:w="0" w:type="dxa"/>
            <w:bottom w:w="0" w:type="dxa"/>
          </w:tblCellMar>
        </w:tblPrEx>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分保费用</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r>
      <w:tr w:rsidR="00EE7DA4">
        <w:tblPrEx>
          <w:tblCellMar>
            <w:top w:w="0" w:type="dxa"/>
            <w:bottom w:w="0" w:type="dxa"/>
          </w:tblCellMar>
        </w:tblPrEx>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税金及附加</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16,426,902.58</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19,527,597.71</w:t>
            </w:r>
          </w:p>
        </w:tc>
      </w:tr>
      <w:tr w:rsidR="00EE7DA4">
        <w:tblPrEx>
          <w:tblCellMar>
            <w:top w:w="0" w:type="dxa"/>
            <w:bottom w:w="0" w:type="dxa"/>
          </w:tblCellMar>
        </w:tblPrEx>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销售费用</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32,155,535.93</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55,666,004.02</w:t>
            </w:r>
          </w:p>
        </w:tc>
      </w:tr>
      <w:tr w:rsidR="00EE7DA4">
        <w:tblPrEx>
          <w:tblCellMar>
            <w:top w:w="0" w:type="dxa"/>
            <w:bottom w:w="0" w:type="dxa"/>
          </w:tblCellMar>
        </w:tblPrEx>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管理费用</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78,369,439.69</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103,178,247.89</w:t>
            </w:r>
          </w:p>
        </w:tc>
      </w:tr>
      <w:tr w:rsidR="00EE7DA4">
        <w:tblPrEx>
          <w:tblCellMar>
            <w:top w:w="0" w:type="dxa"/>
            <w:bottom w:w="0" w:type="dxa"/>
          </w:tblCellMar>
        </w:tblPrEx>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研发费用</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22,725,228.36</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17,033,582.96</w:t>
            </w:r>
          </w:p>
        </w:tc>
      </w:tr>
      <w:tr w:rsidR="00EE7DA4">
        <w:tblPrEx>
          <w:tblCellMar>
            <w:top w:w="0" w:type="dxa"/>
            <w:bottom w:w="0" w:type="dxa"/>
          </w:tblCellMar>
        </w:tblPrEx>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财务费用</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61,331,889.51</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94,110,134.75</w:t>
            </w:r>
          </w:p>
        </w:tc>
      </w:tr>
      <w:tr w:rsidR="00EE7DA4">
        <w:tblPrEx>
          <w:tblCellMar>
            <w:top w:w="0" w:type="dxa"/>
            <w:bottom w:w="0" w:type="dxa"/>
          </w:tblCellMar>
        </w:tblPrEx>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其中：利息费用</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86,305,038.31</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75,084,126.67</w:t>
            </w:r>
          </w:p>
        </w:tc>
      </w:tr>
      <w:tr w:rsidR="00EE7DA4">
        <w:tblPrEx>
          <w:tblCellMar>
            <w:top w:w="0" w:type="dxa"/>
            <w:bottom w:w="0" w:type="dxa"/>
          </w:tblCellMar>
        </w:tblPrEx>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利息收入</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5,275,795.61</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-2,358,314.21</w:t>
            </w:r>
          </w:p>
        </w:tc>
      </w:tr>
      <w:tr w:rsidR="00EE7DA4">
        <w:tblPrEx>
          <w:tblCellMar>
            <w:top w:w="0" w:type="dxa"/>
            <w:bottom w:w="0" w:type="dxa"/>
          </w:tblCellMar>
        </w:tblPrEx>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加：其他收益</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9,097,302.03</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65,618,661.25</w:t>
            </w:r>
          </w:p>
        </w:tc>
      </w:tr>
      <w:tr w:rsidR="00EE7DA4">
        <w:tblPrEx>
          <w:tblCellMar>
            <w:top w:w="0" w:type="dxa"/>
            <w:bottom w:w="0" w:type="dxa"/>
          </w:tblCellMar>
        </w:tblPrEx>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投资收益（损失以</w:t>
            </w:r>
            <w:r>
              <w:rPr>
                <w:szCs w:val="24"/>
              </w:rPr>
              <w:t>“</w:t>
            </w:r>
            <w:r>
              <w:rPr>
                <w:rFonts w:hint="eastAsia"/>
                <w:szCs w:val="24"/>
              </w:rPr>
              <w:t>－</w:t>
            </w:r>
            <w:r>
              <w:rPr>
                <w:szCs w:val="24"/>
              </w:rPr>
              <w:t>”</w:t>
            </w:r>
            <w:r>
              <w:rPr>
                <w:rFonts w:hint="eastAsia"/>
                <w:szCs w:val="24"/>
              </w:rPr>
              <w:t>号填列）</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36,048,452.17</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30,927,337.89</w:t>
            </w:r>
          </w:p>
        </w:tc>
      </w:tr>
      <w:tr w:rsidR="00EE7DA4">
        <w:tblPrEx>
          <w:tblCellMar>
            <w:top w:w="0" w:type="dxa"/>
            <w:bottom w:w="0" w:type="dxa"/>
          </w:tblCellMar>
        </w:tblPrEx>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其中：对联营企业和合营企业的投资收益</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r>
      <w:tr w:rsidR="00EE7DA4">
        <w:tblPrEx>
          <w:tblCellMar>
            <w:top w:w="0" w:type="dxa"/>
            <w:bottom w:w="0" w:type="dxa"/>
          </w:tblCellMar>
        </w:tblPrEx>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以摊余成本计量的金融资产终止确认收益</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r>
      <w:tr w:rsidR="00EE7DA4">
        <w:tblPrEx>
          <w:tblCellMar>
            <w:top w:w="0" w:type="dxa"/>
            <w:bottom w:w="0" w:type="dxa"/>
          </w:tblCellMar>
        </w:tblPrEx>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汇兑收益（损失以</w:t>
            </w:r>
            <w:r>
              <w:rPr>
                <w:szCs w:val="24"/>
              </w:rPr>
              <w:t>“-”</w:t>
            </w:r>
            <w:r>
              <w:rPr>
                <w:rFonts w:hint="eastAsia"/>
                <w:szCs w:val="24"/>
              </w:rPr>
              <w:t>号填列）</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r>
      <w:tr w:rsidR="00EE7DA4">
        <w:tblPrEx>
          <w:tblCellMar>
            <w:top w:w="0" w:type="dxa"/>
            <w:bottom w:w="0" w:type="dxa"/>
          </w:tblCellMar>
        </w:tblPrEx>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净敞口套期收益（损失以</w:t>
            </w:r>
            <w:r>
              <w:rPr>
                <w:szCs w:val="24"/>
              </w:rPr>
              <w:t>“</w:t>
            </w:r>
            <w:r>
              <w:rPr>
                <w:rFonts w:hint="eastAsia"/>
                <w:szCs w:val="24"/>
              </w:rPr>
              <w:t>－</w:t>
            </w:r>
            <w:r>
              <w:rPr>
                <w:szCs w:val="24"/>
              </w:rPr>
              <w:t>”</w:t>
            </w:r>
            <w:r>
              <w:rPr>
                <w:rFonts w:hint="eastAsia"/>
                <w:szCs w:val="24"/>
              </w:rPr>
              <w:t>号填列）</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r>
      <w:tr w:rsidR="00EE7DA4">
        <w:tblPrEx>
          <w:tblCellMar>
            <w:top w:w="0" w:type="dxa"/>
            <w:bottom w:w="0" w:type="dxa"/>
          </w:tblCellMar>
        </w:tblPrEx>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公允价值变动收益（损失以</w:t>
            </w:r>
            <w:r>
              <w:rPr>
                <w:szCs w:val="24"/>
              </w:rPr>
              <w:t>“</w:t>
            </w:r>
            <w:r>
              <w:rPr>
                <w:rFonts w:hint="eastAsia"/>
                <w:szCs w:val="24"/>
              </w:rPr>
              <w:t>－</w:t>
            </w:r>
            <w:r>
              <w:rPr>
                <w:szCs w:val="24"/>
              </w:rPr>
              <w:t>”</w:t>
            </w:r>
            <w:r>
              <w:rPr>
                <w:rFonts w:hint="eastAsia"/>
                <w:szCs w:val="24"/>
              </w:rPr>
              <w:t>号填列）</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3,748,209.67</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7,503,945.00</w:t>
            </w:r>
          </w:p>
        </w:tc>
      </w:tr>
      <w:tr w:rsidR="00EE7DA4">
        <w:tblPrEx>
          <w:tblCellMar>
            <w:top w:w="0" w:type="dxa"/>
            <w:bottom w:w="0" w:type="dxa"/>
          </w:tblCellMar>
        </w:tblPrEx>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信用减值损失（损失以</w:t>
            </w:r>
            <w:r>
              <w:rPr>
                <w:szCs w:val="24"/>
              </w:rPr>
              <w:t>“-”</w:t>
            </w:r>
            <w:r>
              <w:rPr>
                <w:rFonts w:hint="eastAsia"/>
                <w:szCs w:val="24"/>
              </w:rPr>
              <w:t>号填列）</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-5,060,923.73</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r>
      <w:tr w:rsidR="00EE7DA4">
        <w:tblPrEx>
          <w:tblCellMar>
            <w:top w:w="0" w:type="dxa"/>
            <w:bottom w:w="0" w:type="dxa"/>
          </w:tblCellMar>
        </w:tblPrEx>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资产减值损失（损失以</w:t>
            </w:r>
            <w:r>
              <w:rPr>
                <w:szCs w:val="24"/>
              </w:rPr>
              <w:t>“-”</w:t>
            </w:r>
            <w:r>
              <w:rPr>
                <w:rFonts w:hint="eastAsia"/>
                <w:szCs w:val="24"/>
              </w:rPr>
              <w:t>号填列）</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-397,309.21</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1,574,058.90</w:t>
            </w:r>
          </w:p>
        </w:tc>
      </w:tr>
      <w:tr w:rsidR="00EE7DA4">
        <w:tblPrEx>
          <w:tblCellMar>
            <w:top w:w="0" w:type="dxa"/>
            <w:bottom w:w="0" w:type="dxa"/>
          </w:tblCellMar>
        </w:tblPrEx>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资产处置收益（损失以</w:t>
            </w:r>
            <w:r>
              <w:rPr>
                <w:szCs w:val="24"/>
              </w:rPr>
              <w:t>“-”</w:t>
            </w:r>
            <w:r>
              <w:rPr>
                <w:rFonts w:hint="eastAsia"/>
                <w:szCs w:val="24"/>
              </w:rPr>
              <w:t>号填列）</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93,385.31</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-371,454.02</w:t>
            </w:r>
          </w:p>
        </w:tc>
      </w:tr>
      <w:tr w:rsidR="00EE7DA4">
        <w:tblPrEx>
          <w:tblCellMar>
            <w:top w:w="0" w:type="dxa"/>
            <w:bottom w:w="0" w:type="dxa"/>
          </w:tblCellMar>
        </w:tblPrEx>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lastRenderedPageBreak/>
              <w:t>三、营业利润（亏损以</w:t>
            </w:r>
            <w:r>
              <w:rPr>
                <w:szCs w:val="24"/>
              </w:rPr>
              <w:t>“</w:t>
            </w:r>
            <w:r>
              <w:rPr>
                <w:rFonts w:hint="eastAsia"/>
                <w:szCs w:val="24"/>
              </w:rPr>
              <w:t>－</w:t>
            </w:r>
            <w:r>
              <w:rPr>
                <w:szCs w:val="24"/>
              </w:rPr>
              <w:t>”</w:t>
            </w:r>
            <w:r>
              <w:rPr>
                <w:rFonts w:hint="eastAsia"/>
                <w:szCs w:val="24"/>
              </w:rPr>
              <w:t>号填列）</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-30,481,083.97</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195,294,492.08</w:t>
            </w:r>
          </w:p>
        </w:tc>
      </w:tr>
      <w:tr w:rsidR="00EE7DA4">
        <w:tblPrEx>
          <w:tblCellMar>
            <w:top w:w="0" w:type="dxa"/>
            <w:bottom w:w="0" w:type="dxa"/>
          </w:tblCellMar>
        </w:tblPrEx>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加：营业外收入</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4,882,746.02</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1,416,166.03</w:t>
            </w:r>
          </w:p>
        </w:tc>
      </w:tr>
      <w:tr w:rsidR="00EE7DA4">
        <w:tblPrEx>
          <w:tblCellMar>
            <w:top w:w="0" w:type="dxa"/>
            <w:bottom w:w="0" w:type="dxa"/>
          </w:tblCellMar>
        </w:tblPrEx>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减：营业外支出</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579,295.60</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390,229.10</w:t>
            </w:r>
          </w:p>
        </w:tc>
      </w:tr>
      <w:tr w:rsidR="00EE7DA4">
        <w:tblPrEx>
          <w:tblCellMar>
            <w:top w:w="0" w:type="dxa"/>
            <w:bottom w:w="0" w:type="dxa"/>
          </w:tblCellMar>
        </w:tblPrEx>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四、利润总额（亏损总额以</w:t>
            </w:r>
            <w:r>
              <w:rPr>
                <w:szCs w:val="24"/>
              </w:rPr>
              <w:t>“</w:t>
            </w:r>
            <w:r>
              <w:rPr>
                <w:rFonts w:hint="eastAsia"/>
                <w:szCs w:val="24"/>
              </w:rPr>
              <w:t>－</w:t>
            </w:r>
            <w:r>
              <w:rPr>
                <w:szCs w:val="24"/>
              </w:rPr>
              <w:t>”</w:t>
            </w:r>
            <w:r>
              <w:rPr>
                <w:rFonts w:hint="eastAsia"/>
                <w:szCs w:val="24"/>
              </w:rPr>
              <w:t>号填列）</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-26,177,633.55</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196,320,429.01</w:t>
            </w:r>
          </w:p>
        </w:tc>
      </w:tr>
      <w:tr w:rsidR="00EE7DA4">
        <w:tblPrEx>
          <w:tblCellMar>
            <w:top w:w="0" w:type="dxa"/>
            <w:bottom w:w="0" w:type="dxa"/>
          </w:tblCellMar>
        </w:tblPrEx>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减：所得税费用</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7,945,898.33</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13,382,944.56</w:t>
            </w:r>
          </w:p>
        </w:tc>
      </w:tr>
      <w:tr w:rsidR="00EE7DA4">
        <w:tblPrEx>
          <w:tblCellMar>
            <w:top w:w="0" w:type="dxa"/>
            <w:bottom w:w="0" w:type="dxa"/>
          </w:tblCellMar>
        </w:tblPrEx>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五、净利润（净亏损以</w:t>
            </w:r>
            <w:r>
              <w:rPr>
                <w:szCs w:val="24"/>
              </w:rPr>
              <w:t>“</w:t>
            </w:r>
            <w:r>
              <w:rPr>
                <w:rFonts w:hint="eastAsia"/>
                <w:szCs w:val="24"/>
              </w:rPr>
              <w:t>－</w:t>
            </w:r>
            <w:r>
              <w:rPr>
                <w:szCs w:val="24"/>
              </w:rPr>
              <w:t>”</w:t>
            </w:r>
            <w:r>
              <w:rPr>
                <w:rFonts w:hint="eastAsia"/>
                <w:szCs w:val="24"/>
              </w:rPr>
              <w:t>号填列）</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-34,123,531.88</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182,937,484.45</w:t>
            </w:r>
          </w:p>
        </w:tc>
      </w:tr>
      <w:tr w:rsidR="00EE7DA4">
        <w:tblPrEx>
          <w:tblCellMar>
            <w:top w:w="0" w:type="dxa"/>
            <w:bottom w:w="0" w:type="dxa"/>
          </w:tblCellMar>
        </w:tblPrEx>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（一）按经营持续性分类</w:t>
            </w:r>
          </w:p>
        </w:tc>
        <w:tc>
          <w:tcPr>
            <w:tcW w:w="3210"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p>
        </w:tc>
      </w:tr>
      <w:tr w:rsidR="00EE7DA4">
        <w:tblPrEx>
          <w:tblCellMar>
            <w:top w:w="0" w:type="dxa"/>
            <w:bottom w:w="0" w:type="dxa"/>
          </w:tblCellMar>
        </w:tblPrEx>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w:t>
            </w:r>
            <w:r>
              <w:rPr>
                <w:szCs w:val="24"/>
              </w:rPr>
              <w:t>1.</w:t>
            </w:r>
            <w:r>
              <w:rPr>
                <w:rFonts w:hint="eastAsia"/>
                <w:szCs w:val="24"/>
              </w:rPr>
              <w:t>持续经营净利润（净亏损以</w:t>
            </w:r>
            <w:r>
              <w:rPr>
                <w:szCs w:val="24"/>
              </w:rPr>
              <w:t>“</w:t>
            </w:r>
            <w:r>
              <w:rPr>
                <w:rFonts w:hint="eastAsia"/>
                <w:szCs w:val="24"/>
              </w:rPr>
              <w:t>－</w:t>
            </w:r>
            <w:r>
              <w:rPr>
                <w:szCs w:val="24"/>
              </w:rPr>
              <w:t>”</w:t>
            </w:r>
            <w:r>
              <w:rPr>
                <w:rFonts w:hint="eastAsia"/>
                <w:szCs w:val="24"/>
              </w:rPr>
              <w:t>号填列）</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-34,123,531.88</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182,937,484.45</w:t>
            </w:r>
          </w:p>
        </w:tc>
      </w:tr>
      <w:tr w:rsidR="00EE7DA4">
        <w:tblPrEx>
          <w:tblCellMar>
            <w:top w:w="0" w:type="dxa"/>
            <w:bottom w:w="0" w:type="dxa"/>
          </w:tblCellMar>
        </w:tblPrEx>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w:t>
            </w:r>
            <w:r>
              <w:rPr>
                <w:szCs w:val="24"/>
              </w:rPr>
              <w:t>2.</w:t>
            </w:r>
            <w:r>
              <w:rPr>
                <w:rFonts w:hint="eastAsia"/>
                <w:szCs w:val="24"/>
              </w:rPr>
              <w:t>终止经营净利润（净亏损以</w:t>
            </w:r>
            <w:r>
              <w:rPr>
                <w:szCs w:val="24"/>
              </w:rPr>
              <w:t>“</w:t>
            </w:r>
            <w:r>
              <w:rPr>
                <w:rFonts w:hint="eastAsia"/>
                <w:szCs w:val="24"/>
              </w:rPr>
              <w:t>－</w:t>
            </w:r>
            <w:r>
              <w:rPr>
                <w:szCs w:val="24"/>
              </w:rPr>
              <w:t>”</w:t>
            </w:r>
            <w:r>
              <w:rPr>
                <w:rFonts w:hint="eastAsia"/>
                <w:szCs w:val="24"/>
              </w:rPr>
              <w:t>号填列）</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r>
      <w:tr w:rsidR="00EE7DA4">
        <w:tblPrEx>
          <w:tblCellMar>
            <w:top w:w="0" w:type="dxa"/>
            <w:bottom w:w="0" w:type="dxa"/>
          </w:tblCellMar>
        </w:tblPrEx>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（二）按所有权归属分类</w:t>
            </w:r>
          </w:p>
        </w:tc>
        <w:tc>
          <w:tcPr>
            <w:tcW w:w="3210"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p>
        </w:tc>
      </w:tr>
      <w:tr w:rsidR="00EE7DA4">
        <w:tblPrEx>
          <w:tblCellMar>
            <w:top w:w="0" w:type="dxa"/>
            <w:bottom w:w="0" w:type="dxa"/>
          </w:tblCellMar>
        </w:tblPrEx>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w:t>
            </w:r>
            <w:r>
              <w:rPr>
                <w:szCs w:val="24"/>
              </w:rPr>
              <w:t>1.</w:t>
            </w:r>
            <w:r>
              <w:rPr>
                <w:rFonts w:hint="eastAsia"/>
                <w:szCs w:val="24"/>
              </w:rPr>
              <w:t>归属于母公司所有者的净利润</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-30,441,948.56</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172,109,185.23</w:t>
            </w:r>
          </w:p>
        </w:tc>
      </w:tr>
      <w:tr w:rsidR="00EE7DA4">
        <w:tblPrEx>
          <w:tblCellMar>
            <w:top w:w="0" w:type="dxa"/>
            <w:bottom w:w="0" w:type="dxa"/>
          </w:tblCellMar>
        </w:tblPrEx>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w:t>
            </w:r>
            <w:r>
              <w:rPr>
                <w:szCs w:val="24"/>
              </w:rPr>
              <w:t>2.</w:t>
            </w:r>
            <w:r>
              <w:rPr>
                <w:rFonts w:hint="eastAsia"/>
                <w:szCs w:val="24"/>
              </w:rPr>
              <w:t>少数股东损益</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-3,681,583.32</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10,828,299.22</w:t>
            </w:r>
          </w:p>
        </w:tc>
      </w:tr>
      <w:tr w:rsidR="00EE7DA4">
        <w:tblPrEx>
          <w:tblCellMar>
            <w:top w:w="0" w:type="dxa"/>
            <w:bottom w:w="0" w:type="dxa"/>
          </w:tblCellMar>
        </w:tblPrEx>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六、其他综合收益的税后净额</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-55,806,081.52</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-44,568,362.78</w:t>
            </w:r>
          </w:p>
        </w:tc>
      </w:tr>
      <w:tr w:rsidR="00EE7DA4">
        <w:tblPrEx>
          <w:tblCellMar>
            <w:top w:w="0" w:type="dxa"/>
            <w:bottom w:w="0" w:type="dxa"/>
          </w:tblCellMar>
        </w:tblPrEx>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归属母公司所有者的其他综合收益的税后净额</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-55,806,081.52</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-44,568,362.78</w:t>
            </w:r>
          </w:p>
        </w:tc>
      </w:tr>
      <w:tr w:rsidR="00EE7DA4">
        <w:tblPrEx>
          <w:tblCellMar>
            <w:top w:w="0" w:type="dxa"/>
            <w:bottom w:w="0" w:type="dxa"/>
          </w:tblCellMar>
        </w:tblPrEx>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（一）不能重分类进损益的其他综合收益</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-671,375.30</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3,954,724.53</w:t>
            </w:r>
          </w:p>
        </w:tc>
      </w:tr>
      <w:tr w:rsidR="00EE7DA4">
        <w:tblPrEx>
          <w:tblCellMar>
            <w:top w:w="0" w:type="dxa"/>
            <w:bottom w:w="0" w:type="dxa"/>
          </w:tblCellMar>
        </w:tblPrEx>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w:t>
            </w:r>
            <w:r>
              <w:rPr>
                <w:szCs w:val="24"/>
              </w:rPr>
              <w:t>1.</w:t>
            </w:r>
            <w:r>
              <w:rPr>
                <w:rFonts w:hint="eastAsia"/>
                <w:szCs w:val="24"/>
              </w:rPr>
              <w:t>重新计量设定受益计划变动额</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r>
      <w:tr w:rsidR="00EE7DA4">
        <w:tblPrEx>
          <w:tblCellMar>
            <w:top w:w="0" w:type="dxa"/>
            <w:bottom w:w="0" w:type="dxa"/>
          </w:tblCellMar>
        </w:tblPrEx>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w:t>
            </w:r>
            <w:r>
              <w:rPr>
                <w:szCs w:val="24"/>
              </w:rPr>
              <w:t>2.</w:t>
            </w:r>
            <w:r>
              <w:rPr>
                <w:rFonts w:hint="eastAsia"/>
                <w:szCs w:val="24"/>
              </w:rPr>
              <w:t>权益法下不能转损益的其他综合收益</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r>
      <w:tr w:rsidR="00EE7DA4">
        <w:tblPrEx>
          <w:tblCellMar>
            <w:top w:w="0" w:type="dxa"/>
            <w:bottom w:w="0" w:type="dxa"/>
          </w:tblCellMar>
        </w:tblPrEx>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w:t>
            </w:r>
            <w:r>
              <w:rPr>
                <w:szCs w:val="24"/>
              </w:rPr>
              <w:t>3.</w:t>
            </w:r>
            <w:r>
              <w:rPr>
                <w:rFonts w:hint="eastAsia"/>
                <w:szCs w:val="24"/>
              </w:rPr>
              <w:t>其他权益工具投资公允价值变动</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-671,375.30</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3,954,724.53</w:t>
            </w:r>
          </w:p>
        </w:tc>
      </w:tr>
      <w:tr w:rsidR="00EE7DA4">
        <w:tblPrEx>
          <w:tblCellMar>
            <w:top w:w="0" w:type="dxa"/>
            <w:bottom w:w="0" w:type="dxa"/>
          </w:tblCellMar>
        </w:tblPrEx>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w:t>
            </w:r>
            <w:r>
              <w:rPr>
                <w:szCs w:val="24"/>
              </w:rPr>
              <w:t>4.</w:t>
            </w:r>
            <w:r>
              <w:rPr>
                <w:rFonts w:hint="eastAsia"/>
                <w:szCs w:val="24"/>
              </w:rPr>
              <w:t>企业自身信用风险公允价值变动</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r>
      <w:tr w:rsidR="00EE7DA4">
        <w:tblPrEx>
          <w:tblCellMar>
            <w:top w:w="0" w:type="dxa"/>
            <w:bottom w:w="0" w:type="dxa"/>
          </w:tblCellMar>
        </w:tblPrEx>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w:t>
            </w:r>
            <w:r>
              <w:rPr>
                <w:szCs w:val="24"/>
              </w:rPr>
              <w:t>5.</w:t>
            </w:r>
            <w:r>
              <w:rPr>
                <w:rFonts w:hint="eastAsia"/>
                <w:szCs w:val="24"/>
              </w:rPr>
              <w:t>其他</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r>
      <w:tr w:rsidR="00EE7DA4">
        <w:tblPrEx>
          <w:tblCellMar>
            <w:top w:w="0" w:type="dxa"/>
            <w:bottom w:w="0" w:type="dxa"/>
          </w:tblCellMar>
        </w:tblPrEx>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（二）将重分类进损益的其他综合收益</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-55,134,706.22</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-48,523,087.31</w:t>
            </w:r>
          </w:p>
        </w:tc>
      </w:tr>
      <w:tr w:rsidR="00EE7DA4">
        <w:tblPrEx>
          <w:tblCellMar>
            <w:top w:w="0" w:type="dxa"/>
            <w:bottom w:w="0" w:type="dxa"/>
          </w:tblCellMar>
        </w:tblPrEx>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w:t>
            </w:r>
            <w:r>
              <w:rPr>
                <w:szCs w:val="24"/>
              </w:rPr>
              <w:t>1.</w:t>
            </w:r>
            <w:r>
              <w:rPr>
                <w:rFonts w:hint="eastAsia"/>
                <w:szCs w:val="24"/>
              </w:rPr>
              <w:t>权益法下可转损益的其他综合收益</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r>
      <w:tr w:rsidR="00EE7DA4">
        <w:tblPrEx>
          <w:tblCellMar>
            <w:top w:w="0" w:type="dxa"/>
            <w:bottom w:w="0" w:type="dxa"/>
          </w:tblCellMar>
        </w:tblPrEx>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w:t>
            </w:r>
            <w:r>
              <w:rPr>
                <w:szCs w:val="24"/>
              </w:rPr>
              <w:t>2.</w:t>
            </w:r>
            <w:r>
              <w:rPr>
                <w:rFonts w:hint="eastAsia"/>
                <w:szCs w:val="24"/>
              </w:rPr>
              <w:t>其他债权投资公允价值变动</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r>
      <w:tr w:rsidR="00EE7DA4">
        <w:tblPrEx>
          <w:tblCellMar>
            <w:top w:w="0" w:type="dxa"/>
            <w:bottom w:w="0" w:type="dxa"/>
          </w:tblCellMar>
        </w:tblPrEx>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w:t>
            </w:r>
            <w:r>
              <w:rPr>
                <w:szCs w:val="24"/>
              </w:rPr>
              <w:t>3.</w:t>
            </w:r>
            <w:r>
              <w:rPr>
                <w:rFonts w:hint="eastAsia"/>
                <w:szCs w:val="24"/>
              </w:rPr>
              <w:t>金融资产重分类计入其他综合收益的金额</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r>
      <w:tr w:rsidR="00EE7DA4">
        <w:tblPrEx>
          <w:tblCellMar>
            <w:top w:w="0" w:type="dxa"/>
            <w:bottom w:w="0" w:type="dxa"/>
          </w:tblCellMar>
        </w:tblPrEx>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w:t>
            </w:r>
            <w:r>
              <w:rPr>
                <w:szCs w:val="24"/>
              </w:rPr>
              <w:t>4.</w:t>
            </w:r>
            <w:r>
              <w:rPr>
                <w:rFonts w:hint="eastAsia"/>
                <w:szCs w:val="24"/>
              </w:rPr>
              <w:t>其他债权投资信用减值准</w:t>
            </w:r>
            <w:r>
              <w:rPr>
                <w:rFonts w:hint="eastAsia"/>
                <w:szCs w:val="24"/>
              </w:rPr>
              <w:lastRenderedPageBreak/>
              <w:t>备</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r>
      <w:tr w:rsidR="00EE7DA4">
        <w:tblPrEx>
          <w:tblCellMar>
            <w:top w:w="0" w:type="dxa"/>
            <w:bottom w:w="0" w:type="dxa"/>
          </w:tblCellMar>
        </w:tblPrEx>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lastRenderedPageBreak/>
              <w:t xml:space="preserve">　　　　　</w:t>
            </w:r>
            <w:r>
              <w:rPr>
                <w:szCs w:val="24"/>
              </w:rPr>
              <w:t>5.</w:t>
            </w:r>
            <w:r>
              <w:rPr>
                <w:rFonts w:hint="eastAsia"/>
                <w:szCs w:val="24"/>
              </w:rPr>
              <w:t>现金流量套期储备</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r>
      <w:tr w:rsidR="00EE7DA4">
        <w:tblPrEx>
          <w:tblCellMar>
            <w:top w:w="0" w:type="dxa"/>
            <w:bottom w:w="0" w:type="dxa"/>
          </w:tblCellMar>
        </w:tblPrEx>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w:t>
            </w:r>
            <w:r>
              <w:rPr>
                <w:szCs w:val="24"/>
              </w:rPr>
              <w:t>6.</w:t>
            </w:r>
            <w:r>
              <w:rPr>
                <w:rFonts w:hint="eastAsia"/>
                <w:szCs w:val="24"/>
              </w:rPr>
              <w:t>外币财务报表折算差额</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-55,134,706.22</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-48,523,087.31</w:t>
            </w:r>
          </w:p>
        </w:tc>
      </w:tr>
      <w:tr w:rsidR="00EE7DA4">
        <w:tblPrEx>
          <w:tblCellMar>
            <w:top w:w="0" w:type="dxa"/>
            <w:bottom w:w="0" w:type="dxa"/>
          </w:tblCellMar>
        </w:tblPrEx>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w:t>
            </w:r>
            <w:r>
              <w:rPr>
                <w:szCs w:val="24"/>
              </w:rPr>
              <w:t>7.</w:t>
            </w:r>
            <w:r>
              <w:rPr>
                <w:rFonts w:hint="eastAsia"/>
                <w:szCs w:val="24"/>
              </w:rPr>
              <w:t>其他</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r>
      <w:tr w:rsidR="00EE7DA4">
        <w:tblPrEx>
          <w:tblCellMar>
            <w:top w:w="0" w:type="dxa"/>
            <w:bottom w:w="0" w:type="dxa"/>
          </w:tblCellMar>
        </w:tblPrEx>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归属于少数股东的其他综合收益的税后净额</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r>
      <w:tr w:rsidR="00EE7DA4">
        <w:tblPrEx>
          <w:tblCellMar>
            <w:top w:w="0" w:type="dxa"/>
            <w:bottom w:w="0" w:type="dxa"/>
          </w:tblCellMar>
        </w:tblPrEx>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七、综合收益总额</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-89,929,613.40</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138,369,121.67</w:t>
            </w:r>
          </w:p>
        </w:tc>
      </w:tr>
      <w:tr w:rsidR="00EE7DA4">
        <w:tblPrEx>
          <w:tblCellMar>
            <w:top w:w="0" w:type="dxa"/>
            <w:bottom w:w="0" w:type="dxa"/>
          </w:tblCellMar>
        </w:tblPrEx>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归属于母公司所有者的综合收益总额</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-86,248,030.08</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127,540,822.45</w:t>
            </w:r>
          </w:p>
        </w:tc>
      </w:tr>
      <w:tr w:rsidR="00EE7DA4">
        <w:tblPrEx>
          <w:tblCellMar>
            <w:top w:w="0" w:type="dxa"/>
            <w:bottom w:w="0" w:type="dxa"/>
          </w:tblCellMar>
        </w:tblPrEx>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归属于少数股东的综合收益总额</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-3,681,583.32</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10,828,299.22</w:t>
            </w:r>
          </w:p>
        </w:tc>
      </w:tr>
      <w:tr w:rsidR="00EE7DA4">
        <w:tblPrEx>
          <w:tblCellMar>
            <w:top w:w="0" w:type="dxa"/>
            <w:bottom w:w="0" w:type="dxa"/>
          </w:tblCellMar>
        </w:tblPrEx>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八、每股收益：</w:t>
            </w:r>
          </w:p>
        </w:tc>
        <w:tc>
          <w:tcPr>
            <w:tcW w:w="3210"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p>
        </w:tc>
      </w:tr>
      <w:tr w:rsidR="00EE7DA4">
        <w:tblPrEx>
          <w:tblCellMar>
            <w:top w:w="0" w:type="dxa"/>
            <w:bottom w:w="0" w:type="dxa"/>
          </w:tblCellMar>
        </w:tblPrEx>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（一）基本每股收益</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-0.02</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0.11</w:t>
            </w:r>
          </w:p>
        </w:tc>
      </w:tr>
      <w:tr w:rsidR="00EE7DA4">
        <w:tblPrEx>
          <w:tblCellMar>
            <w:top w:w="0" w:type="dxa"/>
            <w:bottom w:w="0" w:type="dxa"/>
          </w:tblCellMar>
        </w:tblPrEx>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（二）稀释每股收益</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-0.02</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0.11</w:t>
            </w:r>
          </w:p>
        </w:tc>
      </w:tr>
    </w:tbl>
    <w:p w:rsidR="00EE7DA4" w:rsidRDefault="00EE7DA4">
      <w:pPr>
        <w:jc w:val="left"/>
        <w:rPr>
          <w:szCs w:val="24"/>
        </w:rPr>
      </w:pPr>
      <w:r>
        <w:rPr>
          <w:rFonts w:hint="eastAsia"/>
          <w:szCs w:val="24"/>
        </w:rPr>
        <w:t>本期发生同一控制下企业合并的，被合并方在合并前实现的净利润为：</w:t>
      </w:r>
      <w:r>
        <w:rPr>
          <w:szCs w:val="24"/>
        </w:rPr>
        <w:t>0.00</w:t>
      </w:r>
      <w:r>
        <w:rPr>
          <w:rFonts w:hint="eastAsia"/>
          <w:szCs w:val="24"/>
        </w:rPr>
        <w:t>元，上期被合并方实现的净利润为：</w:t>
      </w:r>
      <w:r>
        <w:rPr>
          <w:szCs w:val="24"/>
        </w:rPr>
        <w:t>0.00</w:t>
      </w:r>
      <w:r>
        <w:rPr>
          <w:rFonts w:hint="eastAsia"/>
          <w:szCs w:val="24"/>
        </w:rPr>
        <w:t>元。</w:t>
      </w:r>
    </w:p>
    <w:p w:rsidR="00EE7DA4" w:rsidRDefault="00EE7DA4">
      <w:pPr>
        <w:spacing w:before="300"/>
        <w:rPr>
          <w:szCs w:val="24"/>
        </w:rPr>
      </w:pPr>
      <w:r>
        <w:rPr>
          <w:rFonts w:hint="eastAsia"/>
          <w:szCs w:val="24"/>
        </w:rPr>
        <w:t>法定代表人：孙伟挺</w:t>
      </w:r>
      <w:r>
        <w:rPr>
          <w:szCs w:val="24"/>
        </w:rPr>
        <w:t xml:space="preserve">                    </w:t>
      </w:r>
      <w:r>
        <w:rPr>
          <w:rFonts w:hint="eastAsia"/>
          <w:szCs w:val="24"/>
        </w:rPr>
        <w:t>主管会计工作负责人：陈玲芬</w:t>
      </w:r>
      <w:r>
        <w:rPr>
          <w:szCs w:val="24"/>
        </w:rPr>
        <w:t xml:space="preserve">                    </w:t>
      </w:r>
      <w:r>
        <w:rPr>
          <w:rFonts w:hint="eastAsia"/>
          <w:szCs w:val="24"/>
        </w:rPr>
        <w:t>会计机构负责人：王国友</w:t>
      </w:r>
    </w:p>
    <w:p w:rsidR="00EE7DA4" w:rsidRDefault="00EE7DA4">
      <w:pPr>
        <w:pStyle w:val="Section"/>
        <w:outlineLvl w:val="2"/>
        <w:rPr>
          <w:bCs w:val="0"/>
          <w:szCs w:val="24"/>
        </w:rPr>
      </w:pPr>
      <w:r>
        <w:rPr>
          <w:bCs w:val="0"/>
          <w:szCs w:val="24"/>
        </w:rPr>
        <w:t>4</w:t>
      </w:r>
      <w:r>
        <w:rPr>
          <w:rFonts w:hint="eastAsia"/>
          <w:bCs w:val="0"/>
          <w:szCs w:val="24"/>
        </w:rPr>
        <w:t>、母公司利润表</w:t>
      </w:r>
    </w:p>
    <w:p w:rsidR="00EE7DA4" w:rsidRDefault="00EE7DA4">
      <w:pPr>
        <w:jc w:val="right"/>
        <w:rPr>
          <w:szCs w:val="24"/>
        </w:rPr>
      </w:pPr>
      <w:r>
        <w:rPr>
          <w:rFonts w:hint="eastAsia"/>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2967"/>
        <w:gridCol w:w="3300"/>
        <w:gridCol w:w="3301"/>
      </w:tblGrid>
      <w:tr w:rsidR="00EE7DA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center"/>
              <w:rPr>
                <w:szCs w:val="24"/>
              </w:rPr>
            </w:pPr>
            <w:r>
              <w:rPr>
                <w:rFonts w:hint="eastAsia"/>
                <w:szCs w:val="24"/>
              </w:rPr>
              <w:t>项目</w:t>
            </w:r>
          </w:p>
        </w:tc>
        <w:tc>
          <w:tcPr>
            <w:tcW w:w="3300"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center"/>
              <w:rPr>
                <w:szCs w:val="24"/>
              </w:rPr>
            </w:pPr>
            <w:r>
              <w:rPr>
                <w:rFonts w:hint="eastAsia"/>
                <w:szCs w:val="24"/>
              </w:rPr>
              <w:t>本期发生额</w:t>
            </w: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center"/>
              <w:rPr>
                <w:szCs w:val="24"/>
              </w:rPr>
            </w:pPr>
            <w:r>
              <w:rPr>
                <w:rFonts w:hint="eastAsia"/>
                <w:szCs w:val="24"/>
              </w:rPr>
              <w:t>上期发生额</w:t>
            </w:r>
          </w:p>
        </w:tc>
      </w:tr>
      <w:tr w:rsidR="00EE7DA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一、营业收入</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188,598,716.26</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253,287,992.68</w:t>
            </w:r>
          </w:p>
        </w:tc>
      </w:tr>
      <w:tr w:rsidR="00EE7DA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减：营业成本</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173,348,379.26</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222,854,770.80</w:t>
            </w:r>
          </w:p>
        </w:tc>
      </w:tr>
      <w:tr w:rsidR="00EE7DA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税金及附加</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1,788,391.77</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2,889,441.09</w:t>
            </w:r>
          </w:p>
        </w:tc>
      </w:tr>
      <w:tr w:rsidR="00EE7DA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销售费用</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1,477,945.14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1,848,724.51</w:t>
            </w:r>
          </w:p>
        </w:tc>
      </w:tr>
      <w:tr w:rsidR="00EE7DA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管理费用</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5,370,190.07</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8,290,604.80</w:t>
            </w:r>
          </w:p>
        </w:tc>
      </w:tr>
      <w:tr w:rsidR="00EE7DA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研发费用</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9,193,347.66</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6,492,753.48</w:t>
            </w:r>
          </w:p>
        </w:tc>
      </w:tr>
      <w:tr w:rsidR="00EE7DA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财务费用</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5,567,299.86</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6,099,975.80</w:t>
            </w:r>
          </w:p>
        </w:tc>
      </w:tr>
      <w:tr w:rsidR="00EE7DA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其中：利息费用</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6,607,540.49</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4,306,658.68</w:t>
            </w:r>
          </w:p>
        </w:tc>
      </w:tr>
      <w:tr w:rsidR="00EE7DA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利息收入</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1,000,264.45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-184,936.68</w:t>
            </w:r>
          </w:p>
        </w:tc>
      </w:tr>
      <w:tr w:rsidR="00EE7DA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加：其他收益</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2,851,949.00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164,739.00</w:t>
            </w:r>
          </w:p>
        </w:tc>
      </w:tr>
      <w:tr w:rsidR="00EE7DA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投资收益（损失以</w:t>
            </w:r>
            <w:r>
              <w:rPr>
                <w:szCs w:val="24"/>
              </w:rPr>
              <w:t>“</w:t>
            </w:r>
            <w:r>
              <w:rPr>
                <w:rFonts w:hint="eastAsia"/>
                <w:szCs w:val="24"/>
              </w:rPr>
              <w:t>－</w:t>
            </w:r>
            <w:r>
              <w:rPr>
                <w:szCs w:val="24"/>
              </w:rPr>
              <w:t>”</w:t>
            </w:r>
            <w:r>
              <w:rPr>
                <w:rFonts w:hint="eastAsia"/>
                <w:szCs w:val="24"/>
              </w:rPr>
              <w:t>号填列）</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10,127,006.00</w:t>
            </w:r>
          </w:p>
        </w:tc>
      </w:tr>
      <w:tr w:rsidR="00EE7DA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其中：对联营企业和合营企业的投资收益</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r>
      <w:tr w:rsidR="00EE7DA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以摊余成本计量的金融资产终止确认收益（损失以</w:t>
            </w:r>
            <w:r>
              <w:rPr>
                <w:szCs w:val="24"/>
              </w:rPr>
              <w:t>“-”</w:t>
            </w:r>
            <w:r>
              <w:rPr>
                <w:rFonts w:hint="eastAsia"/>
                <w:szCs w:val="24"/>
              </w:rPr>
              <w:t>号填</w:t>
            </w:r>
            <w:r>
              <w:rPr>
                <w:rFonts w:hint="eastAsia"/>
                <w:szCs w:val="24"/>
              </w:rPr>
              <w:lastRenderedPageBreak/>
              <w:t>列）</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r>
      <w:tr w:rsidR="00EE7DA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lastRenderedPageBreak/>
              <w:t xml:space="preserve">　　　　净敞口套期收益（损失以</w:t>
            </w:r>
            <w:r>
              <w:rPr>
                <w:szCs w:val="24"/>
              </w:rPr>
              <w:t>“</w:t>
            </w:r>
            <w:r>
              <w:rPr>
                <w:rFonts w:hint="eastAsia"/>
                <w:szCs w:val="24"/>
              </w:rPr>
              <w:t>－</w:t>
            </w:r>
            <w:r>
              <w:rPr>
                <w:szCs w:val="24"/>
              </w:rPr>
              <w:t>”</w:t>
            </w:r>
            <w:r>
              <w:rPr>
                <w:rFonts w:hint="eastAsia"/>
                <w:szCs w:val="24"/>
              </w:rPr>
              <w:t>号填列）</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r>
      <w:tr w:rsidR="00EE7DA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公允价值变动收益（损失以</w:t>
            </w:r>
            <w:r>
              <w:rPr>
                <w:szCs w:val="24"/>
              </w:rPr>
              <w:t>“</w:t>
            </w:r>
            <w:r>
              <w:rPr>
                <w:rFonts w:hint="eastAsia"/>
                <w:szCs w:val="24"/>
              </w:rPr>
              <w:t>－</w:t>
            </w:r>
            <w:r>
              <w:rPr>
                <w:szCs w:val="24"/>
              </w:rPr>
              <w:t>”</w:t>
            </w:r>
            <w:r>
              <w:rPr>
                <w:rFonts w:hint="eastAsia"/>
                <w:szCs w:val="24"/>
              </w:rPr>
              <w:t>号填列）</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r>
      <w:tr w:rsidR="00EE7DA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信用减值损失（损失以</w:t>
            </w:r>
            <w:r>
              <w:rPr>
                <w:szCs w:val="24"/>
              </w:rPr>
              <w:t>“-”</w:t>
            </w:r>
            <w:r>
              <w:rPr>
                <w:rFonts w:hint="eastAsia"/>
                <w:szCs w:val="24"/>
              </w:rPr>
              <w:t>号填列）</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r>
      <w:tr w:rsidR="00EE7DA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资产减值损失（损失以</w:t>
            </w:r>
            <w:r>
              <w:rPr>
                <w:szCs w:val="24"/>
              </w:rPr>
              <w:t>“-”</w:t>
            </w:r>
            <w:r>
              <w:rPr>
                <w:rFonts w:hint="eastAsia"/>
                <w:szCs w:val="24"/>
              </w:rPr>
              <w:t>号填列）</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876.25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-6,335.96</w:t>
            </w:r>
          </w:p>
        </w:tc>
      </w:tr>
      <w:tr w:rsidR="00EE7DA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资产处置收益（损失以</w:t>
            </w:r>
            <w:r>
              <w:rPr>
                <w:szCs w:val="24"/>
              </w:rPr>
              <w:t>“-”</w:t>
            </w:r>
            <w:r>
              <w:rPr>
                <w:rFonts w:hint="eastAsia"/>
                <w:szCs w:val="24"/>
              </w:rPr>
              <w:t>号填列）</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r>
      <w:tr w:rsidR="00EE7DA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二、营业利润（亏损以</w:t>
            </w:r>
            <w:r>
              <w:rPr>
                <w:szCs w:val="24"/>
              </w:rPr>
              <w:t>“</w:t>
            </w:r>
            <w:r>
              <w:rPr>
                <w:rFonts w:hint="eastAsia"/>
                <w:szCs w:val="24"/>
              </w:rPr>
              <w:t>－</w:t>
            </w:r>
            <w:r>
              <w:rPr>
                <w:szCs w:val="24"/>
              </w:rPr>
              <w:t>”</w:t>
            </w:r>
            <w:r>
              <w:rPr>
                <w:rFonts w:hint="eastAsia"/>
                <w:szCs w:val="24"/>
              </w:rPr>
              <w:t>号填列）</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-5,294,012.25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15,097,131.24</w:t>
            </w:r>
          </w:p>
        </w:tc>
      </w:tr>
      <w:tr w:rsidR="00EE7DA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加：营业外收入</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360,278.64</w:t>
            </w:r>
          </w:p>
        </w:tc>
      </w:tr>
      <w:tr w:rsidR="00EE7DA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减：营业外支出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20,000.00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r>
      <w:tr w:rsidR="00EE7DA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三、利润总额（亏损总额以</w:t>
            </w:r>
            <w:r>
              <w:rPr>
                <w:szCs w:val="24"/>
              </w:rPr>
              <w:t>“</w:t>
            </w:r>
            <w:r>
              <w:rPr>
                <w:rFonts w:hint="eastAsia"/>
                <w:szCs w:val="24"/>
              </w:rPr>
              <w:t>－</w:t>
            </w:r>
            <w:r>
              <w:rPr>
                <w:szCs w:val="24"/>
              </w:rPr>
              <w:t>”</w:t>
            </w:r>
            <w:r>
              <w:rPr>
                <w:rFonts w:hint="eastAsia"/>
                <w:szCs w:val="24"/>
              </w:rPr>
              <w:t>号填列）</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-5,314,012.25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15,457,409.88</w:t>
            </w:r>
          </w:p>
        </w:tc>
      </w:tr>
      <w:tr w:rsidR="00EE7DA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减：所得税费用</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131.44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798,610.19</w:t>
            </w:r>
          </w:p>
        </w:tc>
      </w:tr>
      <w:tr w:rsidR="00EE7DA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四、净利润（净亏损以</w:t>
            </w:r>
            <w:r>
              <w:rPr>
                <w:szCs w:val="24"/>
              </w:rPr>
              <w:t>“</w:t>
            </w:r>
            <w:r>
              <w:rPr>
                <w:rFonts w:hint="eastAsia"/>
                <w:szCs w:val="24"/>
              </w:rPr>
              <w:t>－</w:t>
            </w:r>
            <w:r>
              <w:rPr>
                <w:szCs w:val="24"/>
              </w:rPr>
              <w:t>”</w:t>
            </w:r>
            <w:r>
              <w:rPr>
                <w:rFonts w:hint="eastAsia"/>
                <w:szCs w:val="24"/>
              </w:rPr>
              <w:t>号填列）</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-5,314,143.69</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14,658,799.69</w:t>
            </w:r>
          </w:p>
        </w:tc>
      </w:tr>
      <w:tr w:rsidR="00EE7DA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（一）持续经营净利润（净亏损以</w:t>
            </w:r>
            <w:r>
              <w:rPr>
                <w:szCs w:val="24"/>
              </w:rPr>
              <w:t>“</w:t>
            </w:r>
            <w:r>
              <w:rPr>
                <w:rFonts w:hint="eastAsia"/>
                <w:szCs w:val="24"/>
              </w:rPr>
              <w:t>－</w:t>
            </w:r>
            <w:r>
              <w:rPr>
                <w:szCs w:val="24"/>
              </w:rPr>
              <w:t>”</w:t>
            </w:r>
            <w:r>
              <w:rPr>
                <w:rFonts w:hint="eastAsia"/>
                <w:szCs w:val="24"/>
              </w:rPr>
              <w:t>号填列）</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-671,375.30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3,954,724.53</w:t>
            </w:r>
          </w:p>
        </w:tc>
      </w:tr>
      <w:tr w:rsidR="00EE7DA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（二）终止经营净利润（净亏损以</w:t>
            </w:r>
            <w:r>
              <w:rPr>
                <w:szCs w:val="24"/>
              </w:rPr>
              <w:t>“</w:t>
            </w:r>
            <w:r>
              <w:rPr>
                <w:rFonts w:hint="eastAsia"/>
                <w:szCs w:val="24"/>
              </w:rPr>
              <w:t>－</w:t>
            </w:r>
            <w:r>
              <w:rPr>
                <w:szCs w:val="24"/>
              </w:rPr>
              <w:t>”</w:t>
            </w:r>
            <w:r>
              <w:rPr>
                <w:rFonts w:hint="eastAsia"/>
                <w:szCs w:val="24"/>
              </w:rPr>
              <w:t>号填列）</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r>
      <w:tr w:rsidR="00EE7DA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五、其他综合收益的税后净额</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-671,375.30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3,954,724.53</w:t>
            </w:r>
          </w:p>
        </w:tc>
      </w:tr>
      <w:tr w:rsidR="00EE7DA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（一）不能重分类进损益的其他综合收益</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-671,375.30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3,954,724.53</w:t>
            </w:r>
          </w:p>
        </w:tc>
      </w:tr>
      <w:tr w:rsidR="00EE7DA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w:t>
            </w:r>
            <w:r>
              <w:rPr>
                <w:szCs w:val="24"/>
              </w:rPr>
              <w:t>1.</w:t>
            </w:r>
            <w:r>
              <w:rPr>
                <w:rFonts w:hint="eastAsia"/>
                <w:szCs w:val="24"/>
              </w:rPr>
              <w:t>重新计量设定受益计划变动额</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r>
      <w:tr w:rsidR="00EE7DA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w:t>
            </w:r>
            <w:r>
              <w:rPr>
                <w:szCs w:val="24"/>
              </w:rPr>
              <w:t>2.</w:t>
            </w:r>
            <w:r>
              <w:rPr>
                <w:rFonts w:hint="eastAsia"/>
                <w:szCs w:val="24"/>
              </w:rPr>
              <w:t>权益法下不能转损益的其他综合收益</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r>
      <w:tr w:rsidR="00EE7DA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w:t>
            </w:r>
            <w:r>
              <w:rPr>
                <w:szCs w:val="24"/>
              </w:rPr>
              <w:t>3.</w:t>
            </w:r>
            <w:r>
              <w:rPr>
                <w:rFonts w:hint="eastAsia"/>
                <w:szCs w:val="24"/>
              </w:rPr>
              <w:t>其他权益工具投资公允价值变动</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-671,375.30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3,954,724.53</w:t>
            </w:r>
          </w:p>
        </w:tc>
      </w:tr>
      <w:tr w:rsidR="00EE7DA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w:t>
            </w:r>
            <w:r>
              <w:rPr>
                <w:szCs w:val="24"/>
              </w:rPr>
              <w:t>4.</w:t>
            </w:r>
            <w:r>
              <w:rPr>
                <w:rFonts w:hint="eastAsia"/>
                <w:szCs w:val="24"/>
              </w:rPr>
              <w:t>企业自身信用风险公允价值变动</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r>
      <w:tr w:rsidR="00EE7DA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w:t>
            </w:r>
            <w:r>
              <w:rPr>
                <w:szCs w:val="24"/>
              </w:rPr>
              <w:t>5.</w:t>
            </w:r>
            <w:r>
              <w:rPr>
                <w:rFonts w:hint="eastAsia"/>
                <w:szCs w:val="24"/>
              </w:rPr>
              <w:t>其他</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r>
      <w:tr w:rsidR="00EE7DA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（二）将重分类进损益的其他综合收益</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r>
      <w:tr w:rsidR="00EE7DA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w:t>
            </w:r>
            <w:r>
              <w:rPr>
                <w:szCs w:val="24"/>
              </w:rPr>
              <w:t>1.</w:t>
            </w:r>
            <w:r>
              <w:rPr>
                <w:rFonts w:hint="eastAsia"/>
                <w:szCs w:val="24"/>
              </w:rPr>
              <w:t>权益法下可转损益的其他综合收益</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r>
      <w:tr w:rsidR="00EE7DA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lastRenderedPageBreak/>
              <w:t xml:space="preserve">　　　　　</w:t>
            </w:r>
            <w:r>
              <w:rPr>
                <w:szCs w:val="24"/>
              </w:rPr>
              <w:t>2.</w:t>
            </w:r>
            <w:r>
              <w:rPr>
                <w:rFonts w:hint="eastAsia"/>
                <w:szCs w:val="24"/>
              </w:rPr>
              <w:t>其他债权投资公允价值变动</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r>
      <w:tr w:rsidR="00EE7DA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w:t>
            </w:r>
            <w:r>
              <w:rPr>
                <w:szCs w:val="24"/>
              </w:rPr>
              <w:t>3.</w:t>
            </w:r>
            <w:r>
              <w:rPr>
                <w:rFonts w:hint="eastAsia"/>
                <w:szCs w:val="24"/>
              </w:rPr>
              <w:t>金融资产重分类计入其他综合收益的金额</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r>
      <w:tr w:rsidR="00EE7DA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w:t>
            </w:r>
            <w:r>
              <w:rPr>
                <w:szCs w:val="24"/>
              </w:rPr>
              <w:t>4.</w:t>
            </w:r>
            <w:r>
              <w:rPr>
                <w:rFonts w:hint="eastAsia"/>
                <w:szCs w:val="24"/>
              </w:rPr>
              <w:t>其他债权投资信用减值准备</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r>
      <w:tr w:rsidR="00EE7DA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w:t>
            </w:r>
            <w:r>
              <w:rPr>
                <w:szCs w:val="24"/>
              </w:rPr>
              <w:t>5.</w:t>
            </w:r>
            <w:r>
              <w:rPr>
                <w:rFonts w:hint="eastAsia"/>
                <w:szCs w:val="24"/>
              </w:rPr>
              <w:t>现金流量套期储备</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r>
      <w:tr w:rsidR="00EE7DA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w:t>
            </w:r>
            <w:r>
              <w:rPr>
                <w:szCs w:val="24"/>
              </w:rPr>
              <w:t>6.</w:t>
            </w:r>
            <w:r>
              <w:rPr>
                <w:rFonts w:hint="eastAsia"/>
                <w:szCs w:val="24"/>
              </w:rPr>
              <w:t>外币财务报表折算差额</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r>
      <w:tr w:rsidR="00EE7DA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w:t>
            </w:r>
            <w:r>
              <w:rPr>
                <w:szCs w:val="24"/>
              </w:rPr>
              <w:t>7.</w:t>
            </w:r>
            <w:r>
              <w:rPr>
                <w:rFonts w:hint="eastAsia"/>
                <w:szCs w:val="24"/>
              </w:rPr>
              <w:t>其他</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r>
      <w:tr w:rsidR="00EE7DA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六、综合收益总额</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-5,985,518.99</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18,613,524.22</w:t>
            </w:r>
          </w:p>
        </w:tc>
      </w:tr>
      <w:tr w:rsidR="00EE7DA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七、每股收益：</w:t>
            </w:r>
          </w:p>
        </w:tc>
        <w:tc>
          <w:tcPr>
            <w:tcW w:w="3300"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p>
        </w:tc>
      </w:tr>
      <w:tr w:rsidR="00EE7DA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（一）基本每股收益</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r>
      <w:tr w:rsidR="00EE7DA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（二）稀释每股收益</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r>
    </w:tbl>
    <w:p w:rsidR="00EE7DA4" w:rsidRDefault="00EE7DA4">
      <w:pPr>
        <w:pStyle w:val="Section"/>
        <w:outlineLvl w:val="2"/>
        <w:rPr>
          <w:bCs w:val="0"/>
          <w:szCs w:val="24"/>
        </w:rPr>
      </w:pPr>
      <w:r>
        <w:rPr>
          <w:bCs w:val="0"/>
          <w:szCs w:val="24"/>
        </w:rPr>
        <w:t>5</w:t>
      </w:r>
      <w:r>
        <w:rPr>
          <w:rFonts w:hint="eastAsia"/>
          <w:bCs w:val="0"/>
          <w:szCs w:val="24"/>
        </w:rPr>
        <w:t>、合并现金流量表</w:t>
      </w:r>
    </w:p>
    <w:p w:rsidR="00EE7DA4" w:rsidRDefault="00EE7DA4">
      <w:pPr>
        <w:jc w:val="right"/>
        <w:rPr>
          <w:szCs w:val="24"/>
        </w:rPr>
      </w:pPr>
      <w:r>
        <w:rPr>
          <w:rFonts w:hint="eastAsia"/>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2966"/>
        <w:gridCol w:w="3301"/>
        <w:gridCol w:w="3301"/>
      </w:tblGrid>
      <w:tr w:rsidR="00EE7DA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center"/>
              <w:rPr>
                <w:szCs w:val="24"/>
              </w:rPr>
            </w:pPr>
            <w:r>
              <w:rPr>
                <w:rFonts w:hint="eastAsia"/>
                <w:szCs w:val="24"/>
              </w:rPr>
              <w:t>项目</w:t>
            </w: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center"/>
              <w:rPr>
                <w:szCs w:val="24"/>
              </w:rPr>
            </w:pPr>
            <w:r>
              <w:rPr>
                <w:rFonts w:hint="eastAsia"/>
                <w:szCs w:val="24"/>
              </w:rPr>
              <w:t>本期发生额</w:t>
            </w: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center"/>
              <w:rPr>
                <w:szCs w:val="24"/>
              </w:rPr>
            </w:pPr>
            <w:r>
              <w:rPr>
                <w:rFonts w:hint="eastAsia"/>
                <w:szCs w:val="24"/>
              </w:rPr>
              <w:t>上期发生额</w:t>
            </w:r>
          </w:p>
        </w:tc>
      </w:tr>
      <w:tr w:rsidR="00EE7DA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一、经营活动产生的现金流量：</w:t>
            </w: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p>
        </w:tc>
      </w:tr>
      <w:tr w:rsidR="00EE7DA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销售商品、提供劳务收到的现金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2,448,966,165.73</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3,883,089,478.97</w:t>
            </w:r>
          </w:p>
        </w:tc>
      </w:tr>
      <w:tr w:rsidR="00EE7DA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客户存款和同业存放款项净增加额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r>
      <w:tr w:rsidR="00EE7DA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向中央银行借款净增加额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r>
      <w:tr w:rsidR="00EE7DA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向其他金融机构拆入资金净增加额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r>
      <w:tr w:rsidR="00EE7DA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收到原保险合同保费取得的现金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r>
      <w:tr w:rsidR="00EE7DA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收到再保业务现金净额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r>
      <w:tr w:rsidR="00EE7DA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保户储金及投资款净增加额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r>
      <w:tr w:rsidR="00EE7DA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收取利息、手续费及佣金的现金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r>
      <w:tr w:rsidR="00EE7DA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拆入资金净增加额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r>
      <w:tr w:rsidR="00EE7DA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回购业务资金净增加额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r>
      <w:tr w:rsidR="00EE7DA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代理买卖证券收到的现金净额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r>
      <w:tr w:rsidR="00EE7DA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收到的税费返还</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29,784,726.19</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34,266,713.74</w:t>
            </w:r>
          </w:p>
        </w:tc>
      </w:tr>
      <w:tr w:rsidR="00EE7DA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收到其他与经营活动有关的现金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67,999,884.41</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202,655,971.67</w:t>
            </w:r>
          </w:p>
        </w:tc>
      </w:tr>
      <w:tr w:rsidR="00EE7DA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经营活动现金流入小计</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2,546,750,776.33</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4,120,012,164.38</w:t>
            </w:r>
          </w:p>
        </w:tc>
      </w:tr>
      <w:tr w:rsidR="00EE7DA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购买商品、接受劳务支付的现金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1,748,283,613.87</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3,642,939,495.25</w:t>
            </w:r>
          </w:p>
        </w:tc>
      </w:tr>
      <w:tr w:rsidR="00EE7DA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lastRenderedPageBreak/>
              <w:t xml:space="preserve">　　客户贷款及垫款净增加额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r>
      <w:tr w:rsidR="00EE7DA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存放中央银行和同业款项净增加额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r>
      <w:tr w:rsidR="00EE7DA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支付原保险合同赔付款项的现金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r>
      <w:tr w:rsidR="00EE7DA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拆出资金净增加额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r>
      <w:tr w:rsidR="00EE7DA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支付利息、手续费及佣金的现金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r>
      <w:tr w:rsidR="00EE7DA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支付保单红利的现金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r>
      <w:tr w:rsidR="00EE7DA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支付给职工以及为职工支付的现金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169,300,864.50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250,374,501.92</w:t>
            </w:r>
          </w:p>
        </w:tc>
      </w:tr>
      <w:tr w:rsidR="00EE7DA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支付的各项税费</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108,399,367.66</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156,167,071.39</w:t>
            </w:r>
          </w:p>
        </w:tc>
      </w:tr>
      <w:tr w:rsidR="00EE7DA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支付其他与经营活动有关的现金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145,512,715.69</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32,945,280.19</w:t>
            </w:r>
          </w:p>
        </w:tc>
      </w:tr>
      <w:tr w:rsidR="00EE7DA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经营活动现金流出小计</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2,171,496,561.72</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4,082,426,348.75</w:t>
            </w:r>
          </w:p>
        </w:tc>
      </w:tr>
      <w:tr w:rsidR="00EE7DA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经营活动产生的现金流量净额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375,254,214.61</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37,585,815.63</w:t>
            </w:r>
          </w:p>
        </w:tc>
      </w:tr>
      <w:tr w:rsidR="00EE7DA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二、投资活动产生的现金流量：</w:t>
            </w: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p>
        </w:tc>
      </w:tr>
      <w:tr w:rsidR="00EE7DA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收回投资收到的现金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41,272,994.00</w:t>
            </w:r>
          </w:p>
        </w:tc>
      </w:tr>
      <w:tr w:rsidR="00EE7DA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取得投资收益收到的现金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7,961,229.76</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17,488,601.58</w:t>
            </w:r>
          </w:p>
        </w:tc>
      </w:tr>
      <w:tr w:rsidR="00EE7DA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处置固定资产、无形资产和其他长期资产收回的现金净额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29,000.00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1,350,494.00</w:t>
            </w:r>
          </w:p>
        </w:tc>
      </w:tr>
      <w:tr w:rsidR="00EE7DA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处置子公司及其他营业单位收到的现金净额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r>
      <w:tr w:rsidR="00EE7DA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收到其他与投资活动有关的现金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597,364,467.68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450,986,787.59</w:t>
            </w:r>
          </w:p>
        </w:tc>
      </w:tr>
      <w:tr w:rsidR="00EE7DA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投资活动现金流入小计</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605,354,697.44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511,098,877.17</w:t>
            </w:r>
          </w:p>
        </w:tc>
      </w:tr>
      <w:tr w:rsidR="00EE7DA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购建固定资产、无形资产和其他长期资产支付的现金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113,769,057.05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44,146,377.58</w:t>
            </w:r>
          </w:p>
        </w:tc>
      </w:tr>
      <w:tr w:rsidR="00EE7DA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投资支付的现金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119,258,660.49</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231,143,600.00</w:t>
            </w:r>
          </w:p>
        </w:tc>
      </w:tr>
      <w:tr w:rsidR="00EE7DA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质押贷款净增加额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r>
      <w:tr w:rsidR="00EE7DA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取得子公司及其他营业单位支付的现金净额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r>
      <w:tr w:rsidR="00EE7DA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支付其他与投资活动有关的现金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277,644,281.28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333,776,954.93</w:t>
            </w:r>
          </w:p>
        </w:tc>
      </w:tr>
      <w:tr w:rsidR="00EE7DA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投资活动现金流出小计</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510,671,998.82</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609,066,932.51</w:t>
            </w:r>
          </w:p>
        </w:tc>
      </w:tr>
      <w:tr w:rsidR="00EE7DA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投资活动产生的现金流量净额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94,682,698.62</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-97,968,055.34</w:t>
            </w:r>
          </w:p>
        </w:tc>
      </w:tr>
      <w:tr w:rsidR="00EE7DA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三、筹资活动产生的现金流量：</w:t>
            </w: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p>
        </w:tc>
      </w:tr>
      <w:tr w:rsidR="00EE7DA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吸收投资收到的现金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r>
      <w:tr w:rsidR="00EE7DA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其中：子公司吸收少数股东投资收到的现金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r>
      <w:tr w:rsidR="00EE7DA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取得借款收到的现金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3,911,821,587.11</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3,423,278,733.79</w:t>
            </w:r>
          </w:p>
        </w:tc>
      </w:tr>
      <w:tr w:rsidR="00EE7DA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lastRenderedPageBreak/>
              <w:t xml:space="preserve">　　收到其他与筹资活动有关的现金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56,234,862.51</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28,513,672.46</w:t>
            </w:r>
          </w:p>
        </w:tc>
      </w:tr>
      <w:tr w:rsidR="00EE7DA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筹资活动现金流入小计</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3,968,056,449.62</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3,451,792,406.25</w:t>
            </w:r>
          </w:p>
        </w:tc>
      </w:tr>
      <w:tr w:rsidR="00EE7DA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偿还债务支付的现金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4,004,903,881.54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3,330,828,711.34</w:t>
            </w:r>
          </w:p>
        </w:tc>
      </w:tr>
      <w:tr w:rsidR="00EE7DA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分配股利、利润或偿付利息支付的现金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68,773,458.94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67,566,457.34</w:t>
            </w:r>
          </w:p>
        </w:tc>
      </w:tr>
      <w:tr w:rsidR="00EE7DA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其中：子公司支付给少数股东的股利、利润</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r>
      <w:tr w:rsidR="00EE7DA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支付其他与筹资活动有关的现金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659,288,261.81</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398,609,606.51</w:t>
            </w:r>
          </w:p>
        </w:tc>
      </w:tr>
      <w:tr w:rsidR="00EE7DA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筹资活动现金流出小计</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4,732,965,602.29</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3,797,004,775.19</w:t>
            </w:r>
          </w:p>
        </w:tc>
      </w:tr>
      <w:tr w:rsidR="00EE7DA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筹资活动产生的现金流量净额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-764,909,152.67</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-345,212,368.94</w:t>
            </w:r>
          </w:p>
        </w:tc>
      </w:tr>
      <w:tr w:rsidR="00EE7DA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四、汇率变动对现金及现金等价物的影响</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5,283,334.36</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-349,084.95</w:t>
            </w:r>
          </w:p>
        </w:tc>
      </w:tr>
      <w:tr w:rsidR="00EE7DA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五、现金及现金等价物净增加额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-289,688,905.08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-405,943,693.60</w:t>
            </w:r>
          </w:p>
        </w:tc>
      </w:tr>
      <w:tr w:rsidR="00EE7DA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加：期初现金及现金等价物余额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1,915,461,837.45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2,138,620,528.82</w:t>
            </w:r>
          </w:p>
        </w:tc>
      </w:tr>
      <w:tr w:rsidR="00EE7DA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六、期末现金及现金等价物余额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1,625,772,932.37</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1,732,676,835.22</w:t>
            </w:r>
          </w:p>
        </w:tc>
      </w:tr>
    </w:tbl>
    <w:p w:rsidR="00EE7DA4" w:rsidRDefault="00EE7DA4">
      <w:pPr>
        <w:pStyle w:val="Section"/>
        <w:outlineLvl w:val="2"/>
        <w:rPr>
          <w:bCs w:val="0"/>
          <w:szCs w:val="24"/>
        </w:rPr>
      </w:pPr>
      <w:r>
        <w:rPr>
          <w:bCs w:val="0"/>
          <w:szCs w:val="24"/>
        </w:rPr>
        <w:t>6</w:t>
      </w:r>
      <w:r>
        <w:rPr>
          <w:rFonts w:hint="eastAsia"/>
          <w:bCs w:val="0"/>
          <w:szCs w:val="24"/>
        </w:rPr>
        <w:t>、母公司现金流量表</w:t>
      </w:r>
    </w:p>
    <w:p w:rsidR="00EE7DA4" w:rsidRDefault="00EE7DA4">
      <w:pPr>
        <w:jc w:val="right"/>
        <w:rPr>
          <w:szCs w:val="24"/>
        </w:rPr>
      </w:pPr>
      <w:r>
        <w:rPr>
          <w:rFonts w:hint="eastAsia"/>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2966"/>
        <w:gridCol w:w="3301"/>
        <w:gridCol w:w="3301"/>
      </w:tblGrid>
      <w:tr w:rsidR="00EE7DA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center"/>
              <w:rPr>
                <w:szCs w:val="24"/>
              </w:rPr>
            </w:pPr>
            <w:r>
              <w:rPr>
                <w:rFonts w:hint="eastAsia"/>
                <w:szCs w:val="24"/>
              </w:rPr>
              <w:t>项目</w:t>
            </w: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center"/>
              <w:rPr>
                <w:szCs w:val="24"/>
              </w:rPr>
            </w:pPr>
            <w:r>
              <w:rPr>
                <w:rFonts w:hint="eastAsia"/>
                <w:szCs w:val="24"/>
              </w:rPr>
              <w:t>本期发生额</w:t>
            </w: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center"/>
              <w:rPr>
                <w:szCs w:val="24"/>
              </w:rPr>
            </w:pPr>
            <w:r>
              <w:rPr>
                <w:rFonts w:hint="eastAsia"/>
                <w:szCs w:val="24"/>
              </w:rPr>
              <w:t>上期发生额</w:t>
            </w:r>
          </w:p>
        </w:tc>
      </w:tr>
      <w:tr w:rsidR="00EE7DA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一、经营活动产生的现金流量：</w:t>
            </w: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p>
        </w:tc>
      </w:tr>
      <w:tr w:rsidR="00EE7DA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销售商品、提供劳务收到的现金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997,871,491.84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1,407,694,421.15</w:t>
            </w:r>
          </w:p>
        </w:tc>
      </w:tr>
      <w:tr w:rsidR="00EE7DA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收到的税费返还</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45,418.38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359,778.64</w:t>
            </w:r>
          </w:p>
        </w:tc>
      </w:tr>
      <w:tr w:rsidR="00EE7DA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收到其他与经营活动有关的现金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19,777,545.95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1,722,038.54</w:t>
            </w:r>
          </w:p>
        </w:tc>
      </w:tr>
      <w:tr w:rsidR="00EE7DA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经营活动现金流入小计</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1,017,694,456.17</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1,409,776,238.33</w:t>
            </w:r>
          </w:p>
        </w:tc>
      </w:tr>
      <w:tr w:rsidR="00EE7DA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购买商品、接受劳务支付的现金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1,178,805,003.87</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1,110,498,161.93</w:t>
            </w:r>
          </w:p>
        </w:tc>
      </w:tr>
      <w:tr w:rsidR="00EE7DA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支付给职工以及为职工支付的现金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20,378,431.91</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29,087,091.79</w:t>
            </w:r>
          </w:p>
        </w:tc>
      </w:tr>
      <w:tr w:rsidR="00EE7DA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支付的各项税费</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10,285,363.58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21,279,612.28</w:t>
            </w:r>
          </w:p>
        </w:tc>
      </w:tr>
      <w:tr w:rsidR="00EE7DA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支付其他与经营活动有关的现金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5,620,438.16</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4,822,178.45</w:t>
            </w:r>
          </w:p>
        </w:tc>
      </w:tr>
      <w:tr w:rsidR="00EE7DA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经营活动现金流出小计</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1,215,089,237.52</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1,165,687,044.45</w:t>
            </w:r>
          </w:p>
        </w:tc>
      </w:tr>
      <w:tr w:rsidR="00EE7DA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经营活动产生的现金流量净额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-197,394,781.35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244,089,193.88</w:t>
            </w:r>
          </w:p>
        </w:tc>
      </w:tr>
      <w:tr w:rsidR="00EE7DA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二、投资活动产生的现金流量：</w:t>
            </w: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p>
        </w:tc>
      </w:tr>
      <w:tr w:rsidR="00EE7DA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收回投资收到的现金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8,872,994.00</w:t>
            </w:r>
          </w:p>
        </w:tc>
      </w:tr>
      <w:tr w:rsidR="00EE7DA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取得投资收益收到的现金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10,127,006.00</w:t>
            </w:r>
          </w:p>
        </w:tc>
      </w:tr>
      <w:tr w:rsidR="00EE7DA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处置固定资产、无形资产和其他</w:t>
            </w:r>
            <w:r>
              <w:rPr>
                <w:rFonts w:hint="eastAsia"/>
                <w:szCs w:val="24"/>
              </w:rPr>
              <w:lastRenderedPageBreak/>
              <w:t>长期资产收回的现金净额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r>
      <w:tr w:rsidR="00EE7DA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lastRenderedPageBreak/>
              <w:t xml:space="preserve">　　处置子公司及其他营业单位收到的现金净额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r>
      <w:tr w:rsidR="00EE7DA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收到其他与投资活动有关的现金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r>
      <w:tr w:rsidR="00EE7DA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投资活动现金流入小计</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19,000,000.00</w:t>
            </w:r>
          </w:p>
        </w:tc>
      </w:tr>
      <w:tr w:rsidR="00EE7DA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购建固定资产、无形资产和其他长期资产支付的现金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33,460,652.00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2,157,568.00</w:t>
            </w:r>
          </w:p>
        </w:tc>
      </w:tr>
      <w:tr w:rsidR="00EE7DA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投资支付的现金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r>
      <w:tr w:rsidR="00EE7DA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取得子公司及其他营业单位支付的现金净额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r>
      <w:tr w:rsidR="00EE7DA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支付其他与投资活动有关的现金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r>
      <w:tr w:rsidR="00EE7DA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投资活动现金流出小计</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33,460,652.00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2,157,568.00</w:t>
            </w:r>
          </w:p>
        </w:tc>
      </w:tr>
      <w:tr w:rsidR="00EE7DA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投资活动产生的现金流量净额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-33,460,652.00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16,842,432.00</w:t>
            </w:r>
          </w:p>
        </w:tc>
      </w:tr>
      <w:tr w:rsidR="00EE7DA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三、筹资活动产生的现金流量：</w:t>
            </w: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p>
        </w:tc>
      </w:tr>
      <w:tr w:rsidR="00EE7DA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吸收投资收到的现金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r>
      <w:tr w:rsidR="00EE7DA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取得借款收到的现金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214,000,000.00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202,000,000.00</w:t>
            </w:r>
          </w:p>
        </w:tc>
      </w:tr>
      <w:tr w:rsidR="00EE7DA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收到其他与筹资活动有关的现金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r>
      <w:tr w:rsidR="00EE7DA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筹资活动现金流入小计</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214,000,000.00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202,000,000.00</w:t>
            </w:r>
          </w:p>
        </w:tc>
      </w:tr>
      <w:tr w:rsidR="00EE7DA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偿还债务支付的现金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50,000,000.00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207,000,000.00</w:t>
            </w:r>
          </w:p>
        </w:tc>
      </w:tr>
      <w:tr w:rsidR="00EE7DA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分配股利、利润或偿付利息支付的现金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5,127,416.67</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4,690,752.78</w:t>
            </w:r>
          </w:p>
        </w:tc>
      </w:tr>
      <w:tr w:rsidR="00EE7DA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支付其他与筹资活动有关的现金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248,584,683.73</w:t>
            </w:r>
          </w:p>
        </w:tc>
      </w:tr>
      <w:tr w:rsidR="00EE7DA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筹资活动现金流出小计</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55,127,416.67</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460,275,436.51</w:t>
            </w:r>
          </w:p>
        </w:tc>
      </w:tr>
      <w:tr w:rsidR="00EE7DA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筹资活动产生的现金流量净额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158,872,583.33</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-258,275,436.51</w:t>
            </w:r>
          </w:p>
        </w:tc>
      </w:tr>
      <w:tr w:rsidR="00EE7DA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四、汇率变动对现金及现金等价物的影响</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-71,993.17</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-1,784,882.25</w:t>
            </w:r>
          </w:p>
        </w:tc>
      </w:tr>
      <w:tr w:rsidR="00EE7DA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五、现金及现金等价物净增加额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-72,054,843.19</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871,307.12</w:t>
            </w:r>
          </w:p>
        </w:tc>
      </w:tr>
      <w:tr w:rsidR="00EE7DA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 xml:space="preserve">　　加：期初现金及现金等价物余额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85,604,384.35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279,011,793.45</w:t>
            </w:r>
          </w:p>
        </w:tc>
      </w:tr>
      <w:tr w:rsidR="00EE7DA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EE7DA4" w:rsidRDefault="00EE7DA4">
            <w:pPr>
              <w:jc w:val="left"/>
              <w:rPr>
                <w:szCs w:val="24"/>
              </w:rPr>
            </w:pPr>
            <w:r>
              <w:rPr>
                <w:rFonts w:hint="eastAsia"/>
                <w:szCs w:val="24"/>
              </w:rPr>
              <w:t>六、期末现金及现金等价物余额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13,549,541.16</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7DA4" w:rsidRDefault="00EE7DA4">
            <w:pPr>
              <w:jc w:val="right"/>
              <w:rPr>
                <w:szCs w:val="24"/>
              </w:rPr>
            </w:pPr>
            <w:r>
              <w:rPr>
                <w:szCs w:val="24"/>
              </w:rPr>
              <w:t>279,883,100.57</w:t>
            </w:r>
          </w:p>
        </w:tc>
      </w:tr>
    </w:tbl>
    <w:p w:rsidR="00EE7DA4" w:rsidRDefault="00EE7DA4">
      <w:pPr>
        <w:pStyle w:val="Chapter"/>
        <w:outlineLvl w:val="1"/>
        <w:rPr>
          <w:bCs w:val="0"/>
        </w:rPr>
      </w:pPr>
      <w:r>
        <w:rPr>
          <w:rFonts w:hint="eastAsia"/>
          <w:bCs w:val="0"/>
        </w:rPr>
        <w:t>二、财务报表调整情况说明</w:t>
      </w:r>
    </w:p>
    <w:p w:rsidR="00EE7DA4" w:rsidRDefault="00EE7DA4">
      <w:pPr>
        <w:pStyle w:val="Section"/>
        <w:outlineLvl w:val="2"/>
        <w:rPr>
          <w:bCs w:val="0"/>
          <w:szCs w:val="24"/>
        </w:rPr>
      </w:pPr>
      <w:r>
        <w:rPr>
          <w:bCs w:val="0"/>
          <w:szCs w:val="24"/>
        </w:rPr>
        <w:t>1</w:t>
      </w:r>
      <w:r>
        <w:rPr>
          <w:rFonts w:hint="eastAsia"/>
          <w:bCs w:val="0"/>
          <w:szCs w:val="24"/>
        </w:rPr>
        <w:t>、</w:t>
      </w:r>
      <w:r>
        <w:rPr>
          <w:bCs w:val="0"/>
          <w:szCs w:val="24"/>
        </w:rPr>
        <w:t>2020</w:t>
      </w:r>
      <w:r>
        <w:rPr>
          <w:rFonts w:hint="eastAsia"/>
          <w:bCs w:val="0"/>
          <w:szCs w:val="24"/>
        </w:rPr>
        <w:t>年起首次执行新收入准则、新租赁准则调整首次执行当年年初财务报表相关情况</w:t>
      </w:r>
    </w:p>
    <w:p w:rsidR="00EE7DA4" w:rsidRDefault="00EE7DA4">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rsidR="00EE7DA4" w:rsidRDefault="00EE7DA4">
      <w:pPr>
        <w:pStyle w:val="Section"/>
        <w:outlineLvl w:val="2"/>
        <w:rPr>
          <w:bCs w:val="0"/>
          <w:szCs w:val="24"/>
        </w:rPr>
      </w:pPr>
      <w:r>
        <w:rPr>
          <w:bCs w:val="0"/>
          <w:szCs w:val="24"/>
        </w:rPr>
        <w:lastRenderedPageBreak/>
        <w:t>2</w:t>
      </w:r>
      <w:r>
        <w:rPr>
          <w:rFonts w:hint="eastAsia"/>
          <w:bCs w:val="0"/>
          <w:szCs w:val="24"/>
        </w:rPr>
        <w:t>、</w:t>
      </w:r>
      <w:r>
        <w:rPr>
          <w:bCs w:val="0"/>
          <w:szCs w:val="24"/>
        </w:rPr>
        <w:t>2020</w:t>
      </w:r>
      <w:r>
        <w:rPr>
          <w:rFonts w:hint="eastAsia"/>
          <w:bCs w:val="0"/>
          <w:szCs w:val="24"/>
        </w:rPr>
        <w:t>年起首次执行新收入准则、新租赁准则追溯调整前期比较数据的说明</w:t>
      </w:r>
    </w:p>
    <w:p w:rsidR="00EE7DA4" w:rsidRDefault="00EE7DA4">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rsidR="00EE7DA4" w:rsidRDefault="00EE7DA4">
      <w:pPr>
        <w:pStyle w:val="Chapter"/>
        <w:outlineLvl w:val="1"/>
        <w:rPr>
          <w:bCs w:val="0"/>
        </w:rPr>
      </w:pPr>
      <w:r>
        <w:rPr>
          <w:rFonts w:hint="eastAsia"/>
          <w:bCs w:val="0"/>
        </w:rPr>
        <w:t>三、审计报告</w:t>
      </w:r>
    </w:p>
    <w:p w:rsidR="00EE7DA4" w:rsidRDefault="00EE7DA4">
      <w:pPr>
        <w:jc w:val="left"/>
        <w:rPr>
          <w:szCs w:val="24"/>
        </w:rPr>
      </w:pPr>
      <w:r>
        <w:rPr>
          <w:rFonts w:hint="eastAsia"/>
          <w:szCs w:val="24"/>
        </w:rPr>
        <w:t>第一季度报告是否经过审计</w:t>
      </w:r>
    </w:p>
    <w:p w:rsidR="00EE7DA4" w:rsidRDefault="00EE7DA4">
      <w:pPr>
        <w:jc w:val="left"/>
        <w:rPr>
          <w:szCs w:val="24"/>
        </w:rPr>
      </w:pPr>
      <w:r>
        <w:rPr>
          <w:szCs w:val="24"/>
        </w:rPr>
        <w:t xml:space="preserve">□ </w:t>
      </w:r>
      <w:r>
        <w:rPr>
          <w:rFonts w:hint="eastAsia"/>
          <w:szCs w:val="24"/>
        </w:rPr>
        <w:t>是</w:t>
      </w:r>
      <w:r>
        <w:rPr>
          <w:szCs w:val="24"/>
        </w:rPr>
        <w:t xml:space="preserve"> √ </w:t>
      </w:r>
      <w:r>
        <w:rPr>
          <w:rFonts w:hint="eastAsia"/>
          <w:szCs w:val="24"/>
        </w:rPr>
        <w:t>否</w:t>
      </w:r>
      <w:r>
        <w:rPr>
          <w:szCs w:val="24"/>
        </w:rPr>
        <w:t xml:space="preserve"> </w:t>
      </w:r>
    </w:p>
    <w:p w:rsidR="00EE7DA4" w:rsidRDefault="00EE7DA4">
      <w:pPr>
        <w:jc w:val="left"/>
        <w:rPr>
          <w:szCs w:val="24"/>
        </w:rPr>
      </w:pPr>
      <w:r>
        <w:rPr>
          <w:rFonts w:hint="eastAsia"/>
          <w:szCs w:val="24"/>
        </w:rPr>
        <w:t>公司第一季度报告未经审计。</w:t>
      </w:r>
    </w:p>
    <w:sectPr w:rsidR="00EE7DA4">
      <w:pgSz w:w="11906" w:h="16838"/>
      <w:pgMar w:top="1440" w:right="1134" w:bottom="1440"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DA4" w:rsidRDefault="00EE7DA4">
      <w:pPr>
        <w:spacing w:before="0" w:after="0"/>
      </w:pPr>
      <w:r>
        <w:separator/>
      </w:r>
    </w:p>
  </w:endnote>
  <w:endnote w:type="continuationSeparator" w:id="0">
    <w:p w:rsidR="00EE7DA4" w:rsidRDefault="00EE7DA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8A9" w:rsidRDefault="00DE48A9">
    <w:pPr>
      <w:pStyle w:val="a5"/>
      <w:jc w:val="center"/>
    </w:pPr>
    <w:r>
      <w:fldChar w:fldCharType="begin"/>
    </w:r>
    <w:r>
      <w:instrText>PAGE   \* MERGEFORMAT</w:instrText>
    </w:r>
    <w:r>
      <w:fldChar w:fldCharType="separate"/>
    </w:r>
    <w:r w:rsidR="005A50D2" w:rsidRPr="005A50D2">
      <w:rPr>
        <w:noProof/>
        <w:lang w:val="zh-CN"/>
      </w:rPr>
      <w:t>23</w:t>
    </w:r>
    <w:r>
      <w:fldChar w:fldCharType="end"/>
    </w:r>
  </w:p>
  <w:p w:rsidR="00EE7DA4" w:rsidRDefault="00EE7DA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DA4" w:rsidRDefault="00EE7DA4">
      <w:pPr>
        <w:spacing w:before="0" w:after="0"/>
      </w:pPr>
      <w:r>
        <w:separator/>
      </w:r>
    </w:p>
  </w:footnote>
  <w:footnote w:type="continuationSeparator" w:id="0">
    <w:p w:rsidR="00EE7DA4" w:rsidRDefault="00EE7DA4">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DA4" w:rsidRDefault="00EE7DA4">
    <w:pPr>
      <w:pStyle w:val="a4"/>
    </w:pPr>
    <w:r>
      <w:rPr>
        <w:rFonts w:hint="eastAsia"/>
      </w:rPr>
      <w:t>华孚时尚股份有限公司</w:t>
    </w:r>
    <w:r>
      <w:t>2020</w:t>
    </w:r>
    <w:r>
      <w:rPr>
        <w:rFonts w:hint="eastAsia"/>
      </w:rPr>
      <w:t>年第一季度报告全文</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B3D"/>
    <w:rsid w:val="00022B3D"/>
    <w:rsid w:val="005A50D2"/>
    <w:rsid w:val="00DE48A9"/>
    <w:rsid w:val="00EE7D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before="40" w:after="40"/>
      <w:jc w:val="both"/>
    </w:pPr>
    <w:rPr>
      <w:rFonts w:ascii="Times New Roman" w:eastAsia="宋体" w:hAnsi="Times New Roman"/>
      <w:sz w:val="18"/>
      <w:szCs w:val="18"/>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99"/>
    <w:qFormat/>
    <w:pPr>
      <w:keepNext/>
      <w:keepLines/>
      <w:spacing w:before="340" w:after="330" w:line="578" w:lineRule="auto"/>
      <w:jc w:val="center"/>
    </w:pPr>
    <w:rPr>
      <w:b/>
      <w:bCs/>
      <w:kern w:val="32"/>
      <w:sz w:val="32"/>
      <w:szCs w:val="32"/>
    </w:rPr>
  </w:style>
  <w:style w:type="character" w:customStyle="1" w:styleId="Char">
    <w:name w:val="标题 Char"/>
    <w:basedOn w:val="a0"/>
    <w:link w:val="a3"/>
    <w:uiPriority w:val="10"/>
    <w:locked/>
    <w:rPr>
      <w:rFonts w:asciiTheme="majorHAnsi" w:eastAsia="宋体" w:hAnsiTheme="majorHAnsi" w:cs="Times New Roman"/>
      <w:b/>
      <w:bCs/>
      <w:sz w:val="32"/>
      <w:szCs w:val="32"/>
    </w:rPr>
  </w:style>
  <w:style w:type="paragraph" w:customStyle="1" w:styleId="Chapter">
    <w:name w:val="Chapter"/>
    <w:next w:val="a"/>
    <w:uiPriority w:val="99"/>
    <w:pPr>
      <w:keepNext/>
      <w:keepLines/>
      <w:widowControl w:val="0"/>
      <w:spacing w:before="300" w:after="300" w:line="241" w:lineRule="auto"/>
      <w:jc w:val="both"/>
    </w:pPr>
    <w:rPr>
      <w:rFonts w:ascii="Times New Roman" w:eastAsia="宋体" w:hAnsi="Times New Roman"/>
      <w:b/>
      <w:bCs/>
      <w:kern w:val="28"/>
      <w:sz w:val="24"/>
      <w:szCs w:val="24"/>
    </w:rPr>
  </w:style>
  <w:style w:type="paragraph" w:customStyle="1" w:styleId="Section">
    <w:name w:val="Section"/>
    <w:next w:val="a"/>
    <w:uiPriority w:val="99"/>
    <w:pPr>
      <w:keepNext/>
      <w:keepLines/>
      <w:widowControl w:val="0"/>
      <w:spacing w:before="300" w:after="300" w:line="241" w:lineRule="auto"/>
      <w:jc w:val="both"/>
    </w:pPr>
    <w:rPr>
      <w:rFonts w:ascii="Times New Roman" w:eastAsia="宋体" w:hAnsi="Times New Roman"/>
      <w:b/>
      <w:bCs/>
      <w:kern w:val="28"/>
    </w:rPr>
  </w:style>
  <w:style w:type="paragraph" w:styleId="a4">
    <w:name w:val="header"/>
    <w:basedOn w:val="a"/>
    <w:link w:val="Char0"/>
    <w:uiPriority w:val="99"/>
    <w:pPr>
      <w:pBdr>
        <w:bottom w:val="single" w:sz="6" w:space="1" w:color="auto"/>
      </w:pBdr>
      <w:tabs>
        <w:tab w:val="center" w:pos="4153"/>
        <w:tab w:val="right" w:pos="8306"/>
      </w:tabs>
      <w:snapToGrid w:val="0"/>
      <w:spacing w:before="0" w:after="0"/>
      <w:jc w:val="right"/>
    </w:pPr>
  </w:style>
  <w:style w:type="character" w:customStyle="1" w:styleId="Char0">
    <w:name w:val="页眉 Char"/>
    <w:basedOn w:val="a0"/>
    <w:link w:val="a4"/>
    <w:uiPriority w:val="99"/>
    <w:semiHidden/>
    <w:locked/>
    <w:rPr>
      <w:rFonts w:ascii="Times New Roman" w:eastAsia="宋体" w:hAnsi="Times New Roman" w:cs="Times New Roman"/>
      <w:sz w:val="18"/>
      <w:szCs w:val="18"/>
    </w:rPr>
  </w:style>
  <w:style w:type="paragraph" w:styleId="a5">
    <w:name w:val="footer"/>
    <w:basedOn w:val="a"/>
    <w:link w:val="Char1"/>
    <w:uiPriority w:val="99"/>
    <w:pPr>
      <w:tabs>
        <w:tab w:val="center" w:pos="4153"/>
        <w:tab w:val="right" w:pos="8306"/>
      </w:tabs>
      <w:snapToGrid w:val="0"/>
      <w:spacing w:before="0" w:after="0"/>
      <w:jc w:val="right"/>
    </w:pPr>
  </w:style>
  <w:style w:type="character" w:customStyle="1" w:styleId="Char1">
    <w:name w:val="页脚 Char"/>
    <w:basedOn w:val="a0"/>
    <w:link w:val="a5"/>
    <w:uiPriority w:val="99"/>
    <w:locked/>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before="40" w:after="40"/>
      <w:jc w:val="both"/>
    </w:pPr>
    <w:rPr>
      <w:rFonts w:ascii="Times New Roman" w:eastAsia="宋体" w:hAnsi="Times New Roman"/>
      <w:sz w:val="18"/>
      <w:szCs w:val="18"/>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99"/>
    <w:qFormat/>
    <w:pPr>
      <w:keepNext/>
      <w:keepLines/>
      <w:spacing w:before="340" w:after="330" w:line="578" w:lineRule="auto"/>
      <w:jc w:val="center"/>
    </w:pPr>
    <w:rPr>
      <w:b/>
      <w:bCs/>
      <w:kern w:val="32"/>
      <w:sz w:val="32"/>
      <w:szCs w:val="32"/>
    </w:rPr>
  </w:style>
  <w:style w:type="character" w:customStyle="1" w:styleId="Char">
    <w:name w:val="标题 Char"/>
    <w:basedOn w:val="a0"/>
    <w:link w:val="a3"/>
    <w:uiPriority w:val="10"/>
    <w:locked/>
    <w:rPr>
      <w:rFonts w:asciiTheme="majorHAnsi" w:eastAsia="宋体" w:hAnsiTheme="majorHAnsi" w:cs="Times New Roman"/>
      <w:b/>
      <w:bCs/>
      <w:sz w:val="32"/>
      <w:szCs w:val="32"/>
    </w:rPr>
  </w:style>
  <w:style w:type="paragraph" w:customStyle="1" w:styleId="Chapter">
    <w:name w:val="Chapter"/>
    <w:next w:val="a"/>
    <w:uiPriority w:val="99"/>
    <w:pPr>
      <w:keepNext/>
      <w:keepLines/>
      <w:widowControl w:val="0"/>
      <w:spacing w:before="300" w:after="300" w:line="241" w:lineRule="auto"/>
      <w:jc w:val="both"/>
    </w:pPr>
    <w:rPr>
      <w:rFonts w:ascii="Times New Roman" w:eastAsia="宋体" w:hAnsi="Times New Roman"/>
      <w:b/>
      <w:bCs/>
      <w:kern w:val="28"/>
      <w:sz w:val="24"/>
      <w:szCs w:val="24"/>
    </w:rPr>
  </w:style>
  <w:style w:type="paragraph" w:customStyle="1" w:styleId="Section">
    <w:name w:val="Section"/>
    <w:next w:val="a"/>
    <w:uiPriority w:val="99"/>
    <w:pPr>
      <w:keepNext/>
      <w:keepLines/>
      <w:widowControl w:val="0"/>
      <w:spacing w:before="300" w:after="300" w:line="241" w:lineRule="auto"/>
      <w:jc w:val="both"/>
    </w:pPr>
    <w:rPr>
      <w:rFonts w:ascii="Times New Roman" w:eastAsia="宋体" w:hAnsi="Times New Roman"/>
      <w:b/>
      <w:bCs/>
      <w:kern w:val="28"/>
    </w:rPr>
  </w:style>
  <w:style w:type="paragraph" w:styleId="a4">
    <w:name w:val="header"/>
    <w:basedOn w:val="a"/>
    <w:link w:val="Char0"/>
    <w:uiPriority w:val="99"/>
    <w:pPr>
      <w:pBdr>
        <w:bottom w:val="single" w:sz="6" w:space="1" w:color="auto"/>
      </w:pBdr>
      <w:tabs>
        <w:tab w:val="center" w:pos="4153"/>
        <w:tab w:val="right" w:pos="8306"/>
      </w:tabs>
      <w:snapToGrid w:val="0"/>
      <w:spacing w:before="0" w:after="0"/>
      <w:jc w:val="right"/>
    </w:pPr>
  </w:style>
  <w:style w:type="character" w:customStyle="1" w:styleId="Char0">
    <w:name w:val="页眉 Char"/>
    <w:basedOn w:val="a0"/>
    <w:link w:val="a4"/>
    <w:uiPriority w:val="99"/>
    <w:semiHidden/>
    <w:locked/>
    <w:rPr>
      <w:rFonts w:ascii="Times New Roman" w:eastAsia="宋体" w:hAnsi="Times New Roman" w:cs="Times New Roman"/>
      <w:sz w:val="18"/>
      <w:szCs w:val="18"/>
    </w:rPr>
  </w:style>
  <w:style w:type="paragraph" w:styleId="a5">
    <w:name w:val="footer"/>
    <w:basedOn w:val="a"/>
    <w:link w:val="Char1"/>
    <w:uiPriority w:val="99"/>
    <w:pPr>
      <w:tabs>
        <w:tab w:val="center" w:pos="4153"/>
        <w:tab w:val="right" w:pos="8306"/>
      </w:tabs>
      <w:snapToGrid w:val="0"/>
      <w:spacing w:before="0" w:after="0"/>
      <w:jc w:val="right"/>
    </w:pPr>
  </w:style>
  <w:style w:type="character" w:customStyle="1" w:styleId="Char1">
    <w:name w:val="页脚 Char"/>
    <w:basedOn w:val="a0"/>
    <w:link w:val="a5"/>
    <w:uiPriority w:val="99"/>
    <w:locked/>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2672</Words>
  <Characters>15232</Characters>
  <Application>Microsoft Office Word</Application>
  <DocSecurity>0</DocSecurity>
  <Lines>126</Lines>
  <Paragraphs>35</Paragraphs>
  <ScaleCrop>false</ScaleCrop>
  <Company>微软公司</Company>
  <LinksUpToDate>false</LinksUpToDate>
  <CharactersWithSpaces>17869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华孚时尚股份有限公司2020年第一季度报告全文</dc:title>
  <dc:creator>华孚时尚股份有限公司</dc:creator>
  <cp:lastModifiedBy>杨溶</cp:lastModifiedBy>
  <cp:revision>2</cp:revision>
  <dcterms:created xsi:type="dcterms:W3CDTF">2020-04-28T11:00:00Z</dcterms:created>
  <dcterms:modified xsi:type="dcterms:W3CDTF">2020-04-28T11:00:00Z</dcterms:modified>
</cp:coreProperties>
</file>