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6D" w:rsidRPr="003E53AD" w:rsidRDefault="0005006D">
      <w:pPr>
        <w:spacing w:before="300"/>
        <w:rPr>
          <w:rFonts w:ascii="黑体" w:eastAsia="黑体" w:hAnsi="黑体"/>
          <w:sz w:val="21"/>
          <w:szCs w:val="21"/>
        </w:rPr>
      </w:pPr>
      <w:r w:rsidRPr="003E53AD">
        <w:rPr>
          <w:rFonts w:ascii="黑体" w:eastAsia="黑体" w:hAnsi="黑体" w:hint="eastAsia"/>
          <w:sz w:val="21"/>
          <w:szCs w:val="21"/>
        </w:rPr>
        <w:t>证券代码：</w:t>
      </w:r>
      <w:r w:rsidRPr="003E53AD">
        <w:rPr>
          <w:rFonts w:ascii="黑体" w:eastAsia="黑体" w:hAnsi="黑体"/>
          <w:sz w:val="21"/>
          <w:szCs w:val="21"/>
        </w:rPr>
        <w:t xml:space="preserve">002042            </w:t>
      </w:r>
      <w:r w:rsidR="003E53AD" w:rsidRPr="003E53AD">
        <w:rPr>
          <w:rFonts w:ascii="黑体" w:eastAsia="黑体" w:hAnsi="黑体"/>
          <w:sz w:val="21"/>
          <w:szCs w:val="21"/>
        </w:rPr>
        <w:t xml:space="preserve">    </w:t>
      </w:r>
      <w:r w:rsidR="003E53AD">
        <w:rPr>
          <w:rFonts w:ascii="黑体" w:eastAsia="黑体" w:hAnsi="黑体"/>
          <w:sz w:val="21"/>
          <w:szCs w:val="21"/>
        </w:rPr>
        <w:t xml:space="preserve">  </w:t>
      </w:r>
      <w:r w:rsidR="003E53AD" w:rsidRPr="003E53AD">
        <w:rPr>
          <w:rFonts w:ascii="黑体" w:eastAsia="黑体" w:hAnsi="黑体"/>
          <w:sz w:val="21"/>
          <w:szCs w:val="21"/>
        </w:rPr>
        <w:t xml:space="preserve"> </w:t>
      </w:r>
      <w:r w:rsidRPr="003E53AD">
        <w:rPr>
          <w:rFonts w:ascii="黑体" w:eastAsia="黑体" w:hAnsi="黑体"/>
          <w:sz w:val="21"/>
          <w:szCs w:val="21"/>
        </w:rPr>
        <w:t xml:space="preserve"> </w:t>
      </w:r>
      <w:r w:rsidR="003E53AD">
        <w:rPr>
          <w:rFonts w:ascii="黑体" w:eastAsia="黑体" w:hAnsi="黑体"/>
          <w:sz w:val="21"/>
          <w:szCs w:val="21"/>
        </w:rPr>
        <w:t xml:space="preserve"> </w:t>
      </w:r>
      <w:r w:rsidRPr="003E53AD">
        <w:rPr>
          <w:rFonts w:ascii="黑体" w:eastAsia="黑体" w:hAnsi="黑体" w:hint="eastAsia"/>
          <w:sz w:val="21"/>
          <w:szCs w:val="21"/>
        </w:rPr>
        <w:t>证券简称：华孚时尚</w:t>
      </w:r>
      <w:r w:rsidRPr="003E53AD">
        <w:rPr>
          <w:rFonts w:ascii="黑体" w:eastAsia="黑体" w:hAnsi="黑体"/>
          <w:sz w:val="21"/>
          <w:szCs w:val="21"/>
        </w:rPr>
        <w:tab/>
        <w:t xml:space="preserve">          </w:t>
      </w:r>
      <w:r w:rsidR="003E53AD">
        <w:rPr>
          <w:rFonts w:ascii="黑体" w:eastAsia="黑体" w:hAnsi="黑体"/>
          <w:sz w:val="21"/>
          <w:szCs w:val="21"/>
        </w:rPr>
        <w:t xml:space="preserve">  </w:t>
      </w:r>
      <w:r w:rsidRPr="003E53AD">
        <w:rPr>
          <w:rFonts w:ascii="黑体" w:eastAsia="黑体" w:hAnsi="黑体"/>
          <w:sz w:val="21"/>
          <w:szCs w:val="21"/>
        </w:rPr>
        <w:t xml:space="preserve">      </w:t>
      </w:r>
      <w:r w:rsidRPr="003E53AD">
        <w:rPr>
          <w:rFonts w:ascii="黑体" w:eastAsia="黑体" w:hAnsi="黑体" w:hint="eastAsia"/>
          <w:sz w:val="21"/>
          <w:szCs w:val="21"/>
        </w:rPr>
        <w:t>公告编号：</w:t>
      </w:r>
      <w:r w:rsidR="003B2E98">
        <w:rPr>
          <w:rFonts w:ascii="黑体" w:eastAsia="黑体" w:hAnsi="黑体"/>
          <w:sz w:val="21"/>
          <w:szCs w:val="21"/>
        </w:rPr>
        <w:t>2020-16</w:t>
      </w:r>
    </w:p>
    <w:p w:rsidR="003E53AD" w:rsidRDefault="0005006D" w:rsidP="003E53AD">
      <w:pPr>
        <w:spacing w:before="360" w:after="120"/>
        <w:jc w:val="center"/>
        <w:rPr>
          <w:b/>
          <w:bCs/>
          <w:sz w:val="36"/>
          <w:szCs w:val="36"/>
        </w:rPr>
      </w:pPr>
      <w:r>
        <w:rPr>
          <w:rFonts w:hint="eastAsia"/>
          <w:b/>
          <w:bCs/>
          <w:sz w:val="36"/>
          <w:szCs w:val="36"/>
        </w:rPr>
        <w:t>华孚时尚股份有限公司</w:t>
      </w:r>
    </w:p>
    <w:p w:rsidR="0005006D" w:rsidRDefault="0005006D" w:rsidP="003E53AD">
      <w:pPr>
        <w:spacing w:before="360" w:after="120"/>
        <w:jc w:val="center"/>
        <w:rPr>
          <w:b/>
          <w:bCs/>
          <w:sz w:val="36"/>
          <w:szCs w:val="36"/>
        </w:rPr>
      </w:pPr>
      <w:r>
        <w:rPr>
          <w:b/>
          <w:bCs/>
          <w:sz w:val="36"/>
          <w:szCs w:val="36"/>
        </w:rPr>
        <w:t>2019</w:t>
      </w:r>
      <w:r>
        <w:rPr>
          <w:rFonts w:hint="eastAsia"/>
          <w:b/>
          <w:bCs/>
          <w:sz w:val="36"/>
          <w:szCs w:val="36"/>
        </w:rPr>
        <w:t>年年度报告摘要</w:t>
      </w:r>
    </w:p>
    <w:p w:rsidR="0005006D" w:rsidRDefault="0005006D">
      <w:pPr>
        <w:pStyle w:val="Chapter"/>
        <w:outlineLvl w:val="1"/>
      </w:pPr>
      <w:r>
        <w:rPr>
          <w:rFonts w:hint="eastAsia"/>
        </w:rPr>
        <w:t>一、重要提示</w:t>
      </w:r>
    </w:p>
    <w:p w:rsidR="0005006D" w:rsidRDefault="0005006D">
      <w:pPr>
        <w:jc w:val="left"/>
      </w:pPr>
      <w:r>
        <w:rPr>
          <w:rFonts w:hint="eastAsia"/>
        </w:rPr>
        <w:t>本年度报告摘要来自年度报告全文，为全面了解本公司的经营成果、财务状况及未来发展规划，投资者应当到证监会指定媒体仔细阅读年度报告全文。</w:t>
      </w:r>
    </w:p>
    <w:p w:rsidR="0005006D" w:rsidRDefault="0005006D">
      <w:pPr>
        <w:jc w:val="left"/>
      </w:pPr>
      <w:r>
        <w:rPr>
          <w:rFonts w:hint="eastAsia"/>
        </w:rPr>
        <w:t>董事、监事、高级管理人员异议声明</w:t>
      </w:r>
      <w:r w:rsidR="00B277F1">
        <w:rPr>
          <w:rFonts w:hint="eastAsia"/>
        </w:rPr>
        <w:t>：无</w:t>
      </w:r>
    </w:p>
    <w:p w:rsidR="0005006D" w:rsidRDefault="0005006D">
      <w:pPr>
        <w:jc w:val="left"/>
      </w:pPr>
      <w:r>
        <w:rPr>
          <w:rFonts w:hint="eastAsia"/>
        </w:rPr>
        <w:t>除下列董事外，其他董事亲自出席了审议本次年报的董事会会议</w:t>
      </w:r>
    </w:p>
    <w:p w:rsidR="00B277F1" w:rsidRDefault="00B277F1">
      <w:pPr>
        <w:jc w:val="left"/>
      </w:pPr>
      <w:r w:rsidRPr="00B277F1">
        <w:rPr>
          <w:rFonts w:hint="eastAsia"/>
        </w:rPr>
        <w:t>本次董事会会议全体董事均亲自出席</w:t>
      </w:r>
    </w:p>
    <w:p w:rsidR="0005006D" w:rsidRDefault="0005006D">
      <w:pPr>
        <w:jc w:val="left"/>
      </w:pPr>
      <w:r>
        <w:rPr>
          <w:rFonts w:hint="eastAsia"/>
        </w:rPr>
        <w:t>非标准审计意见提示</w:t>
      </w:r>
    </w:p>
    <w:p w:rsidR="0005006D" w:rsidRDefault="0005006D">
      <w:pPr>
        <w:jc w:val="left"/>
      </w:pPr>
      <w:r>
        <w:t xml:space="preserve">□ </w:t>
      </w:r>
      <w:r>
        <w:rPr>
          <w:rFonts w:hint="eastAsia"/>
        </w:rPr>
        <w:t>适用</w:t>
      </w:r>
      <w:r>
        <w:t xml:space="preserve"> √ </w:t>
      </w:r>
      <w:r>
        <w:rPr>
          <w:rFonts w:hint="eastAsia"/>
        </w:rPr>
        <w:t>不适用</w:t>
      </w:r>
      <w:r>
        <w:t xml:space="preserve"> </w:t>
      </w:r>
    </w:p>
    <w:p w:rsidR="0005006D" w:rsidRDefault="0005006D">
      <w:pPr>
        <w:jc w:val="left"/>
      </w:pPr>
      <w:r>
        <w:rPr>
          <w:rFonts w:hint="eastAsia"/>
        </w:rPr>
        <w:t>董事会审议的报告期普通股利润分配预案或公积金转增股本预案</w:t>
      </w:r>
    </w:p>
    <w:p w:rsidR="0005006D" w:rsidRDefault="0005006D">
      <w:pPr>
        <w:jc w:val="left"/>
      </w:pPr>
      <w:r>
        <w:t xml:space="preserve">√ </w:t>
      </w:r>
      <w:r>
        <w:rPr>
          <w:rFonts w:hint="eastAsia"/>
        </w:rPr>
        <w:t>适用</w:t>
      </w:r>
      <w:r>
        <w:t xml:space="preserve"> □ </w:t>
      </w:r>
      <w:r>
        <w:rPr>
          <w:rFonts w:hint="eastAsia"/>
        </w:rPr>
        <w:t>不适用</w:t>
      </w:r>
      <w:r>
        <w:t xml:space="preserve"> </w:t>
      </w:r>
    </w:p>
    <w:p w:rsidR="0005006D" w:rsidRDefault="0005006D">
      <w:pPr>
        <w:jc w:val="left"/>
      </w:pPr>
      <w:r>
        <w:rPr>
          <w:rFonts w:hint="eastAsia"/>
        </w:rPr>
        <w:t>是否以公积金转增股本</w:t>
      </w:r>
    </w:p>
    <w:p w:rsidR="0005006D" w:rsidRDefault="0005006D">
      <w:pPr>
        <w:jc w:val="left"/>
      </w:pPr>
      <w:r>
        <w:t xml:space="preserve">□ </w:t>
      </w:r>
      <w:r>
        <w:rPr>
          <w:rFonts w:hint="eastAsia"/>
        </w:rPr>
        <w:t>是</w:t>
      </w:r>
      <w:r>
        <w:t xml:space="preserve"> √ </w:t>
      </w:r>
      <w:r>
        <w:rPr>
          <w:rFonts w:hint="eastAsia"/>
        </w:rPr>
        <w:t>否</w:t>
      </w:r>
      <w:r>
        <w:t xml:space="preserve"> </w:t>
      </w:r>
    </w:p>
    <w:p w:rsidR="0005006D" w:rsidRDefault="0005006D">
      <w:pPr>
        <w:jc w:val="left"/>
      </w:pPr>
      <w:r>
        <w:rPr>
          <w:rFonts w:hint="eastAsia"/>
        </w:rPr>
        <w:t>公司经本次董事会审议通过的普通股利润分配预案为：以</w:t>
      </w:r>
      <w:r>
        <w:t>1,426,402,520</w:t>
      </w:r>
      <w:r>
        <w:rPr>
          <w:rFonts w:hint="eastAsia"/>
        </w:rPr>
        <w:t>股为基数，向全体股东每</w:t>
      </w:r>
      <w:r>
        <w:t>10</w:t>
      </w:r>
      <w:r>
        <w:rPr>
          <w:rFonts w:hint="eastAsia"/>
        </w:rPr>
        <w:t>股派发现金红利</w:t>
      </w:r>
      <w:r>
        <w:t>1.41</w:t>
      </w:r>
      <w:r>
        <w:rPr>
          <w:rFonts w:hint="eastAsia"/>
        </w:rPr>
        <w:t>元（含税），送红股</w:t>
      </w:r>
      <w:r>
        <w:t>0</w:t>
      </w:r>
      <w:r>
        <w:rPr>
          <w:rFonts w:hint="eastAsia"/>
        </w:rPr>
        <w:t>股（含税），不以公积金转增股本。</w:t>
      </w:r>
    </w:p>
    <w:p w:rsidR="0005006D" w:rsidRDefault="0005006D">
      <w:pPr>
        <w:jc w:val="left"/>
      </w:pPr>
      <w:r>
        <w:rPr>
          <w:rFonts w:hint="eastAsia"/>
        </w:rPr>
        <w:t>董事会决议通过的本报告期优先股利润分配预案</w:t>
      </w:r>
    </w:p>
    <w:p w:rsidR="0005006D" w:rsidRDefault="0005006D">
      <w:pPr>
        <w:jc w:val="left"/>
      </w:pPr>
      <w:r>
        <w:t xml:space="preserve">□ </w:t>
      </w:r>
      <w:r>
        <w:rPr>
          <w:rFonts w:hint="eastAsia"/>
        </w:rPr>
        <w:t>适用</w:t>
      </w:r>
      <w:r>
        <w:t xml:space="preserve"> □ </w:t>
      </w:r>
      <w:r>
        <w:rPr>
          <w:rFonts w:hint="eastAsia"/>
        </w:rPr>
        <w:t>不适用</w:t>
      </w:r>
      <w:r>
        <w:t xml:space="preserve"> </w:t>
      </w:r>
    </w:p>
    <w:p w:rsidR="0005006D" w:rsidRDefault="0005006D">
      <w:pPr>
        <w:pStyle w:val="Chapter"/>
        <w:outlineLvl w:val="1"/>
      </w:pPr>
      <w:r>
        <w:rPr>
          <w:rFonts w:hint="eastAsia"/>
        </w:rPr>
        <w:t>二、公司基本情况</w:t>
      </w:r>
    </w:p>
    <w:p w:rsidR="0005006D" w:rsidRDefault="0005006D">
      <w:pPr>
        <w:pStyle w:val="Section"/>
        <w:outlineLvl w:val="2"/>
      </w:pPr>
      <w:r>
        <w:t>1</w:t>
      </w:r>
      <w:r>
        <w:rPr>
          <w:rFonts w:hint="eastAsia"/>
        </w:rPr>
        <w:t>、公司简介</w:t>
      </w:r>
    </w:p>
    <w:tbl>
      <w:tblPr>
        <w:tblW w:w="9793" w:type="dxa"/>
        <w:tblInd w:w="28" w:type="dxa"/>
        <w:tblLayout w:type="fixed"/>
        <w:tblCellMar>
          <w:left w:w="28" w:type="dxa"/>
          <w:right w:w="28" w:type="dxa"/>
        </w:tblCellMar>
        <w:tblLook w:val="0000" w:firstRow="0" w:lastRow="0" w:firstColumn="0" w:lastColumn="0" w:noHBand="0" w:noVBand="0"/>
      </w:tblPr>
      <w:tblGrid>
        <w:gridCol w:w="1597"/>
        <w:gridCol w:w="3365"/>
        <w:gridCol w:w="697"/>
        <w:gridCol w:w="1780"/>
        <w:gridCol w:w="2354"/>
      </w:tblGrid>
      <w:tr w:rsidR="0005006D" w:rsidTr="00A7031B">
        <w:tblPrEx>
          <w:tblCellMar>
            <w:top w:w="0" w:type="dxa"/>
            <w:bottom w:w="0" w:type="dxa"/>
          </w:tblCellMar>
        </w:tblPrEx>
        <w:trPr>
          <w:trHeight w:val="322"/>
        </w:trPr>
        <w:tc>
          <w:tcPr>
            <w:tcW w:w="1597"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pPr>
            <w:r>
              <w:rPr>
                <w:rFonts w:hint="eastAsia"/>
              </w:rPr>
              <w:t>股票简称</w:t>
            </w:r>
          </w:p>
        </w:tc>
        <w:tc>
          <w:tcPr>
            <w:tcW w:w="3365" w:type="dxa"/>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rPr>
                <w:rFonts w:hint="eastAsia"/>
              </w:rPr>
              <w:t>华孚时尚</w:t>
            </w:r>
            <w:r>
              <w:tab/>
            </w:r>
          </w:p>
        </w:tc>
        <w:tc>
          <w:tcPr>
            <w:tcW w:w="24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pPr>
            <w:r>
              <w:rPr>
                <w:rFonts w:hint="eastAsia"/>
              </w:rPr>
              <w:t>股票代码</w:t>
            </w:r>
          </w:p>
        </w:tc>
        <w:tc>
          <w:tcPr>
            <w:tcW w:w="2354" w:type="dxa"/>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t>002042</w:t>
            </w:r>
          </w:p>
        </w:tc>
      </w:tr>
      <w:tr w:rsidR="0005006D" w:rsidTr="00B277F1">
        <w:tblPrEx>
          <w:tblCellMar>
            <w:top w:w="0" w:type="dxa"/>
            <w:bottom w:w="0" w:type="dxa"/>
          </w:tblCellMar>
        </w:tblPrEx>
        <w:trPr>
          <w:trHeight w:val="307"/>
        </w:trPr>
        <w:tc>
          <w:tcPr>
            <w:tcW w:w="1597"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pPr>
            <w:r>
              <w:rPr>
                <w:rFonts w:hint="eastAsia"/>
              </w:rPr>
              <w:t>股票上市交易所</w:t>
            </w:r>
          </w:p>
        </w:tc>
        <w:tc>
          <w:tcPr>
            <w:tcW w:w="819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rPr>
                <w:rFonts w:hint="eastAsia"/>
              </w:rPr>
              <w:t>深圳证券交易所</w:t>
            </w:r>
          </w:p>
        </w:tc>
      </w:tr>
      <w:tr w:rsidR="0005006D" w:rsidTr="00A7031B">
        <w:tblPrEx>
          <w:tblCellMar>
            <w:top w:w="0" w:type="dxa"/>
            <w:bottom w:w="0" w:type="dxa"/>
          </w:tblCellMar>
        </w:tblPrEx>
        <w:trPr>
          <w:trHeight w:val="369"/>
        </w:trPr>
        <w:tc>
          <w:tcPr>
            <w:tcW w:w="1597"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pPr>
            <w:r>
              <w:rPr>
                <w:rFonts w:hint="eastAsia"/>
              </w:rPr>
              <w:t>联系人和联系方式</w:t>
            </w:r>
          </w:p>
        </w:tc>
        <w:tc>
          <w:tcPr>
            <w:tcW w:w="406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pPr>
            <w:r>
              <w:rPr>
                <w:rFonts w:hint="eastAsia"/>
              </w:rPr>
              <w:t>董事会秘书</w:t>
            </w:r>
          </w:p>
        </w:tc>
        <w:tc>
          <w:tcPr>
            <w:tcW w:w="41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pPr>
            <w:r>
              <w:rPr>
                <w:rFonts w:hint="eastAsia"/>
              </w:rPr>
              <w:t>证券事务代表</w:t>
            </w:r>
          </w:p>
        </w:tc>
      </w:tr>
      <w:tr w:rsidR="0005006D" w:rsidTr="00A7031B">
        <w:tblPrEx>
          <w:tblCellMar>
            <w:top w:w="0" w:type="dxa"/>
            <w:bottom w:w="0" w:type="dxa"/>
          </w:tblCellMar>
        </w:tblPrEx>
        <w:trPr>
          <w:trHeight w:val="322"/>
        </w:trPr>
        <w:tc>
          <w:tcPr>
            <w:tcW w:w="1597"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pPr>
            <w:r>
              <w:rPr>
                <w:rFonts w:hint="eastAsia"/>
              </w:rPr>
              <w:t>姓名</w:t>
            </w:r>
          </w:p>
        </w:tc>
        <w:tc>
          <w:tcPr>
            <w:tcW w:w="4062"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rPr>
                <w:rFonts w:hint="eastAsia"/>
              </w:rPr>
              <w:t>张正</w:t>
            </w:r>
            <w:r>
              <w:tab/>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rPr>
                <w:rFonts w:hint="eastAsia"/>
              </w:rPr>
              <w:t>杨溶</w:t>
            </w:r>
          </w:p>
        </w:tc>
      </w:tr>
      <w:tr w:rsidR="0005006D" w:rsidTr="00A7031B">
        <w:tblPrEx>
          <w:tblCellMar>
            <w:top w:w="0" w:type="dxa"/>
            <w:bottom w:w="0" w:type="dxa"/>
          </w:tblCellMar>
        </w:tblPrEx>
        <w:trPr>
          <w:trHeight w:val="356"/>
        </w:trPr>
        <w:tc>
          <w:tcPr>
            <w:tcW w:w="1597"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pPr>
            <w:r>
              <w:rPr>
                <w:rFonts w:hint="eastAsia"/>
              </w:rPr>
              <w:t>办公地址</w:t>
            </w:r>
          </w:p>
        </w:tc>
        <w:tc>
          <w:tcPr>
            <w:tcW w:w="4062"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rPr>
                <w:rFonts w:hint="eastAsia"/>
              </w:rPr>
              <w:t>广东省深圳市福田区市花路</w:t>
            </w:r>
            <w:r>
              <w:t>5</w:t>
            </w:r>
            <w:r>
              <w:rPr>
                <w:rFonts w:hint="eastAsia"/>
              </w:rPr>
              <w:t>号长富金茂大厦</w:t>
            </w:r>
            <w:r>
              <w:t>59</w:t>
            </w:r>
            <w:r>
              <w:rPr>
                <w:rFonts w:hint="eastAsia"/>
              </w:rPr>
              <w:t>楼</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rPr>
                <w:rFonts w:hint="eastAsia"/>
              </w:rPr>
              <w:t>广东省深圳市福田区市花路</w:t>
            </w:r>
            <w:r>
              <w:t>5</w:t>
            </w:r>
            <w:r>
              <w:rPr>
                <w:rFonts w:hint="eastAsia"/>
              </w:rPr>
              <w:t>号长富金茂大厦</w:t>
            </w:r>
            <w:r>
              <w:t>59</w:t>
            </w:r>
            <w:r>
              <w:rPr>
                <w:rFonts w:hint="eastAsia"/>
              </w:rPr>
              <w:t>楼</w:t>
            </w:r>
          </w:p>
        </w:tc>
      </w:tr>
      <w:tr w:rsidR="0005006D" w:rsidTr="00A7031B">
        <w:tblPrEx>
          <w:tblCellMar>
            <w:top w:w="0" w:type="dxa"/>
            <w:bottom w:w="0" w:type="dxa"/>
          </w:tblCellMar>
        </w:tblPrEx>
        <w:trPr>
          <w:trHeight w:val="307"/>
        </w:trPr>
        <w:tc>
          <w:tcPr>
            <w:tcW w:w="1597"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pPr>
            <w:r>
              <w:rPr>
                <w:rFonts w:hint="eastAsia"/>
              </w:rPr>
              <w:t>电话</w:t>
            </w:r>
          </w:p>
        </w:tc>
        <w:tc>
          <w:tcPr>
            <w:tcW w:w="4062"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t>0755-83735593</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t>0755-83735433</w:t>
            </w:r>
          </w:p>
        </w:tc>
      </w:tr>
      <w:tr w:rsidR="0005006D" w:rsidTr="00A7031B">
        <w:tblPrEx>
          <w:tblCellMar>
            <w:top w:w="0" w:type="dxa"/>
            <w:bottom w:w="0" w:type="dxa"/>
          </w:tblCellMar>
        </w:tblPrEx>
        <w:trPr>
          <w:trHeight w:val="338"/>
        </w:trPr>
        <w:tc>
          <w:tcPr>
            <w:tcW w:w="1597"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pPr>
            <w:r>
              <w:rPr>
                <w:rFonts w:hint="eastAsia"/>
              </w:rPr>
              <w:t>电子信箱</w:t>
            </w:r>
          </w:p>
        </w:tc>
        <w:tc>
          <w:tcPr>
            <w:tcW w:w="4062"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t>dongban@e-huafu.com</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left"/>
            </w:pPr>
            <w:r>
              <w:t>yangr@e-huafu.com</w:t>
            </w:r>
          </w:p>
        </w:tc>
      </w:tr>
    </w:tbl>
    <w:p w:rsidR="0005006D" w:rsidRDefault="0005006D">
      <w:pPr>
        <w:pStyle w:val="Section"/>
        <w:outlineLvl w:val="2"/>
      </w:pPr>
      <w:r>
        <w:t>2</w:t>
      </w:r>
      <w:r>
        <w:rPr>
          <w:rFonts w:hint="eastAsia"/>
        </w:rPr>
        <w:t>、报告期主要业务或产品简介</w:t>
      </w:r>
    </w:p>
    <w:p w:rsidR="0005006D" w:rsidRPr="00B277F1" w:rsidRDefault="0005006D" w:rsidP="003E53AD">
      <w:pPr>
        <w:autoSpaceDE w:val="0"/>
        <w:autoSpaceDN w:val="0"/>
        <w:adjustRightInd w:val="0"/>
        <w:spacing w:before="0" w:after="0" w:line="360" w:lineRule="auto"/>
        <w:ind w:firstLine="420"/>
        <w:jc w:val="left"/>
        <w:rPr>
          <w:rFonts w:asciiTheme="minorEastAsia" w:eastAsiaTheme="minorEastAsia" w:hAnsiTheme="minorEastAsia"/>
          <w:kern w:val="0"/>
          <w:lang w:val="zh-CN"/>
        </w:rPr>
      </w:pPr>
      <w:r w:rsidRPr="00B277F1">
        <w:rPr>
          <w:rFonts w:asciiTheme="minorEastAsia" w:eastAsiaTheme="minorEastAsia" w:hAnsiTheme="minorEastAsia"/>
          <w:kern w:val="0"/>
          <w:lang w:val="zh-CN"/>
        </w:rPr>
        <w:t>1</w:t>
      </w:r>
      <w:r w:rsidRPr="00B277F1">
        <w:rPr>
          <w:rFonts w:asciiTheme="minorEastAsia" w:eastAsiaTheme="minorEastAsia" w:hAnsiTheme="minorEastAsia" w:cs="宋体" w:hint="eastAsia"/>
          <w:kern w:val="0"/>
          <w:lang w:val="zh-CN"/>
        </w:rPr>
        <w:t>、公司的主要业务</w:t>
      </w:r>
    </w:p>
    <w:p w:rsidR="0005006D" w:rsidRPr="00B277F1" w:rsidRDefault="0005006D" w:rsidP="003E53AD">
      <w:pPr>
        <w:autoSpaceDE w:val="0"/>
        <w:autoSpaceDN w:val="0"/>
        <w:adjustRightInd w:val="0"/>
        <w:spacing w:before="0" w:after="0" w:line="360" w:lineRule="auto"/>
        <w:ind w:firstLine="360"/>
        <w:jc w:val="left"/>
        <w:rPr>
          <w:rFonts w:asciiTheme="minorEastAsia" w:eastAsiaTheme="minorEastAsia" w:hAnsiTheme="minorEastAsia"/>
          <w:kern w:val="0"/>
          <w:lang w:val="zh-CN"/>
        </w:rPr>
      </w:pPr>
      <w:r w:rsidRPr="00B277F1">
        <w:rPr>
          <w:rFonts w:asciiTheme="minorEastAsia" w:eastAsiaTheme="minorEastAsia" w:hAnsiTheme="minorEastAsia" w:cs="宋体" w:hint="eastAsia"/>
          <w:kern w:val="0"/>
          <w:lang w:val="zh-CN"/>
        </w:rPr>
        <w:t>公司作为全球最大的色纺纱供应商和制造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纺服供应链，实现前后端产业贯通，致力成为全球纺织服装产业时尚营运商。</w:t>
      </w:r>
    </w:p>
    <w:p w:rsidR="0005006D" w:rsidRPr="00B277F1" w:rsidRDefault="0005006D" w:rsidP="003E53AD">
      <w:pPr>
        <w:autoSpaceDE w:val="0"/>
        <w:autoSpaceDN w:val="0"/>
        <w:adjustRightInd w:val="0"/>
        <w:spacing w:before="0" w:after="0" w:line="360" w:lineRule="auto"/>
        <w:ind w:firstLine="360"/>
        <w:jc w:val="left"/>
        <w:rPr>
          <w:rFonts w:asciiTheme="minorEastAsia" w:eastAsiaTheme="minorEastAsia" w:hAnsiTheme="minorEastAsia"/>
          <w:kern w:val="0"/>
          <w:lang w:val="zh-CN"/>
        </w:rPr>
      </w:pPr>
      <w:r w:rsidRPr="00B277F1">
        <w:rPr>
          <w:rFonts w:asciiTheme="minorEastAsia" w:eastAsiaTheme="minorEastAsia" w:hAnsiTheme="minorEastAsia"/>
          <w:kern w:val="0"/>
          <w:lang w:val="zh-CN"/>
        </w:rPr>
        <w:t>2</w:t>
      </w:r>
      <w:r w:rsidRPr="00B277F1">
        <w:rPr>
          <w:rFonts w:asciiTheme="minorEastAsia" w:eastAsiaTheme="minorEastAsia" w:hAnsiTheme="minorEastAsia" w:cs="宋体" w:hint="eastAsia"/>
          <w:kern w:val="0"/>
          <w:lang w:val="zh-CN"/>
        </w:rPr>
        <w:t>、经营模式</w:t>
      </w:r>
    </w:p>
    <w:p w:rsidR="0005006D" w:rsidRPr="00B277F1" w:rsidRDefault="0005006D" w:rsidP="003E53AD">
      <w:pPr>
        <w:autoSpaceDE w:val="0"/>
        <w:autoSpaceDN w:val="0"/>
        <w:adjustRightInd w:val="0"/>
        <w:spacing w:before="0" w:after="0" w:line="360" w:lineRule="auto"/>
        <w:ind w:firstLine="360"/>
        <w:jc w:val="left"/>
        <w:rPr>
          <w:rFonts w:asciiTheme="minorEastAsia" w:eastAsiaTheme="minorEastAsia" w:hAnsiTheme="minorEastAsia"/>
          <w:kern w:val="0"/>
          <w:lang w:val="zh-CN"/>
        </w:rPr>
      </w:pPr>
      <w:r w:rsidRPr="00B277F1">
        <w:rPr>
          <w:rFonts w:asciiTheme="minorEastAsia" w:eastAsiaTheme="minorEastAsia" w:hAnsiTheme="minorEastAsia" w:cs="宋体" w:hint="eastAsia"/>
          <w:kern w:val="0"/>
          <w:lang w:val="zh-CN"/>
        </w:rPr>
        <w:lastRenderedPageBreak/>
        <w:t>纱线方面，公司依托国家一带一路战略，实行国内外平衡的产能布局，</w:t>
      </w:r>
      <w:r w:rsidRPr="00B277F1">
        <w:rPr>
          <w:rFonts w:asciiTheme="minorEastAsia" w:eastAsiaTheme="minorEastAsia" w:hAnsiTheme="minorEastAsia"/>
          <w:kern w:val="0"/>
          <w:lang w:val="zh-CN"/>
        </w:rPr>
        <w:t>2019</w:t>
      </w:r>
      <w:r w:rsidRPr="00B277F1">
        <w:rPr>
          <w:rFonts w:asciiTheme="minorEastAsia" w:eastAsiaTheme="minorEastAsia" w:hAnsiTheme="minorEastAsia" w:cs="宋体" w:hint="eastAsia"/>
          <w:kern w:val="0"/>
          <w:lang w:val="zh-CN"/>
        </w:rPr>
        <w:t>年形成</w:t>
      </w:r>
      <w:r w:rsidRPr="00B277F1">
        <w:rPr>
          <w:rFonts w:asciiTheme="minorEastAsia" w:eastAsiaTheme="minorEastAsia" w:hAnsiTheme="minorEastAsia"/>
          <w:kern w:val="0"/>
          <w:lang w:val="zh-CN"/>
        </w:rPr>
        <w:t>189</w:t>
      </w:r>
      <w:r w:rsidRPr="00B277F1">
        <w:rPr>
          <w:rFonts w:asciiTheme="minorEastAsia" w:eastAsiaTheme="minorEastAsia" w:hAnsiTheme="minorEastAsia" w:cs="宋体" w:hint="eastAsia"/>
          <w:kern w:val="0"/>
          <w:lang w:val="zh-CN"/>
        </w:rPr>
        <w:t>万锭，年产</w:t>
      </w:r>
      <w:r w:rsidRPr="00B277F1">
        <w:rPr>
          <w:rFonts w:asciiTheme="minorEastAsia" w:eastAsiaTheme="minorEastAsia" w:hAnsiTheme="minorEastAsia"/>
          <w:kern w:val="0"/>
          <w:lang w:val="zh-CN"/>
        </w:rPr>
        <w:t>25</w:t>
      </w:r>
      <w:r w:rsidRPr="00B277F1">
        <w:rPr>
          <w:rFonts w:asciiTheme="minorEastAsia" w:eastAsiaTheme="minorEastAsia" w:hAnsiTheme="minorEastAsia" w:cs="宋体" w:hint="eastAsia"/>
          <w:kern w:val="0"/>
          <w:lang w:val="zh-CN"/>
        </w:rPr>
        <w:t>万吨新型纱线的生产体系，生产基地覆盖中国东部和新疆、越南等地。公司通过产业链协同，统筹市场及订单信息，制定</w:t>
      </w:r>
      <w:r w:rsidRPr="00B277F1">
        <w:rPr>
          <w:rFonts w:asciiTheme="minorEastAsia" w:eastAsiaTheme="minorEastAsia" w:hAnsiTheme="minorEastAsia"/>
          <w:kern w:val="0"/>
          <w:lang w:val="zh-CN"/>
        </w:rPr>
        <w:t>“</w:t>
      </w:r>
      <w:r w:rsidRPr="00B277F1">
        <w:rPr>
          <w:rFonts w:asciiTheme="minorEastAsia" w:eastAsiaTheme="minorEastAsia" w:hAnsiTheme="minorEastAsia" w:cs="宋体" w:hint="eastAsia"/>
          <w:kern w:val="0"/>
          <w:lang w:val="zh-CN"/>
        </w:rPr>
        <w:t>点（产地）对点（客户）</w:t>
      </w:r>
      <w:r w:rsidRPr="00B277F1">
        <w:rPr>
          <w:rFonts w:asciiTheme="minorEastAsia" w:eastAsiaTheme="minorEastAsia" w:hAnsiTheme="minorEastAsia"/>
          <w:kern w:val="0"/>
          <w:lang w:val="zh-CN"/>
        </w:rPr>
        <w:t>”</w:t>
      </w:r>
      <w:r w:rsidRPr="00B277F1">
        <w:rPr>
          <w:rFonts w:asciiTheme="minorEastAsia" w:eastAsiaTheme="minorEastAsia" w:hAnsiTheme="minorEastAsia" w:cs="宋体" w:hint="eastAsia"/>
          <w:kern w:val="0"/>
          <w:lang w:val="zh-CN"/>
        </w:rPr>
        <w:t>的供应链计划，分区域、分工厂、分生产线进行规模化定制，公司坚持以客户为本，品质至上，以趋势为方向，通过产品创新提升产品品质及附加值，赢得了客户的信赖，市场份额稳步提升。</w:t>
      </w:r>
    </w:p>
    <w:p w:rsidR="0005006D" w:rsidRPr="00B277F1" w:rsidRDefault="0005006D" w:rsidP="003E53AD">
      <w:pPr>
        <w:autoSpaceDE w:val="0"/>
        <w:autoSpaceDN w:val="0"/>
        <w:adjustRightInd w:val="0"/>
        <w:spacing w:before="0" w:after="0" w:line="360" w:lineRule="auto"/>
        <w:ind w:firstLine="360"/>
        <w:jc w:val="left"/>
        <w:rPr>
          <w:rFonts w:asciiTheme="minorEastAsia" w:eastAsiaTheme="minorEastAsia" w:hAnsiTheme="minorEastAsia"/>
          <w:kern w:val="0"/>
          <w:lang w:val="zh-CN"/>
        </w:rPr>
      </w:pPr>
      <w:r w:rsidRPr="00B277F1">
        <w:rPr>
          <w:rFonts w:asciiTheme="minorEastAsia" w:eastAsiaTheme="minorEastAsia" w:hAnsiTheme="minorEastAsia" w:cs="宋体" w:hint="eastAsia"/>
          <w:kern w:val="0"/>
          <w:lang w:val="zh-CN"/>
        </w:rPr>
        <w:t>公司实行网链战略，打造产业互联网平台，发展柔性供应链，通过价值服务，逐步实现产业转型升级。</w:t>
      </w:r>
    </w:p>
    <w:p w:rsidR="0005006D" w:rsidRDefault="0005006D">
      <w:pPr>
        <w:pStyle w:val="Section"/>
        <w:outlineLvl w:val="2"/>
        <w:rPr>
          <w:bCs w:val="0"/>
          <w:szCs w:val="24"/>
        </w:rPr>
      </w:pPr>
      <w:r>
        <w:rPr>
          <w:bCs w:val="0"/>
          <w:szCs w:val="24"/>
        </w:rPr>
        <w:t>3</w:t>
      </w:r>
      <w:r>
        <w:rPr>
          <w:rFonts w:hint="eastAsia"/>
          <w:bCs w:val="0"/>
          <w:szCs w:val="24"/>
        </w:rPr>
        <w:t>、主要会计数据和财务指标</w:t>
      </w:r>
    </w:p>
    <w:p w:rsidR="0005006D" w:rsidRDefault="0005006D">
      <w:pPr>
        <w:pStyle w:val="Section"/>
        <w:outlineLvl w:val="3"/>
        <w:rPr>
          <w:bCs w:val="0"/>
          <w:szCs w:val="24"/>
        </w:rPr>
      </w:pPr>
      <w:r>
        <w:rPr>
          <w:rFonts w:hint="eastAsia"/>
          <w:bCs w:val="0"/>
          <w:szCs w:val="24"/>
        </w:rPr>
        <w:t>（</w:t>
      </w:r>
      <w:r>
        <w:rPr>
          <w:bCs w:val="0"/>
          <w:szCs w:val="24"/>
        </w:rPr>
        <w:t>1</w:t>
      </w:r>
      <w:r>
        <w:rPr>
          <w:rFonts w:hint="eastAsia"/>
          <w:bCs w:val="0"/>
          <w:szCs w:val="24"/>
        </w:rPr>
        <w:t>）近三年主要会计数据和财务指标</w:t>
      </w:r>
    </w:p>
    <w:p w:rsidR="0005006D" w:rsidRDefault="0005006D">
      <w:pPr>
        <w:jc w:val="left"/>
        <w:rPr>
          <w:szCs w:val="24"/>
        </w:rPr>
      </w:pPr>
      <w:r>
        <w:rPr>
          <w:rFonts w:hint="eastAsia"/>
          <w:szCs w:val="24"/>
        </w:rPr>
        <w:t>公司是否需追溯调整或重述以前年度会计数据</w:t>
      </w:r>
    </w:p>
    <w:p w:rsidR="0005006D" w:rsidRDefault="0005006D">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05006D" w:rsidRDefault="0005006D">
      <w:pPr>
        <w:jc w:val="left"/>
        <w:rPr>
          <w:szCs w:val="24"/>
        </w:rPr>
      </w:pPr>
      <w:r>
        <w:rPr>
          <w:rFonts w:hint="eastAsia"/>
          <w:szCs w:val="24"/>
        </w:rPr>
        <w:t>追溯调整或重述原因</w:t>
      </w:r>
      <w:r w:rsidR="003E53AD">
        <w:rPr>
          <w:rFonts w:hint="eastAsia"/>
          <w:szCs w:val="24"/>
        </w:rPr>
        <w:t>：</w:t>
      </w:r>
      <w:r>
        <w:rPr>
          <w:rFonts w:hint="eastAsia"/>
          <w:szCs w:val="24"/>
        </w:rPr>
        <w:t>同一控制下企业合并</w:t>
      </w:r>
    </w:p>
    <w:p w:rsidR="0005006D" w:rsidRDefault="0005006D">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60"/>
        <w:gridCol w:w="1200"/>
        <w:gridCol w:w="1201"/>
        <w:gridCol w:w="1201"/>
        <w:gridCol w:w="1201"/>
        <w:gridCol w:w="1202"/>
        <w:gridCol w:w="1202"/>
      </w:tblGrid>
      <w:tr w:rsidR="0005006D">
        <w:tblPrEx>
          <w:tblCellMar>
            <w:top w:w="0" w:type="dxa"/>
            <w:bottom w:w="0" w:type="dxa"/>
          </w:tblCellMar>
        </w:tblPrEx>
        <w:tc>
          <w:tcPr>
            <w:tcW w:w="23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szCs w:val="24"/>
              </w:rPr>
              <w:t>2019</w:t>
            </w:r>
            <w:r>
              <w:rPr>
                <w:rFonts w:hint="eastAsia"/>
                <w:szCs w:val="24"/>
              </w:rPr>
              <w:t>年</w:t>
            </w:r>
          </w:p>
        </w:tc>
        <w:tc>
          <w:tcPr>
            <w:tcW w:w="240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szCs w:val="24"/>
              </w:rPr>
              <w:t>2018</w:t>
            </w:r>
            <w:r>
              <w:rPr>
                <w:rFonts w:hint="eastAsia"/>
                <w:szCs w:val="24"/>
              </w:rPr>
              <w:t>年</w:t>
            </w: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本年比上年增减</w:t>
            </w:r>
          </w:p>
        </w:tc>
        <w:tc>
          <w:tcPr>
            <w:tcW w:w="240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szCs w:val="24"/>
              </w:rPr>
              <w:t>2017</w:t>
            </w:r>
            <w:r>
              <w:rPr>
                <w:rFonts w:hint="eastAsia"/>
                <w:szCs w:val="24"/>
              </w:rPr>
              <w:t>年</w:t>
            </w:r>
          </w:p>
        </w:tc>
      </w:tr>
      <w:tr w:rsidR="0005006D">
        <w:tblPrEx>
          <w:tblCellMar>
            <w:top w:w="0" w:type="dxa"/>
            <w:bottom w:w="0" w:type="dxa"/>
          </w:tblCellMar>
        </w:tblPrEx>
        <w:tc>
          <w:tcPr>
            <w:tcW w:w="2360" w:type="dxa"/>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调整前</w:t>
            </w: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调整后</w:t>
            </w: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调整后</w:t>
            </w: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调整前</w:t>
            </w: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调整后</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营业收入</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15,886,871,683.43</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14,307,433,720.22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14,307,464,898.22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11.04%</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12,596,539,031.75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12,596,539,031.75</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归属于上市公司股东的净利润</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402,294,451.12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751,781,446.52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746,980,716.48</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-46.14%</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677,376,240.73</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677,376,240.73</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归属于上市公司股东的扣除非经常性损益的净利润</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51,365,361.62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314,143,765.20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309,343,035.16</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-83.40%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407,197,137.04</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407,197,137.04</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经营活动产生的现金流量净额</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1,892,922,477.41</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-485,799,889.22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-481,069,354.50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3B2E98">
            <w:pPr>
              <w:jc w:val="right"/>
              <w:rPr>
                <w:szCs w:val="24"/>
              </w:rPr>
            </w:pPr>
            <w:r>
              <w:rPr>
                <w:rFonts w:hint="eastAsia"/>
                <w:szCs w:val="24"/>
              </w:rPr>
              <w:t>不适用</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-1,320,866,636.34</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-1,320,866,636.34</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基本每股收益（元</w:t>
            </w:r>
            <w:r>
              <w:rPr>
                <w:szCs w:val="24"/>
              </w:rPr>
              <w:t>/</w:t>
            </w:r>
            <w:r>
              <w:rPr>
                <w:rFonts w:hint="eastAsia"/>
                <w:szCs w:val="24"/>
              </w:rPr>
              <w:t>股）</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0.27</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0.50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0.50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-46.00%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0.69</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0.69</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稀释每股收益（元</w:t>
            </w:r>
            <w:r>
              <w:rPr>
                <w:szCs w:val="24"/>
              </w:rPr>
              <w:t>/</w:t>
            </w:r>
            <w:r>
              <w:rPr>
                <w:rFonts w:hint="eastAsia"/>
                <w:szCs w:val="24"/>
              </w:rPr>
              <w:t>股）</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0.27</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0.50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0.50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-46.00%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0.69</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0.69</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加权平均净资产收益率</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6.07%</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10.82%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10.82%</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-4.75%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11.05%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11.05%</w:t>
            </w:r>
          </w:p>
        </w:tc>
      </w:tr>
      <w:tr w:rsidR="0005006D">
        <w:tblPrEx>
          <w:tblCellMar>
            <w:top w:w="0" w:type="dxa"/>
            <w:bottom w:w="0" w:type="dxa"/>
          </w:tblCellMar>
        </w:tblPrEx>
        <w:tc>
          <w:tcPr>
            <w:tcW w:w="23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szCs w:val="24"/>
              </w:rPr>
              <w:t>2019</w:t>
            </w:r>
            <w:r>
              <w:rPr>
                <w:rFonts w:hint="eastAsia"/>
                <w:szCs w:val="24"/>
              </w:rPr>
              <w:t>年末</w:t>
            </w:r>
          </w:p>
        </w:tc>
        <w:tc>
          <w:tcPr>
            <w:tcW w:w="240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szCs w:val="24"/>
              </w:rPr>
              <w:t>2018</w:t>
            </w:r>
            <w:r>
              <w:rPr>
                <w:rFonts w:hint="eastAsia"/>
                <w:szCs w:val="24"/>
              </w:rPr>
              <w:t>年末</w:t>
            </w: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本年末比上年末增减</w:t>
            </w:r>
          </w:p>
        </w:tc>
        <w:tc>
          <w:tcPr>
            <w:tcW w:w="240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szCs w:val="24"/>
              </w:rPr>
              <w:t>2017</w:t>
            </w:r>
            <w:r>
              <w:rPr>
                <w:rFonts w:hint="eastAsia"/>
                <w:szCs w:val="24"/>
              </w:rPr>
              <w:t>年末</w:t>
            </w:r>
          </w:p>
        </w:tc>
      </w:tr>
      <w:tr w:rsidR="0005006D">
        <w:tblPrEx>
          <w:tblCellMar>
            <w:top w:w="0" w:type="dxa"/>
            <w:bottom w:w="0" w:type="dxa"/>
          </w:tblCellMar>
        </w:tblPrEx>
        <w:tc>
          <w:tcPr>
            <w:tcW w:w="2360" w:type="dxa"/>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调整前</w:t>
            </w: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调整后</w:t>
            </w: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调整后</w:t>
            </w: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调整前</w:t>
            </w: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调整后</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资产总额</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18,335,875,515.57</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18,462,322,828.79</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18,535,408,458.26</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-1.08%</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16,031,151,627.41</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16,031,151,627.41</w:t>
            </w:r>
          </w:p>
        </w:tc>
      </w:tr>
      <w:tr w:rsidR="0005006D">
        <w:tblPrEx>
          <w:tblCellMar>
            <w:top w:w="0" w:type="dxa"/>
            <w:bottom w:w="0" w:type="dxa"/>
          </w:tblCellMar>
        </w:tblPrEx>
        <w:tc>
          <w:tcPr>
            <w:tcW w:w="23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归属于上市公司股东的净资产</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6,300,744,089.76</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6,923,921,461.38</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6,982,950,451.99</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-9.77%</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6,883,084,099.06</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r>
              <w:rPr>
                <w:szCs w:val="24"/>
              </w:rPr>
              <w:t>6,883,084,099.06</w:t>
            </w:r>
          </w:p>
        </w:tc>
      </w:tr>
    </w:tbl>
    <w:p w:rsidR="0005006D" w:rsidRDefault="0005006D">
      <w:pPr>
        <w:pStyle w:val="Section"/>
        <w:outlineLvl w:val="3"/>
        <w:rPr>
          <w:bCs w:val="0"/>
          <w:szCs w:val="24"/>
        </w:rPr>
      </w:pPr>
      <w:r>
        <w:rPr>
          <w:rFonts w:hint="eastAsia"/>
          <w:bCs w:val="0"/>
          <w:szCs w:val="24"/>
        </w:rPr>
        <w:t>（</w:t>
      </w:r>
      <w:r>
        <w:rPr>
          <w:bCs w:val="0"/>
          <w:szCs w:val="24"/>
        </w:rPr>
        <w:t>2</w:t>
      </w:r>
      <w:r>
        <w:rPr>
          <w:rFonts w:hint="eastAsia"/>
          <w:bCs w:val="0"/>
          <w:szCs w:val="24"/>
        </w:rPr>
        <w:t>）分季度主要会计数据</w:t>
      </w:r>
    </w:p>
    <w:p w:rsidR="0005006D" w:rsidRDefault="0005006D">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29"/>
        <w:gridCol w:w="1860"/>
        <w:gridCol w:w="1751"/>
        <w:gridCol w:w="1715"/>
        <w:gridCol w:w="1713"/>
      </w:tblGrid>
      <w:tr w:rsidR="0005006D">
        <w:tblPrEx>
          <w:tblCellMar>
            <w:top w:w="0" w:type="dxa"/>
            <w:bottom w:w="0" w:type="dxa"/>
          </w:tblCellMar>
        </w:tblPrEx>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第一季度</w:t>
            </w:r>
          </w:p>
        </w:tc>
        <w:tc>
          <w:tcPr>
            <w:tcW w:w="1751"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第二季度</w:t>
            </w:r>
          </w:p>
        </w:tc>
        <w:tc>
          <w:tcPr>
            <w:tcW w:w="1715"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第三季度</w:t>
            </w:r>
          </w:p>
        </w:tc>
        <w:tc>
          <w:tcPr>
            <w:tcW w:w="1713"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第四季度</w:t>
            </w:r>
          </w:p>
        </w:tc>
      </w:tr>
      <w:tr w:rsidR="0005006D">
        <w:tblPrEx>
          <w:tblCellMar>
            <w:top w:w="0" w:type="dxa"/>
            <w:bottom w:w="0" w:type="dxa"/>
          </w:tblCellMar>
        </w:tblPrEx>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营业收入</w:t>
            </w:r>
          </w:p>
        </w:tc>
        <w:tc>
          <w:tcPr>
            <w:tcW w:w="1860"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3,634,310,612.28</w:t>
            </w:r>
          </w:p>
        </w:tc>
        <w:tc>
          <w:tcPr>
            <w:tcW w:w="17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3,714,356,002.86</w:t>
            </w:r>
          </w:p>
        </w:tc>
        <w:tc>
          <w:tcPr>
            <w:tcW w:w="1715"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3,711,824,158.98</w:t>
            </w:r>
          </w:p>
        </w:tc>
        <w:tc>
          <w:tcPr>
            <w:tcW w:w="1713"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4,826,380,909.31</w:t>
            </w:r>
          </w:p>
        </w:tc>
      </w:tr>
      <w:tr w:rsidR="0005006D">
        <w:tblPrEx>
          <w:tblCellMar>
            <w:top w:w="0" w:type="dxa"/>
            <w:bottom w:w="0" w:type="dxa"/>
          </w:tblCellMar>
        </w:tblPrEx>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归属于上市公司股东的净利润</w:t>
            </w:r>
          </w:p>
        </w:tc>
        <w:tc>
          <w:tcPr>
            <w:tcW w:w="1860"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172,109,185.23</w:t>
            </w:r>
          </w:p>
        </w:tc>
        <w:tc>
          <w:tcPr>
            <w:tcW w:w="17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179,385,465.59</w:t>
            </w:r>
          </w:p>
        </w:tc>
        <w:tc>
          <w:tcPr>
            <w:tcW w:w="1715"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55,761,020.87</w:t>
            </w:r>
          </w:p>
        </w:tc>
        <w:tc>
          <w:tcPr>
            <w:tcW w:w="1713"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-4,961,220.57</w:t>
            </w:r>
          </w:p>
        </w:tc>
      </w:tr>
      <w:tr w:rsidR="0005006D">
        <w:tblPrEx>
          <w:tblCellMar>
            <w:top w:w="0" w:type="dxa"/>
            <w:bottom w:w="0" w:type="dxa"/>
          </w:tblCellMar>
        </w:tblPrEx>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归属于上市公司股东的扣除非经常性损益的净利润</w:t>
            </w:r>
          </w:p>
        </w:tc>
        <w:tc>
          <w:tcPr>
            <w:tcW w:w="1860"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89,338,272.75</w:t>
            </w:r>
          </w:p>
        </w:tc>
        <w:tc>
          <w:tcPr>
            <w:tcW w:w="17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120,677,966.22</w:t>
            </w:r>
          </w:p>
        </w:tc>
        <w:tc>
          <w:tcPr>
            <w:tcW w:w="1715"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-177,391,775.69</w:t>
            </w:r>
          </w:p>
        </w:tc>
        <w:tc>
          <w:tcPr>
            <w:tcW w:w="1713"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18,740,898.34</w:t>
            </w:r>
          </w:p>
        </w:tc>
      </w:tr>
      <w:tr w:rsidR="0005006D">
        <w:tblPrEx>
          <w:tblCellMar>
            <w:top w:w="0" w:type="dxa"/>
            <w:bottom w:w="0" w:type="dxa"/>
          </w:tblCellMar>
        </w:tblPrEx>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经营活动产生的现金流量净额</w:t>
            </w:r>
          </w:p>
        </w:tc>
        <w:tc>
          <w:tcPr>
            <w:tcW w:w="1860"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37,585,815.63</w:t>
            </w:r>
          </w:p>
        </w:tc>
        <w:tc>
          <w:tcPr>
            <w:tcW w:w="17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494,168,204.15</w:t>
            </w:r>
          </w:p>
        </w:tc>
        <w:tc>
          <w:tcPr>
            <w:tcW w:w="1715"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1,024,800,839.03</w:t>
            </w:r>
          </w:p>
        </w:tc>
        <w:tc>
          <w:tcPr>
            <w:tcW w:w="1713"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336,367,618.60</w:t>
            </w:r>
          </w:p>
        </w:tc>
      </w:tr>
    </w:tbl>
    <w:p w:rsidR="0005006D" w:rsidRDefault="0005006D">
      <w:pPr>
        <w:jc w:val="left"/>
        <w:rPr>
          <w:szCs w:val="24"/>
        </w:rPr>
      </w:pPr>
      <w:r>
        <w:rPr>
          <w:rFonts w:hint="eastAsia"/>
          <w:szCs w:val="24"/>
        </w:rPr>
        <w:t>上述财务指标或其加总数是否与公司已披露季度报告、半年度报告相关财务指标存在重大差异</w:t>
      </w:r>
    </w:p>
    <w:p w:rsidR="0005006D" w:rsidRDefault="0005006D">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05006D" w:rsidRDefault="0005006D">
      <w:pPr>
        <w:pStyle w:val="Section"/>
        <w:outlineLvl w:val="2"/>
        <w:rPr>
          <w:bCs w:val="0"/>
          <w:szCs w:val="24"/>
        </w:rPr>
      </w:pPr>
      <w:r>
        <w:rPr>
          <w:bCs w:val="0"/>
          <w:szCs w:val="24"/>
        </w:rPr>
        <w:lastRenderedPageBreak/>
        <w:t>4</w:t>
      </w:r>
      <w:r>
        <w:rPr>
          <w:rFonts w:hint="eastAsia"/>
          <w:bCs w:val="0"/>
          <w:szCs w:val="24"/>
        </w:rPr>
        <w:t>、股本及股东情况</w:t>
      </w:r>
    </w:p>
    <w:p w:rsidR="0005006D" w:rsidRDefault="0005006D">
      <w:pPr>
        <w:pStyle w:val="Section"/>
        <w:outlineLvl w:val="3"/>
        <w:rPr>
          <w:bCs w:val="0"/>
          <w:szCs w:val="24"/>
        </w:rPr>
      </w:pPr>
      <w:r>
        <w:rPr>
          <w:rFonts w:hint="eastAsia"/>
          <w:bCs w:val="0"/>
          <w:szCs w:val="24"/>
        </w:rPr>
        <w:t>（</w:t>
      </w:r>
      <w:r>
        <w:rPr>
          <w:bCs w:val="0"/>
          <w:szCs w:val="24"/>
        </w:rPr>
        <w:t>1</w:t>
      </w:r>
      <w:r>
        <w:rPr>
          <w:rFonts w:hint="eastAsia"/>
          <w:bCs w:val="0"/>
          <w:szCs w:val="24"/>
        </w:rPr>
        <w:t>）普通股股东和表决权恢复的优先股股东数量及前</w:t>
      </w:r>
      <w:r>
        <w:rPr>
          <w:bCs w:val="0"/>
          <w:szCs w:val="24"/>
        </w:rPr>
        <w:t>10</w:t>
      </w:r>
      <w:r>
        <w:rPr>
          <w:rFonts w:hint="eastAsia"/>
          <w:bCs w:val="0"/>
          <w:szCs w:val="24"/>
        </w:rPr>
        <w:t>名股东持股情况表</w:t>
      </w:r>
    </w:p>
    <w:p w:rsidR="0005006D" w:rsidRDefault="0005006D">
      <w:pPr>
        <w:jc w:val="right"/>
        <w:rPr>
          <w:szCs w:val="24"/>
        </w:rPr>
      </w:pPr>
      <w:r>
        <w:rPr>
          <w:rFonts w:hint="eastAsia"/>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07"/>
        <w:gridCol w:w="567"/>
        <w:gridCol w:w="1418"/>
        <w:gridCol w:w="425"/>
        <w:gridCol w:w="678"/>
        <w:gridCol w:w="314"/>
        <w:gridCol w:w="851"/>
        <w:gridCol w:w="567"/>
        <w:gridCol w:w="394"/>
        <w:gridCol w:w="31"/>
        <w:gridCol w:w="1276"/>
        <w:gridCol w:w="850"/>
        <w:gridCol w:w="142"/>
        <w:gridCol w:w="354"/>
      </w:tblGrid>
      <w:tr w:rsidR="0005006D" w:rsidTr="003E53AD">
        <w:tblPrEx>
          <w:tblCellMar>
            <w:top w:w="0" w:type="dxa"/>
            <w:bottom w:w="0" w:type="dxa"/>
          </w:tblCellMar>
        </w:tblPrEx>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报告期末普通股股东总数</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13,545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年度报告披露日前一个月末普通股股东总数</w:t>
            </w:r>
          </w:p>
        </w:tc>
        <w:tc>
          <w:tcPr>
            <w:tcW w:w="678"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16,438</w:t>
            </w:r>
          </w:p>
        </w:tc>
        <w:tc>
          <w:tcPr>
            <w:tcW w:w="17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报告期末表决权恢复的优先股股东总数</w:t>
            </w:r>
          </w:p>
        </w:tc>
        <w:tc>
          <w:tcPr>
            <w:tcW w:w="394"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229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年度报告披露日前一个月末表决权恢复的优先股股东总数</w:t>
            </w:r>
          </w:p>
        </w:tc>
        <w:tc>
          <w:tcPr>
            <w:tcW w:w="354"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r>
      <w:tr w:rsidR="0005006D">
        <w:tblPrEx>
          <w:tblCellMar>
            <w:top w:w="0" w:type="dxa"/>
            <w:bottom w:w="0" w:type="dxa"/>
          </w:tblCellMar>
        </w:tblPrEx>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前</w:t>
            </w:r>
            <w:r>
              <w:rPr>
                <w:szCs w:val="24"/>
              </w:rPr>
              <w:t>10</w:t>
            </w:r>
            <w:r>
              <w:rPr>
                <w:rFonts w:hint="eastAsia"/>
                <w:szCs w:val="24"/>
              </w:rPr>
              <w:t>名股东持股情况</w:t>
            </w:r>
          </w:p>
        </w:tc>
      </w:tr>
      <w:tr w:rsidR="0005006D" w:rsidTr="00B277F1">
        <w:tblPrEx>
          <w:tblCellMar>
            <w:top w:w="0" w:type="dxa"/>
            <w:bottom w:w="0" w:type="dxa"/>
          </w:tblCellMar>
        </w:tblPrEx>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股东名称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股东性质</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持股比例</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持股数量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持有有限售条件的股份数量</w:t>
            </w:r>
          </w:p>
        </w:tc>
        <w:tc>
          <w:tcPr>
            <w:tcW w:w="134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质押或冻结情况</w:t>
            </w:r>
          </w:p>
        </w:tc>
      </w:tr>
      <w:tr w:rsidR="0005006D" w:rsidTr="00B277F1">
        <w:tblPrEx>
          <w:tblCellMar>
            <w:top w:w="0" w:type="dxa"/>
            <w:bottom w:w="0" w:type="dxa"/>
          </w:tblCellMar>
        </w:tblPrEx>
        <w:tc>
          <w:tcPr>
            <w:tcW w:w="3686" w:type="dxa"/>
            <w:gridSpan w:val="4"/>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5006D" w:rsidRDefault="0005006D">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股份状态</w:t>
            </w:r>
          </w:p>
        </w:tc>
        <w:tc>
          <w:tcPr>
            <w:tcW w:w="49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center"/>
              <w:rPr>
                <w:szCs w:val="24"/>
              </w:rPr>
            </w:pPr>
            <w:r>
              <w:rPr>
                <w:rFonts w:hint="eastAsia"/>
                <w:szCs w:val="24"/>
              </w:rPr>
              <w:t>数量</w:t>
            </w: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华孚控股有限公司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境内非国有法人</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34.27%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520,705,950</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安徽飞亚纺织有限公司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境内非国有法人</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8.49%</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129,058,312</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深圳市华人投资有限公司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境内非国有法人</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4.14%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62,923,500</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金元顺安基金－兴业银行－上海爱建信托－爱建信托欣欣</w:t>
            </w:r>
            <w:r>
              <w:rPr>
                <w:szCs w:val="24"/>
              </w:rPr>
              <w:t>7</w:t>
            </w:r>
            <w:r>
              <w:rPr>
                <w:rFonts w:hint="eastAsia"/>
                <w:szCs w:val="24"/>
              </w:rPr>
              <w:t>号定向增发事务管理类单一资金信托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3.91%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59,429,476</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金鹰基金－工商银行－万向信托－万向信托－星辰</w:t>
            </w:r>
            <w:r>
              <w:rPr>
                <w:szCs w:val="24"/>
              </w:rPr>
              <w:t>39</w:t>
            </w:r>
            <w:r>
              <w:rPr>
                <w:rFonts w:hint="eastAsia"/>
                <w:szCs w:val="24"/>
              </w:rPr>
              <w:t>号事务管理类单一资金信托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3.91%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59,429,476</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泰达宏利基金－招商银行－长安国际信托－长安信托</w:t>
            </w:r>
            <w:r>
              <w:rPr>
                <w:szCs w:val="24"/>
              </w:rPr>
              <w:t>·</w:t>
            </w:r>
            <w:r>
              <w:rPr>
                <w:rFonts w:hint="eastAsia"/>
                <w:szCs w:val="24"/>
              </w:rPr>
              <w:t>华孚色纺定增单一资金信托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2.97%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45,166,402</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华孚时尚股份有限公司－第三期员工持股计划</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1.78%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27,119,969</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上海景熙资产管理有限公司－景熙－长阳</w:t>
            </w:r>
            <w:r>
              <w:rPr>
                <w:szCs w:val="24"/>
              </w:rPr>
              <w:t>9</w:t>
            </w:r>
            <w:r>
              <w:rPr>
                <w:rFonts w:hint="eastAsia"/>
                <w:szCs w:val="24"/>
              </w:rPr>
              <w:t>号私募证券投资基金</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1.77%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26,856,586</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泰达宏利基金－招商银行－陆家嘴信托－陆家嘴信托－鸿泰</w:t>
            </w:r>
            <w:r>
              <w:rPr>
                <w:szCs w:val="24"/>
              </w:rPr>
              <w:t>18</w:t>
            </w:r>
            <w:r>
              <w:rPr>
                <w:rFonts w:hint="eastAsia"/>
                <w:szCs w:val="24"/>
              </w:rPr>
              <w:t>号单一资金信托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1.72%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26,148,969</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3686" w:type="dxa"/>
            <w:gridSpan w:val="4"/>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富安达基金－南京银行－厦门国际信托－财富共赢</w:t>
            </w:r>
            <w:r>
              <w:rPr>
                <w:szCs w:val="24"/>
              </w:rPr>
              <w:t>16</w:t>
            </w:r>
            <w:r>
              <w:rPr>
                <w:rFonts w:hint="eastAsia"/>
                <w:szCs w:val="24"/>
              </w:rPr>
              <w:t>号投资单一资金信托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其他</w:t>
            </w:r>
          </w:p>
        </w:tc>
        <w:tc>
          <w:tcPr>
            <w:tcW w:w="851"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1.56%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23,771,790</w:t>
            </w:r>
          </w:p>
        </w:tc>
        <w:tc>
          <w:tcPr>
            <w:tcW w:w="1276" w:type="dxa"/>
            <w:tcBorders>
              <w:top w:val="single" w:sz="4" w:space="0" w:color="auto"/>
              <w:left w:val="single" w:sz="4" w:space="0" w:color="auto"/>
              <w:bottom w:val="single" w:sz="4" w:space="0" w:color="auto"/>
              <w:right w:val="single" w:sz="4" w:space="0" w:color="auto"/>
            </w:tcBorders>
            <w:vAlign w:val="center"/>
          </w:tcPr>
          <w:p w:rsidR="0005006D" w:rsidRDefault="0005006D">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right"/>
              <w:rPr>
                <w:szCs w:val="24"/>
              </w:rPr>
            </w:pPr>
          </w:p>
        </w:tc>
      </w:tr>
      <w:tr w:rsidR="0005006D" w:rsidTr="00B277F1">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上述股东关联关系或一致行动的说明</w:t>
            </w:r>
          </w:p>
        </w:tc>
        <w:tc>
          <w:tcPr>
            <w:tcW w:w="786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5006D" w:rsidRDefault="0005006D">
            <w:pPr>
              <w:jc w:val="left"/>
              <w:rPr>
                <w:szCs w:val="24"/>
              </w:rPr>
            </w:pPr>
            <w:r>
              <w:rPr>
                <w:rFonts w:hint="eastAsia"/>
                <w:szCs w:val="24"/>
              </w:rPr>
              <w:t>上述股东中华孚控股有限公司、安徽飞亚纺织有限公司、深圳市华人投资有限公司为公司控股股东及一致行动人，招商财富－招商银行－华孚财富</w:t>
            </w:r>
            <w:r>
              <w:rPr>
                <w:szCs w:val="24"/>
              </w:rPr>
              <w:t xml:space="preserve">2 </w:t>
            </w:r>
            <w:r>
              <w:rPr>
                <w:rFonts w:hint="eastAsia"/>
                <w:szCs w:val="24"/>
              </w:rPr>
              <w:t>号专项资产管理计划为公司员工持股计划专用账户，其余流通股东与控股股东之间不存在关联关系，也不属于一致行动人。未知其余流通股股东之间是否存在关联关系或是否属于一致行动人。</w:t>
            </w:r>
          </w:p>
        </w:tc>
      </w:tr>
      <w:tr w:rsidR="0005006D" w:rsidTr="00B277F1">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5006D" w:rsidRDefault="0005006D">
            <w:pPr>
              <w:jc w:val="left"/>
              <w:rPr>
                <w:szCs w:val="24"/>
              </w:rPr>
            </w:pPr>
            <w:r>
              <w:rPr>
                <w:rFonts w:hint="eastAsia"/>
                <w:szCs w:val="24"/>
              </w:rPr>
              <w:t>参与融资融券业务股东情况说明（如有）</w:t>
            </w:r>
          </w:p>
        </w:tc>
        <w:tc>
          <w:tcPr>
            <w:tcW w:w="7867" w:type="dxa"/>
            <w:gridSpan w:val="13"/>
            <w:tcBorders>
              <w:top w:val="single" w:sz="4" w:space="0" w:color="auto"/>
              <w:left w:val="single" w:sz="4" w:space="0" w:color="auto"/>
              <w:bottom w:val="single" w:sz="4" w:space="0" w:color="auto"/>
              <w:right w:val="single" w:sz="4" w:space="0" w:color="auto"/>
            </w:tcBorders>
            <w:vAlign w:val="center"/>
          </w:tcPr>
          <w:p w:rsidR="0005006D" w:rsidRDefault="0005006D">
            <w:pPr>
              <w:jc w:val="left"/>
              <w:rPr>
                <w:szCs w:val="24"/>
              </w:rPr>
            </w:pPr>
            <w:r>
              <w:rPr>
                <w:rFonts w:hint="eastAsia"/>
                <w:szCs w:val="24"/>
              </w:rPr>
              <w:t>华孚时尚股份有限公司－第三期员工持股计划、安徽飞亚纺织有限公司及深圳市华人投资有限公司通过信用账户持有公司部分股份。</w:t>
            </w:r>
          </w:p>
        </w:tc>
      </w:tr>
    </w:tbl>
    <w:p w:rsidR="0005006D" w:rsidRDefault="0005006D">
      <w:pPr>
        <w:pStyle w:val="Section"/>
        <w:outlineLvl w:val="3"/>
        <w:rPr>
          <w:bCs w:val="0"/>
          <w:szCs w:val="24"/>
        </w:rPr>
      </w:pPr>
      <w:r>
        <w:rPr>
          <w:rFonts w:hint="eastAsia"/>
          <w:bCs w:val="0"/>
          <w:szCs w:val="24"/>
        </w:rPr>
        <w:t>（</w:t>
      </w:r>
      <w:r>
        <w:rPr>
          <w:bCs w:val="0"/>
          <w:szCs w:val="24"/>
        </w:rPr>
        <w:t>2</w:t>
      </w:r>
      <w:r>
        <w:rPr>
          <w:rFonts w:hint="eastAsia"/>
          <w:bCs w:val="0"/>
          <w:szCs w:val="24"/>
        </w:rPr>
        <w:t>）公司优先股股东总数及前</w:t>
      </w:r>
      <w:r>
        <w:rPr>
          <w:bCs w:val="0"/>
          <w:szCs w:val="24"/>
        </w:rPr>
        <w:t>10</w:t>
      </w:r>
      <w:r>
        <w:rPr>
          <w:rFonts w:hint="eastAsia"/>
          <w:bCs w:val="0"/>
          <w:szCs w:val="24"/>
        </w:rPr>
        <w:t>名优先股股东持股情况表</w:t>
      </w:r>
    </w:p>
    <w:p w:rsidR="0005006D" w:rsidRDefault="0005006D">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05006D" w:rsidRDefault="0005006D">
      <w:pPr>
        <w:jc w:val="left"/>
        <w:rPr>
          <w:szCs w:val="24"/>
        </w:rPr>
      </w:pPr>
      <w:r>
        <w:rPr>
          <w:rFonts w:hint="eastAsia"/>
          <w:szCs w:val="24"/>
        </w:rPr>
        <w:t>公司报告期无优先股股东持股情况。</w:t>
      </w:r>
    </w:p>
    <w:p w:rsidR="0005006D" w:rsidRDefault="0005006D">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）以方框图形式披露公司与实际控制人之间的产权及控制关系</w:t>
      </w:r>
    </w:p>
    <w:p w:rsidR="0005006D" w:rsidRDefault="00263D92">
      <w:pPr>
        <w:autoSpaceDE w:val="0"/>
        <w:autoSpaceDN w:val="0"/>
        <w:adjustRightInd w:val="0"/>
        <w:spacing w:before="200" w:after="200"/>
        <w:jc w:val="center"/>
        <w:rPr>
          <w:rFonts w:eastAsiaTheme="minorEastAsia"/>
          <w:kern w:val="0"/>
          <w:sz w:val="24"/>
          <w:szCs w:val="24"/>
        </w:rPr>
      </w:pPr>
      <w:r>
        <w:rPr>
          <w:rFonts w:eastAsiaTheme="minorEastAsia"/>
          <w:noProof/>
          <w:kern w:val="0"/>
          <w:sz w:val="24"/>
          <w:szCs w:val="24"/>
        </w:rPr>
        <w:drawing>
          <wp:inline distT="0" distB="0" distL="0" distR="0">
            <wp:extent cx="4591050" cy="2181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181225"/>
                    </a:xfrm>
                    <a:prstGeom prst="rect">
                      <a:avLst/>
                    </a:prstGeom>
                    <a:noFill/>
                    <a:ln>
                      <a:noFill/>
                    </a:ln>
                  </pic:spPr>
                </pic:pic>
              </a:graphicData>
            </a:graphic>
          </wp:inline>
        </w:drawing>
      </w:r>
    </w:p>
    <w:p w:rsidR="0005006D" w:rsidRDefault="0005006D">
      <w:pPr>
        <w:pStyle w:val="Section"/>
        <w:outlineLvl w:val="2"/>
        <w:rPr>
          <w:bCs w:val="0"/>
          <w:szCs w:val="24"/>
        </w:rPr>
      </w:pPr>
      <w:r>
        <w:rPr>
          <w:bCs w:val="0"/>
          <w:szCs w:val="24"/>
        </w:rPr>
        <w:t>5</w:t>
      </w:r>
      <w:r>
        <w:rPr>
          <w:rFonts w:hint="eastAsia"/>
          <w:bCs w:val="0"/>
          <w:szCs w:val="24"/>
        </w:rPr>
        <w:t>、公司债券情况</w:t>
      </w:r>
    </w:p>
    <w:p w:rsidR="0005006D" w:rsidRDefault="0005006D">
      <w:pPr>
        <w:jc w:val="left"/>
        <w:rPr>
          <w:szCs w:val="24"/>
        </w:rPr>
      </w:pPr>
      <w:r>
        <w:rPr>
          <w:rFonts w:hint="eastAsia"/>
          <w:szCs w:val="24"/>
        </w:rPr>
        <w:t>公司是否存在公开发行并在证券交易所上市，且在年度报告批准报出日未到期或到期未能全额兑付的公司债券</w:t>
      </w:r>
    </w:p>
    <w:p w:rsidR="0005006D" w:rsidRDefault="0005006D">
      <w:pPr>
        <w:jc w:val="left"/>
        <w:rPr>
          <w:szCs w:val="24"/>
        </w:rPr>
      </w:pPr>
      <w:r>
        <w:rPr>
          <w:rFonts w:hint="eastAsia"/>
          <w:szCs w:val="24"/>
        </w:rPr>
        <w:t>否</w:t>
      </w:r>
    </w:p>
    <w:p w:rsidR="0005006D" w:rsidRDefault="0005006D">
      <w:pPr>
        <w:pStyle w:val="Chapter"/>
        <w:outlineLvl w:val="1"/>
        <w:rPr>
          <w:bCs w:val="0"/>
        </w:rPr>
      </w:pPr>
      <w:r>
        <w:rPr>
          <w:rFonts w:hint="eastAsia"/>
          <w:bCs w:val="0"/>
        </w:rPr>
        <w:t>三、经营情况讨论与分析</w:t>
      </w:r>
    </w:p>
    <w:p w:rsidR="0005006D" w:rsidRDefault="0005006D">
      <w:pPr>
        <w:pStyle w:val="Section"/>
        <w:outlineLvl w:val="2"/>
        <w:rPr>
          <w:bCs w:val="0"/>
          <w:szCs w:val="24"/>
        </w:rPr>
      </w:pPr>
      <w:r>
        <w:rPr>
          <w:bCs w:val="0"/>
          <w:szCs w:val="24"/>
        </w:rPr>
        <w:t>1</w:t>
      </w:r>
      <w:r>
        <w:rPr>
          <w:rFonts w:hint="eastAsia"/>
          <w:bCs w:val="0"/>
          <w:szCs w:val="24"/>
        </w:rPr>
        <w:t>、报告期经营情况简介</w:t>
      </w:r>
    </w:p>
    <w:p w:rsidR="003E53AD" w:rsidRPr="003E53AD" w:rsidRDefault="003E53AD" w:rsidP="003E53AD">
      <w:pPr>
        <w:autoSpaceDE w:val="0"/>
        <w:autoSpaceDN w:val="0"/>
        <w:adjustRightInd w:val="0"/>
        <w:spacing w:before="0" w:after="0" w:line="360" w:lineRule="auto"/>
        <w:ind w:firstLine="357"/>
        <w:rPr>
          <w:rFonts w:ascii="宋体" w:cs="宋体"/>
          <w:kern w:val="0"/>
          <w:lang w:val="zh-CN"/>
        </w:rPr>
      </w:pPr>
      <w:r w:rsidRPr="003E53AD">
        <w:rPr>
          <w:rFonts w:ascii="宋体" w:hAnsi="宋体" w:cs="宋体" w:hint="eastAsia"/>
          <w:kern w:val="0"/>
          <w:lang w:val="zh-CN"/>
        </w:rPr>
        <w:t>报告期内，我国纺织服装行业发展面临的国内外风险挑战明显增多，存在内外市场需求放缓、贸易环境更趋复杂、综合成本持续提升等多重压力，在上述客观因素的影响下，纺织服装行业受到较大冲击。公司在报告期内依然坚持做强主业，加快共享产业，完善全面经营，继续实施网链战略。受客观经营环境影响，公司产销平衡压力加大，</w:t>
      </w:r>
      <w:r w:rsidRPr="003E53AD">
        <w:rPr>
          <w:rFonts w:ascii="宋体" w:hAnsi="宋体" w:cs="宋体"/>
          <w:kern w:val="0"/>
        </w:rPr>
        <w:t>2019</w:t>
      </w:r>
      <w:r w:rsidRPr="003E53AD">
        <w:rPr>
          <w:rFonts w:ascii="宋体" w:hAnsi="宋体" w:cs="宋体" w:hint="eastAsia"/>
          <w:kern w:val="0"/>
          <w:lang w:val="zh-CN"/>
        </w:rPr>
        <w:t>年度经营增长速度有所放缓，报告期内公司实现营业收入</w:t>
      </w:r>
      <w:r w:rsidRPr="003E53AD">
        <w:rPr>
          <w:rFonts w:ascii="宋体" w:hAnsi="宋体" w:cs="宋体"/>
          <w:kern w:val="0"/>
        </w:rPr>
        <w:t>158.87</w:t>
      </w:r>
      <w:r w:rsidRPr="003E53AD">
        <w:rPr>
          <w:rFonts w:ascii="宋体" w:hAnsi="宋体" w:cs="宋体" w:hint="eastAsia"/>
          <w:kern w:val="0"/>
          <w:lang w:val="zh-CN"/>
        </w:rPr>
        <w:t>亿元，较去年同期增长</w:t>
      </w:r>
      <w:r w:rsidRPr="003E53AD">
        <w:rPr>
          <w:rFonts w:ascii="宋体" w:hAnsi="宋体" w:cs="宋体"/>
          <w:kern w:val="0"/>
        </w:rPr>
        <w:t>11.04%</w:t>
      </w:r>
      <w:r w:rsidRPr="003E53AD">
        <w:rPr>
          <w:rFonts w:ascii="宋体" w:hAnsi="宋体" w:cs="宋体" w:hint="eastAsia"/>
          <w:kern w:val="0"/>
          <w:lang w:val="zh-CN"/>
        </w:rPr>
        <w:t>；归属于母公司股东净利润</w:t>
      </w:r>
      <w:r w:rsidRPr="003E53AD">
        <w:rPr>
          <w:rFonts w:ascii="宋体" w:hAnsi="宋体" w:cs="宋体"/>
          <w:kern w:val="0"/>
        </w:rPr>
        <w:t>4.02</w:t>
      </w:r>
      <w:r w:rsidRPr="003E53AD">
        <w:rPr>
          <w:rFonts w:ascii="宋体" w:hAnsi="宋体" w:cs="宋体" w:hint="eastAsia"/>
          <w:kern w:val="0"/>
          <w:lang w:val="zh-CN"/>
        </w:rPr>
        <w:t>亿元，较去年同期下降</w:t>
      </w:r>
      <w:r w:rsidRPr="003E53AD">
        <w:rPr>
          <w:rFonts w:ascii="宋体" w:hAnsi="宋体" w:cs="宋体"/>
          <w:kern w:val="0"/>
        </w:rPr>
        <w:t>46.14%</w:t>
      </w:r>
      <w:r w:rsidRPr="003E53AD">
        <w:rPr>
          <w:rFonts w:ascii="宋体" w:hAnsi="宋体" w:cs="宋体" w:hint="eastAsia"/>
          <w:kern w:val="0"/>
          <w:lang w:val="zh-CN"/>
        </w:rPr>
        <w:t>。</w:t>
      </w:r>
    </w:p>
    <w:p w:rsidR="003E53AD" w:rsidRPr="003E53AD" w:rsidRDefault="003E53AD" w:rsidP="003E53AD">
      <w:pPr>
        <w:autoSpaceDE w:val="0"/>
        <w:autoSpaceDN w:val="0"/>
        <w:adjustRightInd w:val="0"/>
        <w:spacing w:before="0" w:after="0" w:line="360" w:lineRule="auto"/>
        <w:ind w:firstLine="357"/>
        <w:rPr>
          <w:rFonts w:ascii="宋体" w:cs="宋体"/>
          <w:kern w:val="0"/>
          <w:lang w:val="zh-CN"/>
        </w:rPr>
      </w:pPr>
      <w:r w:rsidRPr="003E53AD">
        <w:rPr>
          <w:rFonts w:ascii="宋体" w:hAnsi="宋体" w:cs="宋体"/>
          <w:kern w:val="0"/>
          <w:lang w:val="zh-CN"/>
        </w:rPr>
        <w:t>2020</w:t>
      </w:r>
      <w:r w:rsidRPr="003E53AD">
        <w:rPr>
          <w:rFonts w:ascii="宋体" w:hAnsi="宋体" w:cs="宋体" w:hint="eastAsia"/>
          <w:kern w:val="0"/>
          <w:lang w:val="zh-CN"/>
        </w:rPr>
        <w:t>年，新冠肺炎疫情全球持续蔓延，国内外消费需求下滑，加之中美贸易战具有长期性、复杂性、反复性，纺织服装行业依然面临艰巨考验。</w:t>
      </w:r>
    </w:p>
    <w:p w:rsidR="003E53AD" w:rsidRPr="003E53AD" w:rsidRDefault="003E53AD" w:rsidP="003E53AD">
      <w:pPr>
        <w:autoSpaceDE w:val="0"/>
        <w:autoSpaceDN w:val="0"/>
        <w:adjustRightInd w:val="0"/>
        <w:spacing w:before="0" w:after="0" w:line="360" w:lineRule="auto"/>
        <w:ind w:firstLine="357"/>
        <w:rPr>
          <w:rFonts w:ascii="宋体" w:cs="宋体"/>
          <w:kern w:val="0"/>
          <w:lang w:val="zh-CN"/>
        </w:rPr>
      </w:pPr>
      <w:r w:rsidRPr="003E53AD">
        <w:rPr>
          <w:rFonts w:ascii="宋体" w:hAnsi="宋体" w:cs="宋体" w:hint="eastAsia"/>
          <w:kern w:val="0"/>
          <w:lang w:val="zh-CN"/>
        </w:rPr>
        <w:t>下一步公司将继续实行</w:t>
      </w:r>
      <w:r w:rsidRPr="003E53AD">
        <w:rPr>
          <w:rFonts w:ascii="宋体" w:cs="宋体" w:hint="eastAsia"/>
          <w:kern w:val="0"/>
          <w:lang w:val="zh-CN"/>
        </w:rPr>
        <w:t>“</w:t>
      </w:r>
      <w:r w:rsidRPr="003E53AD">
        <w:rPr>
          <w:rFonts w:ascii="宋体" w:hAnsi="宋体" w:cs="宋体" w:hint="eastAsia"/>
          <w:kern w:val="0"/>
          <w:lang w:val="zh-CN"/>
        </w:rPr>
        <w:t>坚持主业，共享产业</w:t>
      </w:r>
      <w:r w:rsidRPr="003E53AD">
        <w:rPr>
          <w:rFonts w:ascii="宋体" w:cs="宋体" w:hint="eastAsia"/>
          <w:kern w:val="0"/>
          <w:lang w:val="zh-CN"/>
        </w:rPr>
        <w:t>”</w:t>
      </w:r>
      <w:r w:rsidRPr="003E53AD">
        <w:rPr>
          <w:rFonts w:ascii="宋体" w:hAnsi="宋体" w:cs="宋体" w:hint="eastAsia"/>
          <w:kern w:val="0"/>
          <w:lang w:val="zh-CN"/>
        </w:rPr>
        <w:t>的发展战略，在稳健发展纱线主业的同时，深化推进前端网链，加速发展后端网链，着力抓好综合经营。</w:t>
      </w:r>
    </w:p>
    <w:p w:rsidR="003E53AD" w:rsidRPr="003E53AD" w:rsidRDefault="003E53AD" w:rsidP="003E53AD">
      <w:pPr>
        <w:autoSpaceDE w:val="0"/>
        <w:autoSpaceDN w:val="0"/>
        <w:adjustRightInd w:val="0"/>
        <w:spacing w:before="0" w:after="0" w:line="360" w:lineRule="auto"/>
        <w:ind w:firstLine="357"/>
        <w:rPr>
          <w:rFonts w:ascii="宋体" w:cs="宋体"/>
          <w:kern w:val="0"/>
        </w:rPr>
      </w:pPr>
      <w:r w:rsidRPr="003E53AD">
        <w:rPr>
          <w:rFonts w:ascii="宋体" w:hAnsi="宋体" w:cs="宋体" w:hint="eastAsia"/>
          <w:kern w:val="0"/>
        </w:rPr>
        <w:t>主营纱线业务加强产品创新力度，拓展市场空间。公司将围绕功能科技、时尚快反、可持续发展、高质量发展加快产品创新，合理组合产品结构，结合市场与客户细分拓展市场空间；公司将继续实行集聚运营的策略，创新运营模式，优化标准品运营模式与快反品运营模式，实现降本增效。</w:t>
      </w:r>
    </w:p>
    <w:p w:rsidR="003E53AD" w:rsidRPr="003E53AD" w:rsidRDefault="003E53AD" w:rsidP="003E53AD">
      <w:pPr>
        <w:autoSpaceDE w:val="0"/>
        <w:autoSpaceDN w:val="0"/>
        <w:adjustRightInd w:val="0"/>
        <w:spacing w:before="0" w:after="0" w:line="360" w:lineRule="auto"/>
        <w:ind w:firstLine="357"/>
        <w:rPr>
          <w:rFonts w:ascii="宋体" w:cs="宋体"/>
          <w:kern w:val="0"/>
        </w:rPr>
      </w:pPr>
      <w:r w:rsidRPr="003E53AD">
        <w:rPr>
          <w:rFonts w:ascii="宋体" w:hAnsi="宋体" w:cs="宋体" w:hint="eastAsia"/>
          <w:kern w:val="0"/>
        </w:rPr>
        <w:t>继续发展网链业务，发力共享产业。在保证规模稳健成长的同时，深化拓展网链业务的商业模式。</w:t>
      </w:r>
    </w:p>
    <w:p w:rsidR="003E53AD" w:rsidRPr="003E53AD" w:rsidRDefault="003E53AD" w:rsidP="003E53AD">
      <w:pPr>
        <w:autoSpaceDE w:val="0"/>
        <w:autoSpaceDN w:val="0"/>
        <w:adjustRightInd w:val="0"/>
        <w:spacing w:before="0" w:after="0" w:line="360" w:lineRule="auto"/>
        <w:ind w:firstLine="357"/>
        <w:rPr>
          <w:rFonts w:ascii="宋体" w:cs="宋体"/>
          <w:kern w:val="0"/>
        </w:rPr>
      </w:pPr>
      <w:r w:rsidRPr="003E53AD">
        <w:rPr>
          <w:rFonts w:ascii="宋体" w:hAnsi="宋体" w:cs="宋体" w:hint="eastAsia"/>
          <w:kern w:val="0"/>
        </w:rPr>
        <w:t>加强产业协同。针对产业链垂直整合、强势崛起的态势，公司将做好主营纱线业务与前后端网链的协同运作，体现协同价值。</w:t>
      </w:r>
    </w:p>
    <w:p w:rsidR="0005006D" w:rsidRDefault="0005006D">
      <w:pPr>
        <w:pStyle w:val="Section"/>
        <w:outlineLvl w:val="2"/>
        <w:rPr>
          <w:bCs w:val="0"/>
          <w:szCs w:val="24"/>
        </w:rPr>
      </w:pPr>
      <w:r>
        <w:rPr>
          <w:bCs w:val="0"/>
          <w:szCs w:val="24"/>
        </w:rPr>
        <w:t>2</w:t>
      </w:r>
      <w:r>
        <w:rPr>
          <w:rFonts w:hint="eastAsia"/>
          <w:bCs w:val="0"/>
          <w:szCs w:val="24"/>
        </w:rPr>
        <w:t>、报告期内主营业务是否存在重大变化</w:t>
      </w:r>
    </w:p>
    <w:p w:rsidR="0005006D" w:rsidRDefault="0005006D">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05006D" w:rsidRDefault="0005006D">
      <w:pPr>
        <w:pStyle w:val="Section"/>
        <w:outlineLvl w:val="2"/>
        <w:rPr>
          <w:bCs w:val="0"/>
          <w:szCs w:val="24"/>
        </w:rPr>
      </w:pPr>
      <w:r>
        <w:rPr>
          <w:bCs w:val="0"/>
          <w:szCs w:val="24"/>
        </w:rPr>
        <w:lastRenderedPageBreak/>
        <w:t>3</w:t>
      </w:r>
      <w:r>
        <w:rPr>
          <w:rFonts w:hint="eastAsia"/>
          <w:bCs w:val="0"/>
          <w:szCs w:val="24"/>
        </w:rPr>
        <w:t>、占公司主营业务收入或主营业务利润</w:t>
      </w:r>
      <w:r>
        <w:rPr>
          <w:bCs w:val="0"/>
          <w:szCs w:val="24"/>
        </w:rPr>
        <w:t>10%</w:t>
      </w:r>
      <w:r>
        <w:rPr>
          <w:rFonts w:hint="eastAsia"/>
          <w:bCs w:val="0"/>
          <w:szCs w:val="24"/>
        </w:rPr>
        <w:t>以上的产品情况</w:t>
      </w:r>
    </w:p>
    <w:p w:rsidR="0005006D" w:rsidRDefault="0005006D">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05006D" w:rsidRDefault="0005006D">
      <w:pPr>
        <w:pStyle w:val="Section"/>
        <w:outlineLvl w:val="2"/>
        <w:rPr>
          <w:bCs w:val="0"/>
          <w:szCs w:val="24"/>
        </w:rPr>
      </w:pPr>
      <w:r>
        <w:rPr>
          <w:bCs w:val="0"/>
          <w:szCs w:val="24"/>
        </w:rPr>
        <w:t>4</w:t>
      </w:r>
      <w:r>
        <w:rPr>
          <w:rFonts w:hint="eastAsia"/>
          <w:bCs w:val="0"/>
          <w:szCs w:val="24"/>
        </w:rPr>
        <w:t>、是否存在需要特别关注的经营季节性或周期性特征</w:t>
      </w:r>
    </w:p>
    <w:p w:rsidR="0005006D" w:rsidRDefault="0005006D">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05006D" w:rsidRDefault="0005006D">
      <w:pPr>
        <w:pStyle w:val="Section"/>
        <w:outlineLvl w:val="2"/>
        <w:rPr>
          <w:bCs w:val="0"/>
          <w:szCs w:val="24"/>
        </w:rPr>
      </w:pPr>
      <w:r>
        <w:rPr>
          <w:bCs w:val="0"/>
          <w:szCs w:val="24"/>
        </w:rPr>
        <w:t>5</w:t>
      </w:r>
      <w:r>
        <w:rPr>
          <w:rFonts w:hint="eastAsia"/>
          <w:bCs w:val="0"/>
          <w:szCs w:val="24"/>
        </w:rPr>
        <w:t>、报告期内营业收入、营业成本、归属于上市公司普通股股东的净利润总额或者构成较前一报告期发生重大变化的说明</w:t>
      </w:r>
    </w:p>
    <w:p w:rsidR="0005006D" w:rsidRDefault="0005006D">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05006D" w:rsidRDefault="0005006D">
      <w:pPr>
        <w:pStyle w:val="Section"/>
        <w:outlineLvl w:val="2"/>
        <w:rPr>
          <w:bCs w:val="0"/>
          <w:szCs w:val="24"/>
        </w:rPr>
      </w:pPr>
      <w:r>
        <w:rPr>
          <w:bCs w:val="0"/>
          <w:szCs w:val="24"/>
        </w:rPr>
        <w:t>6</w:t>
      </w:r>
      <w:r>
        <w:rPr>
          <w:rFonts w:hint="eastAsia"/>
          <w:bCs w:val="0"/>
          <w:szCs w:val="24"/>
        </w:rPr>
        <w:t>、面临暂停上市和终止上市情况</w:t>
      </w:r>
    </w:p>
    <w:p w:rsidR="0005006D" w:rsidRDefault="0005006D">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05006D" w:rsidRDefault="0005006D">
      <w:pPr>
        <w:pStyle w:val="Section"/>
        <w:outlineLvl w:val="2"/>
        <w:rPr>
          <w:bCs w:val="0"/>
          <w:szCs w:val="24"/>
        </w:rPr>
      </w:pPr>
      <w:r>
        <w:rPr>
          <w:bCs w:val="0"/>
          <w:szCs w:val="24"/>
        </w:rPr>
        <w:t>7</w:t>
      </w:r>
      <w:r>
        <w:rPr>
          <w:rFonts w:hint="eastAsia"/>
          <w:bCs w:val="0"/>
          <w:szCs w:val="24"/>
        </w:rPr>
        <w:t>、涉及财务报告的相关事项</w:t>
      </w:r>
    </w:p>
    <w:p w:rsidR="0005006D" w:rsidRDefault="0005006D">
      <w:pPr>
        <w:pStyle w:val="Section"/>
        <w:outlineLvl w:val="3"/>
        <w:rPr>
          <w:bCs w:val="0"/>
          <w:szCs w:val="24"/>
        </w:rPr>
      </w:pPr>
      <w:r>
        <w:rPr>
          <w:rFonts w:hint="eastAsia"/>
          <w:bCs w:val="0"/>
          <w:szCs w:val="24"/>
        </w:rPr>
        <w:t>（</w:t>
      </w:r>
      <w:r>
        <w:rPr>
          <w:bCs w:val="0"/>
          <w:szCs w:val="24"/>
        </w:rPr>
        <w:t>1</w:t>
      </w:r>
      <w:r>
        <w:rPr>
          <w:rFonts w:hint="eastAsia"/>
          <w:bCs w:val="0"/>
          <w:szCs w:val="24"/>
        </w:rPr>
        <w:t>）与上年度财务报告相比，会计政策、会计估计和核算方法发生变化的情况说明</w:t>
      </w:r>
    </w:p>
    <w:p w:rsidR="0005006D" w:rsidRDefault="0005006D">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05006D" w:rsidRDefault="0005006D" w:rsidP="00B277F1">
      <w:pPr>
        <w:numPr>
          <w:ilvl w:val="0"/>
          <w:numId w:val="1"/>
        </w:numPr>
        <w:autoSpaceDE w:val="0"/>
        <w:autoSpaceDN w:val="0"/>
        <w:adjustRightInd w:val="0"/>
        <w:spacing w:before="50" w:after="0"/>
        <w:ind w:left="840" w:hanging="360"/>
        <w:jc w:val="left"/>
        <w:rPr>
          <w:rFonts w:eastAsia="Times New Roman"/>
          <w:b/>
          <w:kern w:val="0"/>
          <w:sz w:val="21"/>
          <w:szCs w:val="24"/>
          <w:lang w:val="zh-CN"/>
        </w:rPr>
      </w:pPr>
      <w:r>
        <w:rPr>
          <w:rFonts w:ascii="宋体" w:hAnsi="宋体" w:cs="宋体" w:hint="eastAsia"/>
          <w:b/>
          <w:kern w:val="0"/>
          <w:sz w:val="21"/>
          <w:szCs w:val="24"/>
          <w:lang w:val="zh-CN"/>
        </w:rPr>
        <w:t>会计政策变更</w:t>
      </w:r>
    </w:p>
    <w:p w:rsidR="0005006D" w:rsidRPr="00B277F1" w:rsidRDefault="0005006D" w:rsidP="003E53AD">
      <w:pPr>
        <w:autoSpaceDE w:val="0"/>
        <w:autoSpaceDN w:val="0"/>
        <w:adjustRightInd w:val="0"/>
        <w:spacing w:before="0" w:after="0" w:line="360" w:lineRule="auto"/>
        <w:ind w:firstLine="420"/>
        <w:jc w:val="left"/>
        <w:rPr>
          <w:rFonts w:asciiTheme="minorEastAsia" w:eastAsiaTheme="minorEastAsia" w:hAnsiTheme="minorEastAsia"/>
          <w:kern w:val="0"/>
          <w:lang w:val="zh-CN"/>
        </w:rPr>
      </w:pP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、本公司自</w:t>
      </w:r>
      <w:r w:rsidRPr="00B277F1">
        <w:rPr>
          <w:rFonts w:asciiTheme="minorEastAsia" w:eastAsiaTheme="minorEastAsia" w:hAnsiTheme="minorEastAsia"/>
          <w:kern w:val="0"/>
          <w:lang w:val="zh-CN"/>
        </w:rPr>
        <w:t>2019</w:t>
      </w:r>
      <w:r w:rsidRPr="00B277F1">
        <w:rPr>
          <w:rFonts w:asciiTheme="minorEastAsia" w:eastAsiaTheme="minorEastAsia" w:hAnsiTheme="minorEastAsia" w:hint="eastAsia"/>
          <w:kern w:val="0"/>
          <w:lang w:val="zh-CN"/>
        </w:rPr>
        <w:t>年</w:t>
      </w: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月</w:t>
      </w: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日起执行财政部</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年修订的《企业会计准则第</w:t>
      </w:r>
      <w:r w:rsidRPr="00B277F1">
        <w:rPr>
          <w:rFonts w:asciiTheme="minorEastAsia" w:eastAsiaTheme="minorEastAsia" w:hAnsiTheme="minorEastAsia"/>
          <w:kern w:val="0"/>
          <w:lang w:val="zh-CN"/>
        </w:rPr>
        <w:t>22</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金融工具确认和计量》、《企业会计准则第</w:t>
      </w:r>
      <w:r w:rsidRPr="00B277F1">
        <w:rPr>
          <w:rFonts w:asciiTheme="minorEastAsia" w:eastAsiaTheme="minorEastAsia" w:hAnsiTheme="minorEastAsia"/>
          <w:kern w:val="0"/>
          <w:lang w:val="zh-CN"/>
        </w:rPr>
        <w:t>23</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金融资产转移》和《企业会计准则第</w:t>
      </w:r>
      <w:r w:rsidRPr="00B277F1">
        <w:rPr>
          <w:rFonts w:asciiTheme="minorEastAsia" w:eastAsiaTheme="minorEastAsia" w:hAnsiTheme="minorEastAsia"/>
          <w:kern w:val="0"/>
          <w:lang w:val="zh-CN"/>
        </w:rPr>
        <w:t>24</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套期会计》、《企业会计准则第</w:t>
      </w:r>
      <w:r w:rsidRPr="00B277F1">
        <w:rPr>
          <w:rFonts w:asciiTheme="minorEastAsia" w:eastAsiaTheme="minorEastAsia" w:hAnsiTheme="minorEastAsia"/>
          <w:kern w:val="0"/>
          <w:lang w:val="zh-CN"/>
        </w:rPr>
        <w:t>37</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金融工具列报》；自</w:t>
      </w:r>
      <w:r w:rsidRPr="00B277F1">
        <w:rPr>
          <w:rFonts w:asciiTheme="minorEastAsia" w:eastAsiaTheme="minorEastAsia" w:hAnsiTheme="minorEastAsia"/>
          <w:kern w:val="0"/>
          <w:lang w:val="zh-CN"/>
        </w:rPr>
        <w:t xml:space="preserve">2019 </w:t>
      </w:r>
      <w:r w:rsidRPr="00B277F1">
        <w:rPr>
          <w:rFonts w:asciiTheme="minorEastAsia" w:eastAsiaTheme="minorEastAsia" w:hAnsiTheme="minorEastAsia" w:hint="eastAsia"/>
          <w:kern w:val="0"/>
          <w:lang w:val="zh-CN"/>
        </w:rPr>
        <w:t>年</w:t>
      </w:r>
      <w:r w:rsidRPr="00B277F1">
        <w:rPr>
          <w:rFonts w:asciiTheme="minorEastAsia" w:eastAsiaTheme="minorEastAsia" w:hAnsiTheme="minorEastAsia"/>
          <w:kern w:val="0"/>
          <w:lang w:val="zh-CN"/>
        </w:rPr>
        <w:t xml:space="preserve">6 </w:t>
      </w:r>
      <w:r w:rsidRPr="00B277F1">
        <w:rPr>
          <w:rFonts w:asciiTheme="minorEastAsia" w:eastAsiaTheme="minorEastAsia" w:hAnsiTheme="minorEastAsia" w:hint="eastAsia"/>
          <w:kern w:val="0"/>
          <w:lang w:val="zh-CN"/>
        </w:rPr>
        <w:t>月</w:t>
      </w:r>
      <w:r w:rsidRPr="00B277F1">
        <w:rPr>
          <w:rFonts w:asciiTheme="minorEastAsia" w:eastAsiaTheme="minorEastAsia" w:hAnsiTheme="minorEastAsia"/>
          <w:kern w:val="0"/>
          <w:lang w:val="zh-CN"/>
        </w:rPr>
        <w:t xml:space="preserve">10 </w:t>
      </w:r>
      <w:r w:rsidRPr="00B277F1">
        <w:rPr>
          <w:rFonts w:asciiTheme="minorEastAsia" w:eastAsiaTheme="minorEastAsia" w:hAnsiTheme="minorEastAsia" w:hint="eastAsia"/>
          <w:kern w:val="0"/>
          <w:lang w:val="zh-CN"/>
        </w:rPr>
        <w:t>日起执行财政部</w:t>
      </w:r>
      <w:r w:rsidRPr="00B277F1">
        <w:rPr>
          <w:rFonts w:asciiTheme="minorEastAsia" w:eastAsiaTheme="minorEastAsia" w:hAnsiTheme="minorEastAsia"/>
          <w:kern w:val="0"/>
          <w:lang w:val="zh-CN"/>
        </w:rPr>
        <w:t>2019</w:t>
      </w:r>
      <w:r w:rsidRPr="00B277F1">
        <w:rPr>
          <w:rFonts w:asciiTheme="minorEastAsia" w:eastAsiaTheme="minorEastAsia" w:hAnsiTheme="minorEastAsia" w:hint="eastAsia"/>
          <w:kern w:val="0"/>
          <w:lang w:val="zh-CN"/>
        </w:rPr>
        <w:t>年修订的《企业会计准则第</w:t>
      </w:r>
      <w:r w:rsidRPr="00B277F1">
        <w:rPr>
          <w:rFonts w:asciiTheme="minorEastAsia" w:eastAsiaTheme="minorEastAsia" w:hAnsiTheme="minorEastAsia"/>
          <w:kern w:val="0"/>
          <w:lang w:val="zh-CN"/>
        </w:rPr>
        <w:t xml:space="preserve">7 </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非货币性资产交换》，自</w:t>
      </w:r>
      <w:r w:rsidRPr="00B277F1">
        <w:rPr>
          <w:rFonts w:asciiTheme="minorEastAsia" w:eastAsiaTheme="minorEastAsia" w:hAnsiTheme="minorEastAsia"/>
          <w:kern w:val="0"/>
          <w:lang w:val="zh-CN"/>
        </w:rPr>
        <w:t xml:space="preserve">2019 </w:t>
      </w:r>
      <w:r w:rsidRPr="00B277F1">
        <w:rPr>
          <w:rFonts w:asciiTheme="minorEastAsia" w:eastAsiaTheme="minorEastAsia" w:hAnsiTheme="minorEastAsia" w:hint="eastAsia"/>
          <w:kern w:val="0"/>
          <w:lang w:val="zh-CN"/>
        </w:rPr>
        <w:t>年</w:t>
      </w:r>
      <w:r w:rsidRPr="00B277F1">
        <w:rPr>
          <w:rFonts w:asciiTheme="minorEastAsia" w:eastAsiaTheme="minorEastAsia" w:hAnsiTheme="minorEastAsia"/>
          <w:kern w:val="0"/>
          <w:lang w:val="zh-CN"/>
        </w:rPr>
        <w:t xml:space="preserve">6 </w:t>
      </w:r>
      <w:r w:rsidRPr="00B277F1">
        <w:rPr>
          <w:rFonts w:asciiTheme="minorEastAsia" w:eastAsiaTheme="minorEastAsia" w:hAnsiTheme="minorEastAsia" w:hint="eastAsia"/>
          <w:kern w:val="0"/>
          <w:lang w:val="zh-CN"/>
        </w:rPr>
        <w:t>月</w:t>
      </w:r>
      <w:r w:rsidRPr="00B277F1">
        <w:rPr>
          <w:rFonts w:asciiTheme="minorEastAsia" w:eastAsiaTheme="minorEastAsia" w:hAnsiTheme="minorEastAsia"/>
          <w:kern w:val="0"/>
          <w:lang w:val="zh-CN"/>
        </w:rPr>
        <w:t xml:space="preserve">17 </w:t>
      </w:r>
      <w:r w:rsidRPr="00B277F1">
        <w:rPr>
          <w:rFonts w:asciiTheme="minorEastAsia" w:eastAsiaTheme="minorEastAsia" w:hAnsiTheme="minorEastAsia" w:hint="eastAsia"/>
          <w:kern w:val="0"/>
          <w:lang w:val="zh-CN"/>
        </w:rPr>
        <w:t>日起执行财政部</w:t>
      </w:r>
      <w:r w:rsidRPr="00B277F1">
        <w:rPr>
          <w:rFonts w:asciiTheme="minorEastAsia" w:eastAsiaTheme="minorEastAsia" w:hAnsiTheme="minorEastAsia"/>
          <w:kern w:val="0"/>
          <w:lang w:val="zh-CN"/>
        </w:rPr>
        <w:t>2019</w:t>
      </w:r>
      <w:r w:rsidRPr="00B277F1">
        <w:rPr>
          <w:rFonts w:asciiTheme="minorEastAsia" w:eastAsiaTheme="minorEastAsia" w:hAnsiTheme="minorEastAsia" w:hint="eastAsia"/>
          <w:kern w:val="0"/>
          <w:lang w:val="zh-CN"/>
        </w:rPr>
        <w:t>年修订的《企业会计准则第</w:t>
      </w:r>
      <w:r w:rsidRPr="00B277F1">
        <w:rPr>
          <w:rFonts w:asciiTheme="minorEastAsia" w:eastAsiaTheme="minorEastAsia" w:hAnsiTheme="minorEastAsia"/>
          <w:kern w:val="0"/>
          <w:lang w:val="zh-CN"/>
        </w:rPr>
        <w:t xml:space="preserve">12 </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债务重组》。</w:t>
      </w:r>
    </w:p>
    <w:p w:rsidR="0005006D" w:rsidRPr="00B277F1" w:rsidRDefault="0005006D" w:rsidP="003E53AD">
      <w:pPr>
        <w:autoSpaceDE w:val="0"/>
        <w:autoSpaceDN w:val="0"/>
        <w:adjustRightInd w:val="0"/>
        <w:spacing w:before="0" w:after="0" w:line="360" w:lineRule="auto"/>
        <w:ind w:firstLine="420"/>
        <w:jc w:val="left"/>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本公司执行上述准则对本报告期内财务报表无重大影响。</w:t>
      </w:r>
    </w:p>
    <w:p w:rsidR="0005006D" w:rsidRPr="00B277F1" w:rsidRDefault="0005006D" w:rsidP="003E53AD">
      <w:pPr>
        <w:autoSpaceDE w:val="0"/>
        <w:autoSpaceDN w:val="0"/>
        <w:adjustRightInd w:val="0"/>
        <w:spacing w:before="0" w:after="0" w:line="360" w:lineRule="auto"/>
        <w:ind w:firstLine="420"/>
        <w:jc w:val="left"/>
        <w:rPr>
          <w:rFonts w:asciiTheme="minorEastAsia" w:eastAsiaTheme="minorEastAsia" w:hAnsiTheme="minorEastAsia"/>
          <w:kern w:val="0"/>
          <w:lang w:val="zh-CN"/>
        </w:rPr>
      </w:pPr>
      <w:r w:rsidRPr="00B277F1">
        <w:rPr>
          <w:rFonts w:asciiTheme="minorEastAsia" w:eastAsiaTheme="minorEastAsia" w:hAnsiTheme="minorEastAsia"/>
          <w:kern w:val="0"/>
          <w:lang w:val="zh-CN"/>
        </w:rPr>
        <w:t>2</w:t>
      </w:r>
      <w:r w:rsidRPr="00B277F1">
        <w:rPr>
          <w:rFonts w:asciiTheme="minorEastAsia" w:eastAsiaTheme="minorEastAsia" w:hAnsiTheme="minorEastAsia" w:hint="eastAsia"/>
          <w:kern w:val="0"/>
          <w:lang w:val="zh-CN"/>
        </w:rPr>
        <w:t>、财政部于</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年</w:t>
      </w:r>
      <w:r w:rsidRPr="00B277F1">
        <w:rPr>
          <w:rFonts w:asciiTheme="minorEastAsia" w:eastAsiaTheme="minorEastAsia" w:hAnsiTheme="minorEastAsia"/>
          <w:kern w:val="0"/>
          <w:lang w:val="zh-CN"/>
        </w:rPr>
        <w:t>3</w:t>
      </w:r>
      <w:r w:rsidRPr="00B277F1">
        <w:rPr>
          <w:rFonts w:asciiTheme="minorEastAsia" w:eastAsiaTheme="minorEastAsia" w:hAnsiTheme="minorEastAsia" w:hint="eastAsia"/>
          <w:kern w:val="0"/>
          <w:lang w:val="zh-CN"/>
        </w:rPr>
        <w:t>月</w:t>
      </w:r>
      <w:r w:rsidRPr="00B277F1">
        <w:rPr>
          <w:rFonts w:asciiTheme="minorEastAsia" w:eastAsiaTheme="minorEastAsia" w:hAnsiTheme="minorEastAsia"/>
          <w:kern w:val="0"/>
          <w:lang w:val="zh-CN"/>
        </w:rPr>
        <w:t>31</w:t>
      </w:r>
      <w:r w:rsidRPr="00B277F1">
        <w:rPr>
          <w:rFonts w:asciiTheme="minorEastAsia" w:eastAsiaTheme="minorEastAsia" w:hAnsiTheme="minorEastAsia" w:hint="eastAsia"/>
          <w:kern w:val="0"/>
          <w:lang w:val="zh-CN"/>
        </w:rPr>
        <w:t>日分别发布了《企业会计准则第</w:t>
      </w:r>
      <w:r w:rsidRPr="00B277F1">
        <w:rPr>
          <w:rFonts w:asciiTheme="minorEastAsia" w:eastAsiaTheme="minorEastAsia" w:hAnsiTheme="minorEastAsia"/>
          <w:kern w:val="0"/>
          <w:lang w:val="zh-CN"/>
        </w:rPr>
        <w:t>22</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金融工具确认和计量（</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年修订）》（财会〔</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w:t>
      </w:r>
      <w:r w:rsidRPr="00B277F1">
        <w:rPr>
          <w:rFonts w:asciiTheme="minorEastAsia" w:eastAsiaTheme="minorEastAsia" w:hAnsiTheme="minorEastAsia"/>
          <w:kern w:val="0"/>
          <w:lang w:val="zh-CN"/>
        </w:rPr>
        <w:t>7</w:t>
      </w:r>
      <w:r w:rsidRPr="00B277F1">
        <w:rPr>
          <w:rFonts w:asciiTheme="minorEastAsia" w:eastAsiaTheme="minorEastAsia" w:hAnsiTheme="minorEastAsia" w:hint="eastAsia"/>
          <w:kern w:val="0"/>
          <w:lang w:val="zh-CN"/>
        </w:rPr>
        <w:t>号）、《企业会计准则第</w:t>
      </w:r>
      <w:r w:rsidRPr="00B277F1">
        <w:rPr>
          <w:rFonts w:asciiTheme="minorEastAsia" w:eastAsiaTheme="minorEastAsia" w:hAnsiTheme="minorEastAsia"/>
          <w:kern w:val="0"/>
          <w:lang w:val="zh-CN"/>
        </w:rPr>
        <w:t>23</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金融资产转移（</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年修订）》（财会〔</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w:t>
      </w:r>
      <w:r w:rsidRPr="00B277F1">
        <w:rPr>
          <w:rFonts w:asciiTheme="minorEastAsia" w:eastAsiaTheme="minorEastAsia" w:hAnsiTheme="minorEastAsia"/>
          <w:kern w:val="0"/>
          <w:lang w:val="zh-CN"/>
        </w:rPr>
        <w:t>8</w:t>
      </w:r>
      <w:r w:rsidRPr="00B277F1">
        <w:rPr>
          <w:rFonts w:asciiTheme="minorEastAsia" w:eastAsiaTheme="minorEastAsia" w:hAnsiTheme="minorEastAsia" w:hint="eastAsia"/>
          <w:kern w:val="0"/>
          <w:lang w:val="zh-CN"/>
        </w:rPr>
        <w:t>号）、《企业会计准则第</w:t>
      </w:r>
      <w:r w:rsidRPr="00B277F1">
        <w:rPr>
          <w:rFonts w:asciiTheme="minorEastAsia" w:eastAsiaTheme="minorEastAsia" w:hAnsiTheme="minorEastAsia"/>
          <w:kern w:val="0"/>
          <w:lang w:val="zh-CN"/>
        </w:rPr>
        <w:t>24</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套期会计（</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年修订）》（财会〔</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w:t>
      </w:r>
      <w:r w:rsidRPr="00B277F1">
        <w:rPr>
          <w:rFonts w:asciiTheme="minorEastAsia" w:eastAsiaTheme="minorEastAsia" w:hAnsiTheme="minorEastAsia"/>
          <w:kern w:val="0"/>
          <w:lang w:val="zh-CN"/>
        </w:rPr>
        <w:t>9</w:t>
      </w:r>
      <w:r w:rsidRPr="00B277F1">
        <w:rPr>
          <w:rFonts w:asciiTheme="minorEastAsia" w:eastAsiaTheme="minorEastAsia" w:hAnsiTheme="minorEastAsia" w:hint="eastAsia"/>
          <w:kern w:val="0"/>
          <w:lang w:val="zh-CN"/>
        </w:rPr>
        <w:t>号），于</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年</w:t>
      </w:r>
      <w:r w:rsidRPr="00B277F1">
        <w:rPr>
          <w:rFonts w:asciiTheme="minorEastAsia" w:eastAsiaTheme="minorEastAsia" w:hAnsiTheme="minorEastAsia"/>
          <w:kern w:val="0"/>
          <w:lang w:val="zh-CN"/>
        </w:rPr>
        <w:t>5</w:t>
      </w:r>
      <w:r w:rsidRPr="00B277F1">
        <w:rPr>
          <w:rFonts w:asciiTheme="minorEastAsia" w:eastAsiaTheme="minorEastAsia" w:hAnsiTheme="minorEastAsia" w:hint="eastAsia"/>
          <w:kern w:val="0"/>
          <w:lang w:val="zh-CN"/>
        </w:rPr>
        <w:t>月</w:t>
      </w:r>
      <w:r w:rsidRPr="00B277F1">
        <w:rPr>
          <w:rFonts w:asciiTheme="minorEastAsia" w:eastAsiaTheme="minorEastAsia" w:hAnsiTheme="minorEastAsia"/>
          <w:kern w:val="0"/>
          <w:lang w:val="zh-CN"/>
        </w:rPr>
        <w:t>2</w:t>
      </w:r>
      <w:r w:rsidRPr="00B277F1">
        <w:rPr>
          <w:rFonts w:asciiTheme="minorEastAsia" w:eastAsiaTheme="minorEastAsia" w:hAnsiTheme="minorEastAsia" w:hint="eastAsia"/>
          <w:kern w:val="0"/>
          <w:lang w:val="zh-CN"/>
        </w:rPr>
        <w:t>日发布了《企业会计准则第</w:t>
      </w:r>
      <w:r w:rsidRPr="00B277F1">
        <w:rPr>
          <w:rFonts w:asciiTheme="minorEastAsia" w:eastAsiaTheme="minorEastAsia" w:hAnsiTheme="minorEastAsia"/>
          <w:kern w:val="0"/>
          <w:lang w:val="zh-CN"/>
        </w:rPr>
        <w:t>37</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金融工具列报（</w:t>
      </w:r>
      <w:r w:rsidRPr="00B277F1">
        <w:rPr>
          <w:rFonts w:asciiTheme="minorEastAsia" w:eastAsiaTheme="minorEastAsia" w:hAnsiTheme="minorEastAsia"/>
          <w:kern w:val="0"/>
          <w:lang w:val="zh-CN"/>
        </w:rPr>
        <w:t xml:space="preserve">2017 </w:t>
      </w:r>
      <w:r w:rsidRPr="00B277F1">
        <w:rPr>
          <w:rFonts w:asciiTheme="minorEastAsia" w:eastAsiaTheme="minorEastAsia" w:hAnsiTheme="minorEastAsia" w:hint="eastAsia"/>
          <w:kern w:val="0"/>
          <w:lang w:val="zh-CN"/>
        </w:rPr>
        <w:t>年修订）》（财会〔</w:t>
      </w:r>
      <w:r w:rsidRPr="00B277F1">
        <w:rPr>
          <w:rFonts w:asciiTheme="minorEastAsia" w:eastAsiaTheme="minorEastAsia" w:hAnsiTheme="minorEastAsia"/>
          <w:kern w:val="0"/>
          <w:lang w:val="zh-CN"/>
        </w:rPr>
        <w:t>2017</w:t>
      </w:r>
      <w:r w:rsidRPr="00B277F1">
        <w:rPr>
          <w:rFonts w:asciiTheme="minorEastAsia" w:eastAsiaTheme="minorEastAsia" w:hAnsiTheme="minorEastAsia" w:hint="eastAsia"/>
          <w:kern w:val="0"/>
          <w:lang w:val="zh-CN"/>
        </w:rPr>
        <w:t>〕</w:t>
      </w:r>
      <w:r w:rsidRPr="00B277F1">
        <w:rPr>
          <w:rFonts w:asciiTheme="minorEastAsia" w:eastAsiaTheme="minorEastAsia" w:hAnsiTheme="minorEastAsia"/>
          <w:kern w:val="0"/>
          <w:lang w:val="zh-CN"/>
        </w:rPr>
        <w:t>14</w:t>
      </w:r>
      <w:r w:rsidRPr="00B277F1">
        <w:rPr>
          <w:rFonts w:asciiTheme="minorEastAsia" w:eastAsiaTheme="minorEastAsia" w:hAnsiTheme="minorEastAsia" w:hint="eastAsia"/>
          <w:kern w:val="0"/>
          <w:lang w:val="zh-CN"/>
        </w:rPr>
        <w:t>号）（上述准则以下统称</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新金融工具准则</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），鼓励企业提前执行，本公司于</w:t>
      </w:r>
      <w:r w:rsidRPr="00B277F1">
        <w:rPr>
          <w:rFonts w:asciiTheme="minorEastAsia" w:eastAsiaTheme="minorEastAsia" w:hAnsiTheme="minorEastAsia"/>
          <w:kern w:val="0"/>
          <w:lang w:val="zh-CN"/>
        </w:rPr>
        <w:t>2019</w:t>
      </w:r>
      <w:r w:rsidRPr="00B277F1">
        <w:rPr>
          <w:rFonts w:asciiTheme="minorEastAsia" w:eastAsiaTheme="minorEastAsia" w:hAnsiTheme="minorEastAsia" w:hint="eastAsia"/>
          <w:kern w:val="0"/>
          <w:lang w:val="zh-CN"/>
        </w:rPr>
        <w:t>年</w:t>
      </w: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月</w:t>
      </w: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日执行新金融工具准则。于</w:t>
      </w:r>
      <w:r w:rsidRPr="00B277F1">
        <w:rPr>
          <w:rFonts w:asciiTheme="minorEastAsia" w:eastAsiaTheme="minorEastAsia" w:hAnsiTheme="minorEastAsia"/>
          <w:kern w:val="0"/>
          <w:lang w:val="zh-CN"/>
        </w:rPr>
        <w:t>2019</w:t>
      </w:r>
      <w:r w:rsidRPr="00B277F1">
        <w:rPr>
          <w:rFonts w:asciiTheme="minorEastAsia" w:eastAsiaTheme="minorEastAsia" w:hAnsiTheme="minorEastAsia" w:hint="eastAsia"/>
          <w:kern w:val="0"/>
          <w:lang w:val="zh-CN"/>
        </w:rPr>
        <w:t>年</w:t>
      </w: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月</w:t>
      </w: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日之前的金融工具确认和计量与新金融工具准则要求不一致的，本公司按照新金融工具准则的要求进行衔接调整。涉及前期比较财务报表数据与新金融工具准则要求不一致的，本公司未调整可比期间信息。金融工具原账面价值和新金融工具准则施行日的新账面价值之间的差额，计入</w:t>
      </w:r>
      <w:r w:rsidRPr="00B277F1">
        <w:rPr>
          <w:rFonts w:asciiTheme="minorEastAsia" w:eastAsiaTheme="minorEastAsia" w:hAnsiTheme="minorEastAsia"/>
          <w:kern w:val="0"/>
          <w:lang w:val="zh-CN"/>
        </w:rPr>
        <w:t>2019</w:t>
      </w:r>
      <w:r w:rsidRPr="00B277F1">
        <w:rPr>
          <w:rFonts w:asciiTheme="minorEastAsia" w:eastAsiaTheme="minorEastAsia" w:hAnsiTheme="minorEastAsia" w:hint="eastAsia"/>
          <w:kern w:val="0"/>
          <w:lang w:val="zh-CN"/>
        </w:rPr>
        <w:t>年</w:t>
      </w: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月</w:t>
      </w:r>
      <w:r w:rsidRPr="00B277F1">
        <w:rPr>
          <w:rFonts w:asciiTheme="minorEastAsia" w:eastAsiaTheme="minorEastAsia" w:hAnsiTheme="minorEastAsia"/>
          <w:kern w:val="0"/>
          <w:lang w:val="zh-CN"/>
        </w:rPr>
        <w:t>1</w:t>
      </w:r>
      <w:r w:rsidRPr="00B277F1">
        <w:rPr>
          <w:rFonts w:asciiTheme="minorEastAsia" w:eastAsiaTheme="minorEastAsia" w:hAnsiTheme="minorEastAsia" w:hint="eastAsia"/>
          <w:kern w:val="0"/>
          <w:lang w:val="zh-CN"/>
        </w:rPr>
        <w:t>日留存收益或其他综合收益。在新金融工具准则下，本公司以预期信用损失为基础，对以摊余成本计量的金融资产、以公允价值计量且其变动计入其他综合收益的债务工具投资、租赁应收款、合同资产及财务担保合同计提减值准备并确认信用减值损失。</w:t>
      </w:r>
    </w:p>
    <w:p w:rsidR="0005006D" w:rsidRPr="00B277F1" w:rsidRDefault="0005006D" w:rsidP="003E53AD">
      <w:pPr>
        <w:autoSpaceDE w:val="0"/>
        <w:autoSpaceDN w:val="0"/>
        <w:adjustRightInd w:val="0"/>
        <w:spacing w:before="0" w:after="0" w:line="360" w:lineRule="auto"/>
        <w:ind w:firstLine="420"/>
        <w:jc w:val="left"/>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本公司已经根据新的企业财务报表格式的要求编制财务报表，财务报表的列报项目因此发生变更的，已经按照《企业会计准则第</w:t>
      </w:r>
      <w:r w:rsidRPr="00B277F1">
        <w:rPr>
          <w:rFonts w:asciiTheme="minorEastAsia" w:eastAsiaTheme="minorEastAsia" w:hAnsiTheme="minorEastAsia"/>
          <w:kern w:val="0"/>
          <w:lang w:val="zh-CN"/>
        </w:rPr>
        <w:t>30</w:t>
      </w:r>
      <w:r w:rsidRPr="00B277F1">
        <w:rPr>
          <w:rFonts w:asciiTheme="minorEastAsia" w:eastAsiaTheme="minorEastAsia" w:hAnsiTheme="minorEastAsia" w:hint="eastAsia"/>
          <w:kern w:val="0"/>
          <w:lang w:val="zh-CN"/>
        </w:rPr>
        <w:t>号</w:t>
      </w:r>
      <w:r w:rsidRPr="00B277F1">
        <w:rPr>
          <w:rFonts w:asciiTheme="minorEastAsia" w:eastAsiaTheme="minorEastAsia" w:hAnsiTheme="minorEastAsia"/>
          <w:kern w:val="0"/>
          <w:lang w:val="zh-CN"/>
        </w:rPr>
        <w:t>——</w:t>
      </w:r>
      <w:r w:rsidRPr="00B277F1">
        <w:rPr>
          <w:rFonts w:asciiTheme="minorEastAsia" w:eastAsiaTheme="minorEastAsia" w:hAnsiTheme="minorEastAsia" w:hint="eastAsia"/>
          <w:kern w:val="0"/>
          <w:lang w:val="zh-CN"/>
        </w:rPr>
        <w:t>财务报表列报》等的相关规定，对可比期间的比较数据进行调整。列报格式变更及执行新金融工具准则对本公司的汇总影响如下：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127"/>
        <w:gridCol w:w="1701"/>
        <w:gridCol w:w="1559"/>
        <w:gridCol w:w="850"/>
        <w:gridCol w:w="1560"/>
        <w:gridCol w:w="1417"/>
      </w:tblGrid>
      <w:tr w:rsidR="0005006D" w:rsidTr="003E53AD">
        <w:trPr>
          <w:trHeight w:val="207"/>
        </w:trPr>
        <w:tc>
          <w:tcPr>
            <w:tcW w:w="2127" w:type="dxa"/>
            <w:vMerge w:val="restart"/>
            <w:tcBorders>
              <w:bottom w:val="single" w:sz="12" w:space="0" w:color="auto"/>
              <w:right w:val="nil"/>
            </w:tcBorders>
          </w:tcPr>
          <w:p w:rsidR="0005006D" w:rsidRPr="003E53AD" w:rsidRDefault="0005006D">
            <w:pPr>
              <w:autoSpaceDE w:val="0"/>
              <w:autoSpaceDN w:val="0"/>
              <w:adjustRightInd w:val="0"/>
              <w:spacing w:before="0" w:after="0"/>
              <w:jc w:val="center"/>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项目</w:t>
            </w:r>
          </w:p>
        </w:tc>
        <w:tc>
          <w:tcPr>
            <w:tcW w:w="1701" w:type="dxa"/>
            <w:vMerge w:val="restart"/>
            <w:tcBorders>
              <w:bottom w:val="single" w:sz="12" w:space="0" w:color="auto"/>
              <w:right w:val="nil"/>
            </w:tcBorders>
          </w:tcPr>
          <w:p w:rsidR="0005006D" w:rsidRPr="003E53AD" w:rsidRDefault="0005006D">
            <w:pPr>
              <w:autoSpaceDE w:val="0"/>
              <w:autoSpaceDN w:val="0"/>
              <w:adjustRightInd w:val="0"/>
              <w:spacing w:before="0" w:after="0"/>
              <w:jc w:val="center"/>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2018</w:t>
            </w:r>
            <w:r w:rsidRPr="003E53AD">
              <w:rPr>
                <w:rFonts w:asciiTheme="minorEastAsia" w:eastAsiaTheme="minorEastAsia" w:hAnsiTheme="minorEastAsia" w:cs="宋体" w:hint="eastAsia"/>
                <w:kern w:val="0"/>
                <w:szCs w:val="24"/>
                <w:lang w:val="zh-CN"/>
              </w:rPr>
              <w:t>年</w:t>
            </w:r>
            <w:r w:rsidRPr="003E53AD">
              <w:rPr>
                <w:rFonts w:asciiTheme="minorEastAsia" w:eastAsiaTheme="minorEastAsia" w:hAnsiTheme="minorEastAsia"/>
                <w:kern w:val="0"/>
                <w:szCs w:val="24"/>
                <w:lang w:val="zh-CN"/>
              </w:rPr>
              <w:t>12</w:t>
            </w:r>
            <w:r w:rsidRPr="003E53AD">
              <w:rPr>
                <w:rFonts w:asciiTheme="minorEastAsia" w:eastAsiaTheme="minorEastAsia" w:hAnsiTheme="minorEastAsia" w:cs="宋体" w:hint="eastAsia"/>
                <w:kern w:val="0"/>
                <w:szCs w:val="24"/>
                <w:lang w:val="zh-CN"/>
              </w:rPr>
              <w:t>月</w:t>
            </w:r>
            <w:r w:rsidRPr="003E53AD">
              <w:rPr>
                <w:rFonts w:asciiTheme="minorEastAsia" w:eastAsiaTheme="minorEastAsia" w:hAnsiTheme="minorEastAsia"/>
                <w:kern w:val="0"/>
                <w:szCs w:val="24"/>
                <w:lang w:val="zh-CN"/>
              </w:rPr>
              <w:t>31</w:t>
            </w:r>
            <w:r w:rsidRPr="003E53AD">
              <w:rPr>
                <w:rFonts w:asciiTheme="minorEastAsia" w:eastAsiaTheme="minorEastAsia" w:hAnsiTheme="minorEastAsia" w:cs="宋体" w:hint="eastAsia"/>
                <w:kern w:val="0"/>
                <w:szCs w:val="24"/>
                <w:lang w:val="zh-CN"/>
              </w:rPr>
              <w:t>日</w:t>
            </w:r>
          </w:p>
        </w:tc>
        <w:tc>
          <w:tcPr>
            <w:tcW w:w="3969" w:type="dxa"/>
            <w:gridSpan w:val="3"/>
            <w:tcBorders>
              <w:bottom w:val="single" w:sz="12" w:space="0" w:color="auto"/>
              <w:right w:val="nil"/>
            </w:tcBorders>
          </w:tcPr>
          <w:p w:rsidR="0005006D" w:rsidRPr="003E53AD" w:rsidRDefault="0005006D">
            <w:pPr>
              <w:autoSpaceDE w:val="0"/>
              <w:autoSpaceDN w:val="0"/>
              <w:adjustRightInd w:val="0"/>
              <w:spacing w:before="0" w:after="0"/>
              <w:jc w:val="center"/>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累计影响金额</w:t>
            </w:r>
          </w:p>
        </w:tc>
        <w:tc>
          <w:tcPr>
            <w:tcW w:w="1417" w:type="dxa"/>
            <w:vMerge w:val="restart"/>
            <w:tcBorders>
              <w:bottom w:val="single" w:sz="12" w:space="0" w:color="auto"/>
              <w:right w:val="nil"/>
            </w:tcBorders>
          </w:tcPr>
          <w:p w:rsidR="0005006D" w:rsidRPr="003E53AD" w:rsidRDefault="0005006D">
            <w:pPr>
              <w:autoSpaceDE w:val="0"/>
              <w:autoSpaceDN w:val="0"/>
              <w:adjustRightInd w:val="0"/>
              <w:spacing w:before="0" w:after="0"/>
              <w:jc w:val="center"/>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2019</w:t>
            </w:r>
            <w:r w:rsidRPr="003E53AD">
              <w:rPr>
                <w:rFonts w:asciiTheme="minorEastAsia" w:eastAsiaTheme="minorEastAsia" w:hAnsiTheme="minorEastAsia" w:cs="宋体" w:hint="eastAsia"/>
                <w:kern w:val="0"/>
                <w:szCs w:val="24"/>
                <w:lang w:val="zh-CN"/>
              </w:rPr>
              <w:t>年</w:t>
            </w:r>
            <w:r w:rsidRPr="003E53AD">
              <w:rPr>
                <w:rFonts w:asciiTheme="minorEastAsia" w:eastAsiaTheme="minorEastAsia" w:hAnsiTheme="minorEastAsia"/>
                <w:kern w:val="0"/>
                <w:szCs w:val="24"/>
                <w:lang w:val="zh-CN"/>
              </w:rPr>
              <w:t>1</w:t>
            </w:r>
            <w:r w:rsidRPr="003E53AD">
              <w:rPr>
                <w:rFonts w:asciiTheme="minorEastAsia" w:eastAsiaTheme="minorEastAsia" w:hAnsiTheme="minorEastAsia" w:cs="宋体" w:hint="eastAsia"/>
                <w:kern w:val="0"/>
                <w:szCs w:val="24"/>
                <w:lang w:val="zh-CN"/>
              </w:rPr>
              <w:t>月</w:t>
            </w:r>
            <w:r w:rsidRPr="003E53AD">
              <w:rPr>
                <w:rFonts w:asciiTheme="minorEastAsia" w:eastAsiaTheme="minorEastAsia" w:hAnsiTheme="minorEastAsia"/>
                <w:kern w:val="0"/>
                <w:szCs w:val="24"/>
                <w:lang w:val="zh-CN"/>
              </w:rPr>
              <w:t>1</w:t>
            </w:r>
            <w:r w:rsidRPr="003E53AD">
              <w:rPr>
                <w:rFonts w:asciiTheme="minorEastAsia" w:eastAsiaTheme="minorEastAsia" w:hAnsiTheme="minorEastAsia" w:cs="宋体" w:hint="eastAsia"/>
                <w:kern w:val="0"/>
                <w:szCs w:val="24"/>
                <w:lang w:val="zh-CN"/>
              </w:rPr>
              <w:t>日</w:t>
            </w:r>
          </w:p>
        </w:tc>
      </w:tr>
      <w:tr w:rsidR="0005006D" w:rsidTr="003E53AD">
        <w:trPr>
          <w:trHeight w:val="207"/>
        </w:trPr>
        <w:tc>
          <w:tcPr>
            <w:tcW w:w="2127" w:type="dxa"/>
            <w:vMerge/>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p>
        </w:tc>
        <w:tc>
          <w:tcPr>
            <w:tcW w:w="1701" w:type="dxa"/>
            <w:vMerge/>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p>
        </w:tc>
        <w:tc>
          <w:tcPr>
            <w:tcW w:w="1559" w:type="dxa"/>
            <w:tcBorders>
              <w:bottom w:val="single" w:sz="12" w:space="0" w:color="auto"/>
              <w:right w:val="nil"/>
            </w:tcBorders>
          </w:tcPr>
          <w:p w:rsidR="0005006D" w:rsidRPr="003E53AD" w:rsidRDefault="0005006D">
            <w:pPr>
              <w:autoSpaceDE w:val="0"/>
              <w:autoSpaceDN w:val="0"/>
              <w:adjustRightInd w:val="0"/>
              <w:spacing w:before="0" w:after="0"/>
              <w:jc w:val="center"/>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分类和计量影响</w:t>
            </w:r>
          </w:p>
        </w:tc>
        <w:tc>
          <w:tcPr>
            <w:tcW w:w="850" w:type="dxa"/>
            <w:tcBorders>
              <w:bottom w:val="single" w:sz="12" w:space="0" w:color="auto"/>
              <w:right w:val="nil"/>
            </w:tcBorders>
          </w:tcPr>
          <w:p w:rsidR="0005006D" w:rsidRPr="003E53AD" w:rsidRDefault="0005006D">
            <w:pPr>
              <w:autoSpaceDE w:val="0"/>
              <w:autoSpaceDN w:val="0"/>
              <w:adjustRightInd w:val="0"/>
              <w:spacing w:before="0" w:after="0"/>
              <w:jc w:val="center"/>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金融资产减值影响</w:t>
            </w:r>
          </w:p>
        </w:tc>
        <w:tc>
          <w:tcPr>
            <w:tcW w:w="1560" w:type="dxa"/>
            <w:tcBorders>
              <w:bottom w:val="single" w:sz="12" w:space="0" w:color="auto"/>
              <w:right w:val="nil"/>
            </w:tcBorders>
          </w:tcPr>
          <w:p w:rsidR="0005006D" w:rsidRPr="003E53AD" w:rsidRDefault="0005006D">
            <w:pPr>
              <w:autoSpaceDE w:val="0"/>
              <w:autoSpaceDN w:val="0"/>
              <w:adjustRightInd w:val="0"/>
              <w:spacing w:before="0" w:after="0"/>
              <w:jc w:val="center"/>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小计</w:t>
            </w:r>
          </w:p>
        </w:tc>
        <w:tc>
          <w:tcPr>
            <w:tcW w:w="1417" w:type="dxa"/>
            <w:vMerge/>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p>
        </w:tc>
      </w:tr>
      <w:tr w:rsidR="0005006D" w:rsidTr="003E53AD">
        <w:trPr>
          <w:trHeight w:val="207"/>
        </w:trPr>
        <w:tc>
          <w:tcPr>
            <w:tcW w:w="2127" w:type="dxa"/>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以公允价值计量且其变动计入当期损益的金融资产</w:t>
            </w:r>
          </w:p>
        </w:tc>
        <w:tc>
          <w:tcPr>
            <w:tcW w:w="1701"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43,172,658.90</w:t>
            </w:r>
          </w:p>
        </w:tc>
        <w:tc>
          <w:tcPr>
            <w:tcW w:w="1559"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-43,172,658.90</w:t>
            </w:r>
          </w:p>
        </w:tc>
        <w:tc>
          <w:tcPr>
            <w:tcW w:w="85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c>
          <w:tcPr>
            <w:tcW w:w="156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-43,172,658.90</w:t>
            </w:r>
          </w:p>
        </w:tc>
        <w:tc>
          <w:tcPr>
            <w:tcW w:w="1417" w:type="dxa"/>
            <w:tcBorders>
              <w:bottom w:val="single" w:sz="12" w:space="0" w:color="auto"/>
              <w:right w:val="nil"/>
            </w:tcBorders>
          </w:tcPr>
          <w:p w:rsidR="0005006D" w:rsidRPr="003E53AD" w:rsidRDefault="0005006D">
            <w:pPr>
              <w:autoSpaceDE w:val="0"/>
              <w:autoSpaceDN w:val="0"/>
              <w:adjustRightInd w:val="0"/>
              <w:spacing w:before="0" w:after="0"/>
              <w:jc w:val="right"/>
              <w:rPr>
                <w:rFonts w:asciiTheme="minorEastAsia" w:eastAsiaTheme="minorEastAsia" w:hAnsiTheme="minorEastAsia"/>
                <w:kern w:val="0"/>
                <w:szCs w:val="24"/>
                <w:lang w:val="zh-CN"/>
              </w:rPr>
            </w:pPr>
          </w:p>
        </w:tc>
      </w:tr>
      <w:tr w:rsidR="0005006D" w:rsidTr="003E53AD">
        <w:trPr>
          <w:trHeight w:val="207"/>
        </w:trPr>
        <w:tc>
          <w:tcPr>
            <w:tcW w:w="2127" w:type="dxa"/>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交易性金融资产</w:t>
            </w:r>
          </w:p>
        </w:tc>
        <w:tc>
          <w:tcPr>
            <w:tcW w:w="1701" w:type="dxa"/>
            <w:tcBorders>
              <w:bottom w:val="single" w:sz="12" w:space="0" w:color="auto"/>
              <w:right w:val="nil"/>
            </w:tcBorders>
          </w:tcPr>
          <w:p w:rsidR="0005006D" w:rsidRPr="003E53AD" w:rsidRDefault="0005006D">
            <w:pPr>
              <w:autoSpaceDE w:val="0"/>
              <w:autoSpaceDN w:val="0"/>
              <w:adjustRightInd w:val="0"/>
              <w:spacing w:before="0" w:after="0"/>
              <w:jc w:val="right"/>
              <w:rPr>
                <w:rFonts w:asciiTheme="minorEastAsia" w:eastAsiaTheme="minorEastAsia" w:hAnsiTheme="minorEastAsia"/>
                <w:kern w:val="0"/>
                <w:szCs w:val="24"/>
                <w:lang w:val="zh-CN"/>
              </w:rPr>
            </w:pPr>
          </w:p>
        </w:tc>
        <w:tc>
          <w:tcPr>
            <w:tcW w:w="1559" w:type="dxa"/>
            <w:tcBorders>
              <w:bottom w:val="single" w:sz="12" w:space="0" w:color="auto"/>
              <w:right w:val="nil"/>
            </w:tcBorders>
          </w:tcPr>
          <w:p w:rsidR="0005006D" w:rsidRPr="003E53AD" w:rsidRDefault="0005006D">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43,172,658.90</w:t>
            </w:r>
          </w:p>
        </w:tc>
        <w:tc>
          <w:tcPr>
            <w:tcW w:w="850" w:type="dxa"/>
            <w:tcBorders>
              <w:bottom w:val="single" w:sz="12" w:space="0" w:color="auto"/>
              <w:right w:val="nil"/>
            </w:tcBorders>
          </w:tcPr>
          <w:p w:rsidR="0005006D" w:rsidRPr="003E53AD" w:rsidRDefault="0005006D">
            <w:pPr>
              <w:autoSpaceDE w:val="0"/>
              <w:autoSpaceDN w:val="0"/>
              <w:adjustRightInd w:val="0"/>
              <w:spacing w:before="0" w:after="0"/>
              <w:jc w:val="right"/>
              <w:rPr>
                <w:rFonts w:asciiTheme="minorEastAsia" w:eastAsiaTheme="minorEastAsia" w:hAnsiTheme="minorEastAsia"/>
                <w:kern w:val="0"/>
                <w:szCs w:val="24"/>
                <w:lang w:val="zh-CN"/>
              </w:rPr>
            </w:pPr>
          </w:p>
        </w:tc>
        <w:tc>
          <w:tcPr>
            <w:tcW w:w="1560" w:type="dxa"/>
            <w:tcBorders>
              <w:bottom w:val="single" w:sz="12" w:space="0" w:color="auto"/>
              <w:right w:val="nil"/>
            </w:tcBorders>
          </w:tcPr>
          <w:p w:rsidR="0005006D" w:rsidRPr="003E53AD" w:rsidRDefault="0005006D">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43,172,658.90</w:t>
            </w:r>
          </w:p>
        </w:tc>
        <w:tc>
          <w:tcPr>
            <w:tcW w:w="1417" w:type="dxa"/>
            <w:tcBorders>
              <w:bottom w:val="single" w:sz="12" w:space="0" w:color="auto"/>
              <w:right w:val="nil"/>
            </w:tcBorders>
          </w:tcPr>
          <w:p w:rsidR="0005006D" w:rsidRPr="003E53AD" w:rsidRDefault="0005006D">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43,172,658.90</w:t>
            </w:r>
          </w:p>
        </w:tc>
      </w:tr>
      <w:tr w:rsidR="0005006D" w:rsidTr="003E53AD">
        <w:trPr>
          <w:trHeight w:val="207"/>
        </w:trPr>
        <w:tc>
          <w:tcPr>
            <w:tcW w:w="2127" w:type="dxa"/>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lastRenderedPageBreak/>
              <w:t>其他流动资产</w:t>
            </w:r>
          </w:p>
        </w:tc>
        <w:tc>
          <w:tcPr>
            <w:tcW w:w="1701"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195,030,000.00</w:t>
            </w:r>
          </w:p>
        </w:tc>
        <w:tc>
          <w:tcPr>
            <w:tcW w:w="1559"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-195,030,000.00</w:t>
            </w:r>
          </w:p>
        </w:tc>
        <w:tc>
          <w:tcPr>
            <w:tcW w:w="85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c>
          <w:tcPr>
            <w:tcW w:w="156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-195,030,000.00</w:t>
            </w:r>
          </w:p>
        </w:tc>
        <w:tc>
          <w:tcPr>
            <w:tcW w:w="1417"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r>
      <w:tr w:rsidR="0005006D" w:rsidTr="003E53AD">
        <w:trPr>
          <w:trHeight w:val="207"/>
        </w:trPr>
        <w:tc>
          <w:tcPr>
            <w:tcW w:w="2127" w:type="dxa"/>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交易性金融资产</w:t>
            </w:r>
          </w:p>
        </w:tc>
        <w:tc>
          <w:tcPr>
            <w:tcW w:w="1701"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c>
          <w:tcPr>
            <w:tcW w:w="1559"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195,030,000.00</w:t>
            </w:r>
          </w:p>
        </w:tc>
        <w:tc>
          <w:tcPr>
            <w:tcW w:w="85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c>
          <w:tcPr>
            <w:tcW w:w="156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195,030,000.00</w:t>
            </w:r>
          </w:p>
        </w:tc>
        <w:tc>
          <w:tcPr>
            <w:tcW w:w="1417"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195,030,000.00</w:t>
            </w:r>
          </w:p>
        </w:tc>
      </w:tr>
      <w:tr w:rsidR="0005006D" w:rsidTr="003E53AD">
        <w:trPr>
          <w:trHeight w:val="207"/>
        </w:trPr>
        <w:tc>
          <w:tcPr>
            <w:tcW w:w="2127" w:type="dxa"/>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可供出售金融资产</w:t>
            </w:r>
          </w:p>
        </w:tc>
        <w:tc>
          <w:tcPr>
            <w:tcW w:w="1701"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97,783,921.20</w:t>
            </w:r>
          </w:p>
        </w:tc>
        <w:tc>
          <w:tcPr>
            <w:tcW w:w="1559"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-97,783,921.20</w:t>
            </w:r>
          </w:p>
        </w:tc>
        <w:tc>
          <w:tcPr>
            <w:tcW w:w="85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c>
          <w:tcPr>
            <w:tcW w:w="156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-97,783,921.20</w:t>
            </w:r>
          </w:p>
        </w:tc>
        <w:tc>
          <w:tcPr>
            <w:tcW w:w="1417"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r>
      <w:tr w:rsidR="0005006D" w:rsidTr="003E53AD">
        <w:trPr>
          <w:trHeight w:val="207"/>
        </w:trPr>
        <w:tc>
          <w:tcPr>
            <w:tcW w:w="2127" w:type="dxa"/>
            <w:tcBorders>
              <w:bottom w:val="single" w:sz="12" w:space="0" w:color="auto"/>
              <w:right w:val="nil"/>
            </w:tcBorders>
          </w:tcPr>
          <w:p w:rsidR="0005006D" w:rsidRPr="003E53AD" w:rsidRDefault="0005006D">
            <w:pPr>
              <w:autoSpaceDE w:val="0"/>
              <w:autoSpaceDN w:val="0"/>
              <w:adjustRightInd w:val="0"/>
              <w:spacing w:before="0" w:after="0"/>
              <w:jc w:val="left"/>
              <w:rPr>
                <w:rFonts w:asciiTheme="minorEastAsia" w:eastAsiaTheme="minorEastAsia" w:hAnsiTheme="minorEastAsia"/>
                <w:kern w:val="0"/>
                <w:szCs w:val="24"/>
                <w:lang w:val="zh-CN"/>
              </w:rPr>
            </w:pPr>
            <w:r w:rsidRPr="003E53AD">
              <w:rPr>
                <w:rFonts w:asciiTheme="minorEastAsia" w:eastAsiaTheme="minorEastAsia" w:hAnsiTheme="minorEastAsia" w:cs="宋体" w:hint="eastAsia"/>
                <w:kern w:val="0"/>
                <w:szCs w:val="24"/>
                <w:lang w:val="zh-CN"/>
              </w:rPr>
              <w:t>其他权益工具投资</w:t>
            </w:r>
          </w:p>
        </w:tc>
        <w:tc>
          <w:tcPr>
            <w:tcW w:w="1701"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c>
          <w:tcPr>
            <w:tcW w:w="1559"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97,783,921.20</w:t>
            </w:r>
          </w:p>
        </w:tc>
        <w:tc>
          <w:tcPr>
            <w:tcW w:w="85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p>
        </w:tc>
        <w:tc>
          <w:tcPr>
            <w:tcW w:w="1560"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97,783,921.20</w:t>
            </w:r>
          </w:p>
        </w:tc>
        <w:tc>
          <w:tcPr>
            <w:tcW w:w="1417" w:type="dxa"/>
            <w:tcBorders>
              <w:bottom w:val="single" w:sz="12" w:space="0" w:color="auto"/>
              <w:right w:val="nil"/>
            </w:tcBorders>
            <w:vAlign w:val="center"/>
          </w:tcPr>
          <w:p w:rsidR="0005006D" w:rsidRPr="003E53AD" w:rsidRDefault="0005006D" w:rsidP="00B277F1">
            <w:pPr>
              <w:autoSpaceDE w:val="0"/>
              <w:autoSpaceDN w:val="0"/>
              <w:adjustRightInd w:val="0"/>
              <w:spacing w:before="0" w:after="0"/>
              <w:jc w:val="right"/>
              <w:rPr>
                <w:rFonts w:asciiTheme="minorEastAsia" w:eastAsiaTheme="minorEastAsia" w:hAnsiTheme="minorEastAsia"/>
                <w:kern w:val="0"/>
                <w:szCs w:val="24"/>
                <w:lang w:val="zh-CN"/>
              </w:rPr>
            </w:pPr>
            <w:r w:rsidRPr="003E53AD">
              <w:rPr>
                <w:rFonts w:asciiTheme="minorEastAsia" w:eastAsiaTheme="minorEastAsia" w:hAnsiTheme="minorEastAsia"/>
                <w:kern w:val="0"/>
                <w:szCs w:val="24"/>
                <w:lang w:val="zh-CN"/>
              </w:rPr>
              <w:t>97,783,921.20</w:t>
            </w:r>
          </w:p>
        </w:tc>
      </w:tr>
    </w:tbl>
    <w:p w:rsidR="0005006D" w:rsidRPr="00B277F1" w:rsidRDefault="0005006D">
      <w:pPr>
        <w:autoSpaceDE w:val="0"/>
        <w:autoSpaceDN w:val="0"/>
        <w:adjustRightInd w:val="0"/>
        <w:spacing w:before="120" w:after="0"/>
        <w:ind w:firstLine="42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注：上表仅呈列受影响的财务报表项目，不受影响的财务报表项目不包括在内。</w:t>
      </w:r>
    </w:p>
    <w:p w:rsidR="0005006D" w:rsidRDefault="003E53AD" w:rsidP="003E53AD">
      <w:pPr>
        <w:autoSpaceDE w:val="0"/>
        <w:autoSpaceDN w:val="0"/>
        <w:adjustRightInd w:val="0"/>
        <w:spacing w:before="240" w:after="0"/>
        <w:ind w:firstLineChars="250" w:firstLine="527"/>
        <w:jc w:val="left"/>
        <w:rPr>
          <w:rFonts w:eastAsia="Times New Roman"/>
          <w:b/>
          <w:kern w:val="0"/>
          <w:sz w:val="21"/>
          <w:szCs w:val="24"/>
          <w:lang w:val="zh-CN"/>
        </w:rPr>
      </w:pPr>
      <w:r>
        <w:rPr>
          <w:rFonts w:ascii="宋体" w:hAnsi="宋体" w:cs="宋体"/>
          <w:b/>
          <w:kern w:val="0"/>
          <w:sz w:val="21"/>
          <w:szCs w:val="24"/>
          <w:lang w:val="zh-CN"/>
        </w:rPr>
        <w:t>2.</w:t>
      </w:r>
      <w:r w:rsidR="0005006D">
        <w:rPr>
          <w:rFonts w:ascii="宋体" w:hAnsi="宋体" w:cs="宋体" w:hint="eastAsia"/>
          <w:b/>
          <w:kern w:val="0"/>
          <w:sz w:val="21"/>
          <w:szCs w:val="24"/>
          <w:lang w:val="zh-CN"/>
        </w:rPr>
        <w:t>会计估计变更</w:t>
      </w:r>
    </w:p>
    <w:p w:rsidR="0005006D" w:rsidRPr="00B277F1" w:rsidRDefault="0005006D">
      <w:pPr>
        <w:autoSpaceDE w:val="0"/>
        <w:autoSpaceDN w:val="0"/>
        <w:adjustRightInd w:val="0"/>
        <w:spacing w:before="120" w:after="0"/>
        <w:ind w:firstLine="42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本报告期主要会计估计未发生变更。</w:t>
      </w:r>
    </w:p>
    <w:p w:rsidR="0005006D" w:rsidRDefault="0005006D">
      <w:pPr>
        <w:pStyle w:val="Section"/>
        <w:outlineLvl w:val="3"/>
        <w:rPr>
          <w:bCs w:val="0"/>
          <w:szCs w:val="24"/>
        </w:rPr>
      </w:pPr>
      <w:r>
        <w:rPr>
          <w:rFonts w:hint="eastAsia"/>
          <w:bCs w:val="0"/>
          <w:szCs w:val="24"/>
        </w:rPr>
        <w:t>（</w:t>
      </w:r>
      <w:r>
        <w:rPr>
          <w:bCs w:val="0"/>
          <w:szCs w:val="24"/>
        </w:rPr>
        <w:t>2</w:t>
      </w:r>
      <w:r>
        <w:rPr>
          <w:rFonts w:hint="eastAsia"/>
          <w:bCs w:val="0"/>
          <w:szCs w:val="24"/>
        </w:rPr>
        <w:t>）报告期内发生重大会计差错更正需追溯重述的情况说明</w:t>
      </w:r>
    </w:p>
    <w:p w:rsidR="0005006D" w:rsidRDefault="0005006D">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05006D" w:rsidRPr="00B277F1" w:rsidRDefault="0005006D">
      <w:pPr>
        <w:jc w:val="left"/>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公司报告期无重大会计差错更正需追溯重述的情况。</w:t>
      </w:r>
    </w:p>
    <w:p w:rsidR="0005006D" w:rsidRDefault="0005006D">
      <w:pPr>
        <w:pStyle w:val="Section"/>
        <w:outlineLvl w:val="3"/>
        <w:rPr>
          <w:bCs w:val="0"/>
          <w:szCs w:val="24"/>
        </w:rPr>
      </w:pPr>
      <w:r>
        <w:rPr>
          <w:rFonts w:hint="eastAsia"/>
          <w:bCs w:val="0"/>
          <w:szCs w:val="24"/>
        </w:rPr>
        <w:t>（</w:t>
      </w:r>
      <w:r>
        <w:rPr>
          <w:bCs w:val="0"/>
          <w:szCs w:val="24"/>
        </w:rPr>
        <w:t>3</w:t>
      </w:r>
      <w:r>
        <w:rPr>
          <w:rFonts w:hint="eastAsia"/>
          <w:bCs w:val="0"/>
          <w:szCs w:val="24"/>
        </w:rPr>
        <w:t>）与上年度财务报告相比，合并报表范围发生变化的情况说明</w:t>
      </w:r>
    </w:p>
    <w:p w:rsidR="0005006D" w:rsidRDefault="0005006D">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05006D" w:rsidRPr="00B277F1" w:rsidRDefault="0005006D" w:rsidP="00B277F1">
      <w:pPr>
        <w:numPr>
          <w:ilvl w:val="0"/>
          <w:numId w:val="3"/>
        </w:numPr>
        <w:autoSpaceDE w:val="0"/>
        <w:autoSpaceDN w:val="0"/>
        <w:adjustRightInd w:val="0"/>
        <w:spacing w:before="120" w:after="0"/>
        <w:ind w:left="360" w:hanging="360"/>
        <w:jc w:val="left"/>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本期新纳入合并范围的子公司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3686"/>
        <w:gridCol w:w="5069"/>
      </w:tblGrid>
      <w:tr w:rsidR="0005006D" w:rsidTr="00263D92">
        <w:tc>
          <w:tcPr>
            <w:tcW w:w="3686" w:type="dxa"/>
          </w:tcPr>
          <w:p w:rsidR="0005006D" w:rsidRDefault="0005006D">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名称</w:t>
            </w:r>
          </w:p>
        </w:tc>
        <w:tc>
          <w:tcPr>
            <w:tcW w:w="5069" w:type="dxa"/>
          </w:tcPr>
          <w:p w:rsidR="0005006D" w:rsidRDefault="0005006D">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变更原因</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阿瓦提银花棉业有限责任公司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库车银花棉业有限责任公司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沙雅银花棉业有限责任公司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新和银花棉业有限责任公司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库车县纵横棉业有限责任公司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库车县恒丰棉业有限责任公司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呼图壁县宏盛棉业有限公司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新疆华孚恒丰棉业有限公司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奎屯锦孚棉业有限公司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深圳市华孚创新产业投资中心（有限合伙）</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投资设立</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乌什县阿大纺织有限公司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投资设立</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石河子宏盛棉业有限公司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投资设立</w:t>
            </w:r>
          </w:p>
        </w:tc>
        <w:bookmarkStart w:id="0" w:name="_GoBack"/>
        <w:bookmarkEnd w:id="0"/>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香港天成贸易有限公司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非同一控制下企业合并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浙江博忆纺织科技有限公司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非同一控制下企业合并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浙江双琪进出口有限公司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非同一控制下企业合并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浙江诸暨科宁投资有限公司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非同一控制下企业合并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新疆科宁针纺科技有限公司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非同一控制下企业合并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诸暨广昊纺织有限公司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非同一控制下企业合并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诸暨市力旗化纤有限公司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非同一控制下企业合并</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柯坪县阿大纺织有限公司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投资设立</w:t>
            </w:r>
          </w:p>
        </w:tc>
      </w:tr>
      <w:tr w:rsidR="0005006D" w:rsidRPr="00B277F1" w:rsidTr="00263D92">
        <w:tc>
          <w:tcPr>
            <w:tcW w:w="3686" w:type="dxa"/>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浙江阿大贸易有限公司</w:t>
            </w:r>
          </w:p>
        </w:tc>
        <w:tc>
          <w:tcPr>
            <w:tcW w:w="5069" w:type="dxa"/>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投资设立</w:t>
            </w:r>
          </w:p>
        </w:tc>
      </w:tr>
    </w:tbl>
    <w:p w:rsidR="0005006D" w:rsidRPr="00B277F1" w:rsidRDefault="0005006D">
      <w:pPr>
        <w:autoSpaceDE w:val="0"/>
        <w:autoSpaceDN w:val="0"/>
        <w:adjustRightInd w:val="0"/>
        <w:spacing w:before="120" w:after="0"/>
        <w:jc w:val="left"/>
        <w:rPr>
          <w:rFonts w:asciiTheme="minorEastAsia" w:eastAsiaTheme="minorEastAsia" w:hAnsiTheme="minorEastAsia"/>
          <w:kern w:val="0"/>
          <w:lang w:val="zh-CN"/>
        </w:rPr>
      </w:pPr>
      <w:r w:rsidRPr="00B277F1">
        <w:rPr>
          <w:rFonts w:asciiTheme="minorEastAsia" w:eastAsiaTheme="minorEastAsia" w:hAnsiTheme="minorEastAsia"/>
          <w:kern w:val="0"/>
          <w:lang w:val="zh-CN"/>
        </w:rPr>
        <w:t>2.</w:t>
      </w:r>
      <w:r w:rsidRPr="00B277F1">
        <w:rPr>
          <w:rFonts w:asciiTheme="minorEastAsia" w:eastAsiaTheme="minorEastAsia" w:hAnsiTheme="minorEastAsia" w:hint="eastAsia"/>
          <w:kern w:val="0"/>
          <w:lang w:val="zh-CN"/>
        </w:rPr>
        <w:t>本期不纳入合并范围的子公司</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370"/>
        <w:gridCol w:w="5385"/>
      </w:tblGrid>
      <w:tr w:rsidR="0005006D" w:rsidRPr="00B277F1">
        <w:tc>
          <w:tcPr>
            <w:tcW w:w="3370" w:type="dxa"/>
            <w:tcBorders>
              <w:bottom w:val="single" w:sz="12" w:space="0" w:color="auto"/>
              <w:right w:val="nil"/>
            </w:tcBorders>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名称</w:t>
            </w:r>
          </w:p>
        </w:tc>
        <w:tc>
          <w:tcPr>
            <w:tcW w:w="5385" w:type="dxa"/>
            <w:tcBorders>
              <w:bottom w:val="single" w:sz="12" w:space="0" w:color="auto"/>
              <w:right w:val="nil"/>
            </w:tcBorders>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变更原因</w:t>
            </w:r>
          </w:p>
        </w:tc>
      </w:tr>
      <w:tr w:rsidR="0005006D" w:rsidRPr="00B277F1">
        <w:tc>
          <w:tcPr>
            <w:tcW w:w="3370" w:type="dxa"/>
            <w:tcBorders>
              <w:bottom w:val="single" w:sz="12" w:space="0" w:color="auto"/>
              <w:right w:val="nil"/>
            </w:tcBorders>
          </w:tcPr>
          <w:p w:rsidR="0005006D" w:rsidRPr="00B277F1" w:rsidRDefault="0005006D">
            <w:pPr>
              <w:autoSpaceDE w:val="0"/>
              <w:autoSpaceDN w:val="0"/>
              <w:adjustRightInd w:val="0"/>
              <w:spacing w:before="0" w:after="0"/>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杭州华云投资管理有限公司</w:t>
            </w:r>
          </w:p>
        </w:tc>
        <w:tc>
          <w:tcPr>
            <w:tcW w:w="5385" w:type="dxa"/>
            <w:tcBorders>
              <w:bottom w:val="single" w:sz="12" w:space="0" w:color="auto"/>
              <w:right w:val="nil"/>
            </w:tcBorders>
          </w:tcPr>
          <w:p w:rsidR="0005006D" w:rsidRPr="00B277F1" w:rsidRDefault="0005006D">
            <w:pPr>
              <w:autoSpaceDE w:val="0"/>
              <w:autoSpaceDN w:val="0"/>
              <w:adjustRightInd w:val="0"/>
              <w:spacing w:before="0" w:after="0"/>
              <w:ind w:firstLine="360"/>
              <w:jc w:val="center"/>
              <w:rPr>
                <w:rFonts w:asciiTheme="minorEastAsia" w:eastAsiaTheme="minorEastAsia" w:hAnsiTheme="minorEastAsia"/>
                <w:kern w:val="0"/>
                <w:lang w:val="zh-CN"/>
              </w:rPr>
            </w:pPr>
            <w:r w:rsidRPr="00B277F1">
              <w:rPr>
                <w:rFonts w:asciiTheme="minorEastAsia" w:eastAsiaTheme="minorEastAsia" w:hAnsiTheme="minorEastAsia" w:hint="eastAsia"/>
                <w:kern w:val="0"/>
                <w:lang w:val="zh-CN"/>
              </w:rPr>
              <w:t>注销</w:t>
            </w:r>
          </w:p>
        </w:tc>
      </w:tr>
    </w:tbl>
    <w:p w:rsidR="0005006D" w:rsidRDefault="0005006D">
      <w:pPr>
        <w:autoSpaceDE w:val="0"/>
        <w:autoSpaceDN w:val="0"/>
        <w:adjustRightInd w:val="0"/>
        <w:spacing w:before="0" w:after="0"/>
        <w:jc w:val="left"/>
        <w:rPr>
          <w:rFonts w:eastAsia="Times New Roman"/>
          <w:kern w:val="0"/>
          <w:szCs w:val="24"/>
          <w:lang w:val="zh-CN"/>
        </w:rPr>
      </w:pPr>
    </w:p>
    <w:sectPr w:rsidR="0005006D">
      <w:headerReference w:type="default" r:id="rId9"/>
      <w:footerReference w:type="default" r:id="rId10"/>
      <w:pgSz w:w="11906" w:h="16838"/>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E3" w:rsidRDefault="004E4BE3">
      <w:pPr>
        <w:spacing w:before="0" w:after="0"/>
      </w:pPr>
      <w:r>
        <w:separator/>
      </w:r>
    </w:p>
  </w:endnote>
  <w:endnote w:type="continuationSeparator" w:id="0">
    <w:p w:rsidR="004E4BE3" w:rsidRDefault="004E4B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6D" w:rsidRDefault="0005006D">
    <w:pPr>
      <w:pStyle w:val="a5"/>
    </w:pPr>
    <w:r>
      <w:fldChar w:fldCharType="begin"/>
    </w:r>
    <w:r>
      <w:instrText xml:space="preserve"> PAGE </w:instrText>
    </w:r>
    <w:r>
      <w:fldChar w:fldCharType="separate"/>
    </w:r>
    <w:r w:rsidR="00263D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E3" w:rsidRDefault="004E4BE3">
      <w:pPr>
        <w:spacing w:before="0" w:after="0"/>
      </w:pPr>
      <w:r>
        <w:separator/>
      </w:r>
    </w:p>
  </w:footnote>
  <w:footnote w:type="continuationSeparator" w:id="0">
    <w:p w:rsidR="004E4BE3" w:rsidRDefault="004E4B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6D" w:rsidRDefault="0005006D">
    <w:pPr>
      <w:pStyle w:val="a4"/>
    </w:pPr>
    <w:r>
      <w:rPr>
        <w:rFonts w:hint="eastAsia"/>
      </w:rPr>
      <w:t>华孚时尚股份有限公司</w:t>
    </w:r>
    <w:r>
      <w:t>2019</w:t>
    </w:r>
    <w:r>
      <w:rPr>
        <w:rFonts w:hint="eastAsia"/>
      </w:rPr>
      <w:t>年年度报告摘要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F8A"/>
    <w:multiLevelType w:val="singleLevel"/>
    <w:tmpl w:val="3768D936"/>
    <w:lvl w:ilvl="0">
      <w:start w:val="1"/>
      <w:numFmt w:val="decimal"/>
      <w:lvlText w:val="%1."/>
      <w:legacy w:legacy="1" w:legacySpace="0" w:legacyIndent="0"/>
      <w:lvlJc w:val="left"/>
      <w:rPr>
        <w:rFonts w:ascii="宋体" w:eastAsia="宋体" w:hAnsi="宋体" w:cs="Times New Roman" w:hint="eastAsia"/>
      </w:rPr>
    </w:lvl>
  </w:abstractNum>
  <w:abstractNum w:abstractNumId="1">
    <w:nsid w:val="3CC214F3"/>
    <w:multiLevelType w:val="singleLevel"/>
    <w:tmpl w:val="3768D936"/>
    <w:lvl w:ilvl="0">
      <w:start w:val="1"/>
      <w:numFmt w:val="decimal"/>
      <w:lvlText w:val="%1."/>
      <w:legacy w:legacy="1" w:legacySpace="0" w:legacyIndent="0"/>
      <w:lvlJc w:val="left"/>
      <w:rPr>
        <w:rFonts w:ascii="宋体" w:eastAsia="宋体" w:hAnsi="宋体" w:cs="Times New Roman" w:hint="eastAsia"/>
      </w:rPr>
    </w:lvl>
  </w:abstractNum>
  <w:abstractNum w:abstractNumId="2">
    <w:nsid w:val="540808BD"/>
    <w:multiLevelType w:val="singleLevel"/>
    <w:tmpl w:val="3768D936"/>
    <w:lvl w:ilvl="0">
      <w:start w:val="1"/>
      <w:numFmt w:val="decimal"/>
      <w:lvlText w:val="%1."/>
      <w:legacy w:legacy="1" w:legacySpace="0" w:legacyIndent="0"/>
      <w:lvlJc w:val="left"/>
      <w:rPr>
        <w:rFonts w:ascii="宋体" w:eastAsia="宋体" w:hAnsi="宋体"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F1"/>
    <w:rsid w:val="0005006D"/>
    <w:rsid w:val="00263D92"/>
    <w:rsid w:val="003B2E98"/>
    <w:rsid w:val="003E53AD"/>
    <w:rsid w:val="004E4BE3"/>
    <w:rsid w:val="00540A3A"/>
    <w:rsid w:val="00A7031B"/>
    <w:rsid w:val="00B27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971</Words>
  <Characters>5536</Characters>
  <Application>Microsoft Office Word</Application>
  <DocSecurity>0</DocSecurity>
  <Lines>46</Lines>
  <Paragraphs>12</Paragraphs>
  <ScaleCrop>false</ScaleCrop>
  <Company>微软公司</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华孚时尚股份有限公司2019年年度报告摘要</dc:title>
  <dc:creator>华孚时尚股份有限公司</dc:creator>
  <cp:lastModifiedBy>杨溶</cp:lastModifiedBy>
  <cp:revision>2</cp:revision>
  <dcterms:created xsi:type="dcterms:W3CDTF">2020-04-28T11:02:00Z</dcterms:created>
  <dcterms:modified xsi:type="dcterms:W3CDTF">2020-04-28T11:02:00Z</dcterms:modified>
</cp:coreProperties>
</file>